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A6F" w:rsidRDefault="00557A6F" w:rsidP="00557A6F">
      <w:pPr>
        <w:pStyle w:val="is-dep"/>
      </w:pPr>
      <w:r>
        <w:t>Kommunal- og moderniseringsdepartementet</w:t>
      </w:r>
    </w:p>
    <w:p w:rsidR="00557A6F" w:rsidRDefault="00557A6F" w:rsidP="00557A6F">
      <w:pPr>
        <w:pStyle w:val="i-hode"/>
      </w:pPr>
      <w:r>
        <w:t>Prop. 1 S</w:t>
      </w:r>
      <w:bookmarkStart w:id="0" w:name="_GoBack"/>
      <w:bookmarkEnd w:id="0"/>
    </w:p>
    <w:p w:rsidR="00557A6F" w:rsidRDefault="00557A6F" w:rsidP="00557A6F">
      <w:pPr>
        <w:pStyle w:val="i-sesjon"/>
      </w:pPr>
      <w:r>
        <w:t>(2019–2020)</w:t>
      </w:r>
    </w:p>
    <w:p w:rsidR="00557A6F" w:rsidRDefault="00557A6F" w:rsidP="00557A6F">
      <w:pPr>
        <w:pStyle w:val="i-hode-tit"/>
      </w:pPr>
      <w:r>
        <w:t>Proposisjon til Stortinget (forslag til stortingsvedtak)</w:t>
      </w:r>
    </w:p>
    <w:p w:rsidR="00557A6F" w:rsidRDefault="00557A6F" w:rsidP="00557A6F">
      <w:pPr>
        <w:pStyle w:val="i-termin"/>
      </w:pPr>
      <w:r>
        <w:t>FOR BUDSJETTÅRET 2020</w:t>
      </w:r>
    </w:p>
    <w:p w:rsidR="00557A6F" w:rsidRDefault="00557A6F" w:rsidP="00557A6F">
      <w:pPr>
        <w:pStyle w:val="i-undertit"/>
      </w:pPr>
      <w:r>
        <w:t>Utgiftskapitler: 1–2, 500–595, 2412, 2445</w:t>
      </w:r>
    </w:p>
    <w:p w:rsidR="00557A6F" w:rsidRDefault="00557A6F" w:rsidP="00557A6F">
      <w:pPr>
        <w:pStyle w:val="i-undertit"/>
      </w:pPr>
      <w:r>
        <w:t>Inntektskapitler: 3500–3595, 5312, 5445–5446, 5570, 5615–5616</w:t>
      </w:r>
    </w:p>
    <w:p w:rsidR="00557A6F" w:rsidRPr="00557A6F" w:rsidRDefault="00557A6F" w:rsidP="00557A6F">
      <w:pPr>
        <w:pStyle w:val="i-saerskilt-vedl"/>
      </w:pPr>
      <w:r>
        <w:tab/>
        <w:t xml:space="preserve">H-2454 N Berekningsteknisk dokumentasjon til Prop. 1 S (2019–2020) </w:t>
      </w:r>
      <w:r>
        <w:br/>
        <w:t xml:space="preserve">Inntektssystemet for kommunar og fylkeskommunar 2020 </w:t>
      </w:r>
      <w:r>
        <w:br/>
        <w:t xml:space="preserve">Grønt </w:t>
      </w:r>
      <w:r w:rsidRPr="00557A6F">
        <w:t>hefte</w:t>
      </w:r>
    </w:p>
    <w:p w:rsidR="00557A6F" w:rsidRDefault="00557A6F" w:rsidP="00557A6F">
      <w:pPr>
        <w:pStyle w:val="i-dep"/>
      </w:pPr>
      <w:r>
        <w:t>Kommunal- og moderniseringsdepartementet</w:t>
      </w:r>
    </w:p>
    <w:p w:rsidR="00557A6F" w:rsidRDefault="00557A6F" w:rsidP="00557A6F">
      <w:pPr>
        <w:pStyle w:val="i-hode"/>
      </w:pPr>
      <w:r>
        <w:lastRenderedPageBreak/>
        <w:t>Prop. 1 S</w:t>
      </w:r>
    </w:p>
    <w:p w:rsidR="00557A6F" w:rsidRDefault="00557A6F" w:rsidP="00557A6F">
      <w:pPr>
        <w:pStyle w:val="i-sesjon"/>
      </w:pPr>
      <w:r>
        <w:t>(2019–2020)</w:t>
      </w:r>
    </w:p>
    <w:p w:rsidR="00557A6F" w:rsidRDefault="00557A6F" w:rsidP="00557A6F">
      <w:pPr>
        <w:pStyle w:val="i-hode-tit"/>
      </w:pPr>
      <w:r>
        <w:t>Proposisjon til Stortinget (forslag til stortingsvedtak)</w:t>
      </w:r>
    </w:p>
    <w:p w:rsidR="00557A6F" w:rsidRDefault="00557A6F" w:rsidP="00557A6F">
      <w:pPr>
        <w:pStyle w:val="i-termin"/>
      </w:pPr>
      <w:r>
        <w:t>FOR BUDSJETTÅRET 2020</w:t>
      </w:r>
    </w:p>
    <w:p w:rsidR="00557A6F" w:rsidRDefault="00557A6F" w:rsidP="00557A6F">
      <w:pPr>
        <w:pStyle w:val="i-undertit"/>
      </w:pPr>
      <w:r>
        <w:t>Utgiftskapitler: 1–2, 500–595, 2412, 2445</w:t>
      </w:r>
    </w:p>
    <w:p w:rsidR="00557A6F" w:rsidRDefault="00557A6F" w:rsidP="00557A6F">
      <w:pPr>
        <w:pStyle w:val="i-undertit"/>
      </w:pPr>
      <w:r>
        <w:t>Inntektskapitler: 3500–3595, 5312, 5445–5446, 5570, 5615–5616</w:t>
      </w:r>
    </w:p>
    <w:p w:rsidR="00557A6F" w:rsidRDefault="00557A6F" w:rsidP="00557A6F">
      <w:pPr>
        <w:pStyle w:val="i-statsrdato"/>
      </w:pPr>
      <w:r>
        <w:t>Tilråding fra Kommunal- og moderniseringsdepartementet 20. september 2019,</w:t>
      </w:r>
      <w:r>
        <w:br/>
        <w:t>godkjent i statsråd samme dag.</w:t>
      </w:r>
      <w:r>
        <w:br/>
        <w:t>(Regjeringen Solberg)</w:t>
      </w:r>
    </w:p>
    <w:p w:rsidR="00557A6F" w:rsidRDefault="00557A6F" w:rsidP="00557A6F">
      <w:pPr>
        <w:pStyle w:val="del-nr"/>
      </w:pPr>
      <w:r>
        <w:t>Del I</w:t>
      </w:r>
    </w:p>
    <w:p w:rsidR="00557A6F" w:rsidRDefault="00557A6F" w:rsidP="00557A6F">
      <w:pPr>
        <w:pStyle w:val="del-tittel"/>
        <w:rPr>
          <w:w w:val="100"/>
        </w:rPr>
      </w:pPr>
      <w:r>
        <w:rPr>
          <w:w w:val="100"/>
        </w:rPr>
        <w:t>Innledende del</w:t>
      </w:r>
    </w:p>
    <w:p w:rsidR="00557A6F" w:rsidRDefault="00557A6F" w:rsidP="00557A6F">
      <w:pPr>
        <w:pStyle w:val="Overskrift1"/>
      </w:pPr>
      <w:r>
        <w:lastRenderedPageBreak/>
        <w:t>Innledning</w:t>
      </w:r>
    </w:p>
    <w:p w:rsidR="00557A6F" w:rsidRDefault="00557A6F" w:rsidP="00557A6F">
      <w:pPr>
        <w:pStyle w:val="Overskrift2"/>
      </w:pPr>
      <w:r>
        <w:t>Ansvarsområder og organisering</w:t>
      </w:r>
    </w:p>
    <w:p w:rsidR="00557A6F" w:rsidRDefault="00557A6F" w:rsidP="00557A6F">
      <w:r>
        <w:t>Kommunal- og moderniseringsdepartementet har ansvaret for statlig arbeidsgiverpolitikk, sikkerhet og fellestjenester for departementene, fornying av offentlig sektor, IT-politikk, elektronisk ko</w:t>
      </w:r>
      <w:r>
        <w:t>m</w:t>
      </w:r>
      <w:r>
        <w:t>munikasjon, bolig- og bygningspolitikk, økonomiske og juridiske rammebetingelser for komm</w:t>
      </w:r>
      <w:r>
        <w:t>u</w:t>
      </w:r>
      <w:r>
        <w:t>nesektoren, gjenno</w:t>
      </w:r>
      <w:r>
        <w:t>m</w:t>
      </w:r>
      <w:r>
        <w:t>føring av valg, planlegging og kart- og geodata, regional- og distriktspolitikk, samer og nasjonale minoriteter, personvern, overordnet ansvar for statlige bygg og fylkesmann</w:t>
      </w:r>
      <w:r>
        <w:t>s</w:t>
      </w:r>
      <w:r>
        <w:t>embetene samt budsjettet for Kongehuset.</w:t>
      </w:r>
    </w:p>
    <w:p w:rsidR="00557A6F" w:rsidRDefault="00557A6F" w:rsidP="00557A6F">
      <w:r>
        <w:t>Kommunal- og moderniseringsdepartementets organisering i 2020:</w:t>
      </w:r>
    </w:p>
    <w:p w:rsidR="00557A6F" w:rsidRDefault="00557A6F" w:rsidP="00557A6F">
      <w:pPr>
        <w:pStyle w:val="Figur"/>
      </w:pPr>
      <w:r>
        <w:t>[:figur:fig1-1.jpg]</w:t>
      </w:r>
    </w:p>
    <w:p w:rsidR="00557A6F" w:rsidRDefault="00557A6F" w:rsidP="00557A6F">
      <w:pPr>
        <w:pStyle w:val="figur-tittel"/>
      </w:pPr>
      <w:r>
        <w:t>Organisasjonskart for Kommunal- og moderniseringsdepartementet med u</w:t>
      </w:r>
      <w:r>
        <w:t>n</w:t>
      </w:r>
      <w:r>
        <w:t>derliggende etater og andre virksomheter</w:t>
      </w:r>
    </w:p>
    <w:p w:rsidR="00557A6F" w:rsidRDefault="00557A6F" w:rsidP="00557A6F">
      <w:pPr>
        <w:pStyle w:val="figur-noter"/>
        <w:rPr>
          <w:rStyle w:val="skrift-hevet"/>
          <w:sz w:val="24"/>
          <w:szCs w:val="24"/>
        </w:rPr>
      </w:pPr>
      <w:r>
        <w:rPr>
          <w:rStyle w:val="skrift-hevet"/>
          <w:sz w:val="17"/>
          <w:szCs w:val="17"/>
        </w:rPr>
        <w:t>1</w:t>
      </w:r>
      <w:r>
        <w:tab/>
        <w:t>Aksjeselskap heleid av staten ved Kommunal- og moderniseringsdepartementet.</w:t>
      </w:r>
    </w:p>
    <w:p w:rsidR="00557A6F" w:rsidRDefault="00557A6F" w:rsidP="00557A6F">
      <w:pPr>
        <w:pStyle w:val="figur-noter"/>
        <w:rPr>
          <w:rStyle w:val="skrift-hevet"/>
          <w:sz w:val="24"/>
          <w:szCs w:val="24"/>
        </w:rPr>
      </w:pPr>
      <w:r>
        <w:rPr>
          <w:rStyle w:val="skrift-hevet"/>
          <w:sz w:val="17"/>
          <w:szCs w:val="17"/>
        </w:rPr>
        <w:t>2</w:t>
      </w:r>
      <w:r>
        <w:tab/>
        <w:t>Selvstendig folkevalgt organ.</w:t>
      </w:r>
    </w:p>
    <w:p w:rsidR="00557A6F" w:rsidRDefault="00557A6F" w:rsidP="00557A6F">
      <w:pPr>
        <w:pStyle w:val="figur-noter"/>
        <w:rPr>
          <w:rStyle w:val="skrift-hevet"/>
          <w:sz w:val="24"/>
          <w:szCs w:val="24"/>
        </w:rPr>
      </w:pPr>
      <w:r>
        <w:rPr>
          <w:rStyle w:val="skrift-hevet"/>
          <w:sz w:val="17"/>
          <w:szCs w:val="17"/>
        </w:rPr>
        <w:t>3</w:t>
      </w:r>
      <w:r>
        <w:tab/>
        <w:t>Kommunal- og moderniseringsdepartementet har ansvaret for bevilgningene til Kongehuset.</w:t>
      </w:r>
    </w:p>
    <w:p w:rsidR="00557A6F" w:rsidRDefault="00557A6F" w:rsidP="00557A6F">
      <w:pPr>
        <w:pStyle w:val="figur-noter"/>
        <w:rPr>
          <w:rStyle w:val="skrift-hevet"/>
          <w:sz w:val="24"/>
          <w:szCs w:val="24"/>
        </w:rPr>
      </w:pPr>
      <w:r>
        <w:rPr>
          <w:rStyle w:val="skrift-hevet"/>
          <w:sz w:val="17"/>
          <w:szCs w:val="17"/>
        </w:rPr>
        <w:t>4</w:t>
      </w:r>
      <w:r>
        <w:tab/>
        <w:t>Statsforetak eid av Nærings- og fiskeridepartementet. Forvalter tilskudd for Kommunal- og moderniseringsdepa</w:t>
      </w:r>
      <w:r>
        <w:t>r</w:t>
      </w:r>
      <w:r>
        <w:t>tementet.</w:t>
      </w:r>
    </w:p>
    <w:p w:rsidR="00557A6F" w:rsidRPr="00557A6F" w:rsidRDefault="00557A6F" w:rsidP="00557A6F">
      <w:pPr>
        <w:pStyle w:val="figur-noter"/>
      </w:pPr>
      <w:r>
        <w:rPr>
          <w:rStyle w:val="skrift-hevet"/>
          <w:sz w:val="17"/>
          <w:szCs w:val="17"/>
        </w:rPr>
        <w:t>5</w:t>
      </w:r>
      <w:r>
        <w:tab/>
        <w:t xml:space="preserve">Særlovsselskap eid av Nærings- og fiskeridepartementet. Forvalter tilskudd for Kommunal- og </w:t>
      </w:r>
      <w:r w:rsidRPr="00557A6F">
        <w:t>moderniseringsd</w:t>
      </w:r>
      <w:r w:rsidRPr="00557A6F">
        <w:t>e</w:t>
      </w:r>
      <w:r w:rsidRPr="00557A6F">
        <w:t>partementet.</w:t>
      </w:r>
    </w:p>
    <w:p w:rsidR="00557A6F" w:rsidRDefault="00557A6F" w:rsidP="00557A6F">
      <w:pPr>
        <w:pStyle w:val="Overskrift1"/>
      </w:pPr>
      <w:r>
        <w:lastRenderedPageBreak/>
        <w:t>Hovedmål og prioriteringer</w:t>
      </w:r>
    </w:p>
    <w:p w:rsidR="00557A6F" w:rsidRDefault="00557A6F" w:rsidP="00557A6F">
      <w:pPr>
        <w:pStyle w:val="Overskrift2"/>
      </w:pPr>
      <w:r>
        <w:t>Prioriteringer i budsjettet for 2020</w:t>
      </w:r>
    </w:p>
    <w:p w:rsidR="00557A6F" w:rsidRDefault="00557A6F" w:rsidP="00557A6F">
      <w:r>
        <w:t>Hovedprioriteringene i budsjettforslaget for Kommunal- og moderniseringsdepartementet er:</w:t>
      </w:r>
    </w:p>
    <w:p w:rsidR="00557A6F" w:rsidRDefault="00557A6F" w:rsidP="00557A6F">
      <w:pPr>
        <w:pStyle w:val="Liste"/>
      </w:pPr>
      <w:r>
        <w:t>Levende lokaldemokrati.</w:t>
      </w:r>
    </w:p>
    <w:p w:rsidR="00557A6F" w:rsidRDefault="00557A6F" w:rsidP="00557A6F">
      <w:pPr>
        <w:pStyle w:val="Liste"/>
      </w:pPr>
      <w:r>
        <w:t>En enklere hverdag.</w:t>
      </w:r>
    </w:p>
    <w:p w:rsidR="00557A6F" w:rsidRDefault="00557A6F" w:rsidP="00557A6F">
      <w:pPr>
        <w:pStyle w:val="Liste"/>
      </w:pPr>
      <w:r>
        <w:t>Trygge og gode boforhold.</w:t>
      </w:r>
    </w:p>
    <w:p w:rsidR="00557A6F" w:rsidRDefault="00557A6F" w:rsidP="00557A6F">
      <w:r>
        <w:t>Kommunesektoren har hatt god inntektsvekst de senere årene, og har et solid økonomisk fund</w:t>
      </w:r>
      <w:r>
        <w:t>a</w:t>
      </w:r>
      <w:r>
        <w:t>ment. En god og forutsigbar kommuneøkonomi er avgjørende for et godt og stabilt tjenestetilbud til innbyggerne. Regjeringen foreslår en realvekst i kommunesektorens samlede inntekter i 2020 på knapt 3,2 mrd. kr</w:t>
      </w:r>
      <w:r>
        <w:t>o</w:t>
      </w:r>
      <w:r>
        <w:t>ner. Realveksten i frie inntekter anslås til 1,3 mrd. kroner. Veksten er regnet fra anslått inntektsnivå for 2019 etter Stortingets behandling av revidert nasjonalbudsjett for 2019. Regjeringen foreslår at veksten i frie inntekter i sin helhet tildeles kommunene. Av veksten b</w:t>
      </w:r>
      <w:r>
        <w:t>e</w:t>
      </w:r>
      <w:r>
        <w:t>grunnes 400 mill. kroner med tidlig innsats i skolen og 150 mill. kroner til opptrappingsplanen på rusfeltet.</w:t>
      </w:r>
    </w:p>
    <w:p w:rsidR="00557A6F" w:rsidRDefault="00557A6F" w:rsidP="00557A6F">
      <w:r>
        <w:t>Kommune- og regionreformen bidrar til et levende lokaldemokrati, og flytter makt og myndighet nærmere innbyggerne. Innlemming av øremerkede tilskudd gir økt handlefrihet for kommunesek</w:t>
      </w:r>
      <w:r>
        <w:t>t</w:t>
      </w:r>
      <w:r>
        <w:t>oren og mindre byråkrati i både stat og kommune. Rammetilskuddene til kommuner og fylke</w:t>
      </w:r>
      <w:r>
        <w:t>s</w:t>
      </w:r>
      <w:r>
        <w:t>kommuner økes med knapt 4 mrd. kroner i 2020, som følge av oppgaveoverføringer og innle</w:t>
      </w:r>
      <w:r>
        <w:t>m</w:t>
      </w:r>
      <w:r>
        <w:t>minger. Fra Kommunal- og moderniseringsdepartementets område innlemmes tilskudd til etabl</w:t>
      </w:r>
      <w:r>
        <w:t>e</w:t>
      </w:r>
      <w:r>
        <w:t>ring og tilpasning av bolig på om lag 500 mill. kroner og regional- og distriktspolitiske tilskudd på 100 mill. kroner. Som del av regionrefo</w:t>
      </w:r>
      <w:r>
        <w:t>r</w:t>
      </w:r>
      <w:r>
        <w:t xml:space="preserve">men, overføres også oppdragsgiveransvaret for fem næringsrettede ordninger til fylkeskommunene. Midlene overføres til fylkeskommunene gjennom en ny øremerket post under programkategori 13.50 Distrikts- og regionalpolitikk. </w:t>
      </w:r>
    </w:p>
    <w:p w:rsidR="00557A6F" w:rsidRDefault="00557A6F" w:rsidP="00557A6F">
      <w:r>
        <w:t>Byggeprosjektet Campus Ås ferdigstilles i 2020. Byggeaktiviteten i statlige byggeprosjekter red</w:t>
      </w:r>
      <w:r>
        <w:t>u</w:t>
      </w:r>
      <w:r>
        <w:t>seres i 2020 sammenliknet med 2019, men er fortsatt på et høyt nivå. Regjeringen foreslår å starte opp nybygg for Vikin</w:t>
      </w:r>
      <w:r>
        <w:t>g</w:t>
      </w:r>
      <w:r>
        <w:t>tidsmuseet og rehabilitering av Ila fengsel. Regjeringen foreslår også midler til å prosjektere Campus NTNU, Ocean Space Laboratories i Trondheim og nytt fengsel i Oslo. Videre foreslås det å øke bevilgningen til rehabilitering og vedlikehold av kulturhistoriske eie</w:t>
      </w:r>
      <w:r>
        <w:t>n</w:t>
      </w:r>
      <w:r>
        <w:t>dommer. Rehabilitering av Rosenkrantztårnet skal prioriteres i 2020.</w:t>
      </w:r>
    </w:p>
    <w:p w:rsidR="00557A6F" w:rsidRDefault="00557A6F" w:rsidP="00557A6F">
      <w:r>
        <w:t>For å bidra til en enklere hverdag, fortsetter regjeringen arbeidet med å fornye, forenkle og forbe</w:t>
      </w:r>
      <w:r>
        <w:t>d</w:t>
      </w:r>
      <w:r>
        <w:t>re offentlig sektor. Det skal legges til rette for innovasjon, omstilling og digitalisering. Regjeringen for</w:t>
      </w:r>
      <w:r>
        <w:t>e</w:t>
      </w:r>
      <w:r>
        <w:t xml:space="preserve">slår 707 mill. kroner til nye digitaliseringstiltak i 2020. </w:t>
      </w:r>
    </w:p>
    <w:p w:rsidR="00557A6F" w:rsidRDefault="00557A6F" w:rsidP="00557A6F">
      <w:r>
        <w:t>På Kommunal- og moderniseringsdepartementets budsjett foreslås det å øke tilsagnsrammen for medfinansi</w:t>
      </w:r>
      <w:r>
        <w:t>e</w:t>
      </w:r>
      <w:r>
        <w:t>ringsordningen for digitaliseringsprosjekter med 60 mill. kroner til 187,9 mill. kroner. Tilskudd til bredbåndsu</w:t>
      </w:r>
      <w:r>
        <w:t>t</w:t>
      </w:r>
      <w:r>
        <w:t>bygging foreslås økt med 50 mill. kroner til 256 mill. kroner. For å styrke beredskapen og lokal krisehåndteringsevne, foreslås det en økning på 15 mill. kroner til progra</w:t>
      </w:r>
      <w:r>
        <w:t>m</w:t>
      </w:r>
      <w:r>
        <w:t>met forsterket ekom. Det foreslås 10 mill. kroner til Digitaliseringsdirektoratets arbeid med deling av data, noe som er en forutsetning for utvikling av mer sa</w:t>
      </w:r>
      <w:r>
        <w:t>m</w:t>
      </w:r>
      <w:r>
        <w:t>menhengende offentlige tjenester. I tillegg foreslås det 8,6 mill. kroner til Nasjonal kommunikasjonsmyndighets arbeid med å legge til rette for innføring av 5G, og 11 mill. kroner til etablering av en markedsplass for skytje</w:t>
      </w:r>
      <w:r>
        <w:t>n</w:t>
      </w:r>
      <w:r>
        <w:t xml:space="preserve">ester rettet mot offentlig sektor. </w:t>
      </w:r>
    </w:p>
    <w:p w:rsidR="00557A6F" w:rsidRDefault="00557A6F" w:rsidP="00557A6F">
      <w:r>
        <w:t>Et godt kunnskapsgrunnlag bidrar til bedre og mer effektiv samfunns- og arealplanlegging, og gir grunnlag for ve</w:t>
      </w:r>
      <w:r>
        <w:t>r</w:t>
      </w:r>
      <w:r>
        <w:t>diskapning og utvikling som en rekke samfunnsaktører drar nytte av. Regjeringen vil i 2020 starte et pilotprosjekt for marine grunnkart, som vil kartlegge naturressurser i kystnære områder. For å bidra til økt kvalitet på det offen</w:t>
      </w:r>
      <w:r>
        <w:t>t</w:t>
      </w:r>
      <w:r>
        <w:t xml:space="preserve">lige datagrunnlaget ble det bevilget 15 mill. kroner til videreutvikling av matrikkelen i 2018. Regjeringen foreslår en ytterligere økning på 30 mill. kroner i 2020. Videre skal arbeidet med nasjonal detaljert høydemodell fortsette, med en samlet statlig innsats på om lag 65 mill. kroner i 2020. </w:t>
      </w:r>
    </w:p>
    <w:p w:rsidR="00557A6F" w:rsidRDefault="00557A6F" w:rsidP="00557A6F">
      <w:r>
        <w:t>Trygge og gode boforhold er viktig for å bekjempe fattigdom. For å redusere barnefattigdom, ble bostøtten til barnefamilier og andre store husstander økt med 126 mill. kroner i 2019. Helårsvir</w:t>
      </w:r>
      <w:r>
        <w:t>k</w:t>
      </w:r>
      <w:r>
        <w:t>ningen i 2020 er på om lag 225 mill. kroner. Det innebærer at 22 000 barnefamilier og andre store husstander får økt bostøtten med opptil 13 300 kroner per år. Videre foreslår regjeringen 30 mill. kroner til å utvikle digitale løsninger for å søke, tildele og administrere kommunale boliger. Det skal blant annet bidra til at flere vanskeligstilte får tilbud om egnet u</w:t>
      </w:r>
      <w:r>
        <w:t>t</w:t>
      </w:r>
      <w:r>
        <w:lastRenderedPageBreak/>
        <w:t>leiebolig. Regjeringen foreslår å videreføre lånerammen for Husbanken på 16 mrd. kroner i 2020. Startlån og utleieboliger til vanskeligstilte skal prioriteres også i 2020.</w:t>
      </w:r>
    </w:p>
    <w:p w:rsidR="00557A6F" w:rsidRDefault="00557A6F" w:rsidP="00557A6F">
      <w:pPr>
        <w:pStyle w:val="Overskrift2"/>
      </w:pPr>
      <w:r>
        <w:t>Levende lokaldemokrati</w:t>
      </w:r>
    </w:p>
    <w:p w:rsidR="00557A6F" w:rsidRDefault="00557A6F" w:rsidP="00557A6F">
      <w:r>
        <w:t>Regjeringen vil legge til rette for et levende lokaldemokrati i hele landet. Et sterkt lokalt folkestyre gir folk og lokalsamfunn frihet og mulighet til å styre sin egen hverdag og samfunnsutvikling. L</w:t>
      </w:r>
      <w:r>
        <w:t>o</w:t>
      </w:r>
      <w:r>
        <w:t>kalt handlingsrom er en forutsetning for at kommunen kan jobbe med innovasjon og lokalt tilpa</w:t>
      </w:r>
      <w:r>
        <w:t>s</w:t>
      </w:r>
      <w:r>
        <w:t>sede løsninger. Under denne regjeringen har kommunesektorens frie inntekter økt med 30 mrd. kroner, og kommunesektoren har derfor et godt økonomisk fundament med gode netto driftsresu</w:t>
      </w:r>
      <w:r>
        <w:t>l</w:t>
      </w:r>
      <w:r>
        <w:t>tater. Veksten har i tillegg til å dekke økte demografikostnader også gitt sektoren rom for å styrke det kommunale tjenestetilbudet. Dette gje</w:t>
      </w:r>
      <w:r>
        <w:t>n</w:t>
      </w:r>
      <w:r>
        <w:t xml:space="preserve">speiles i at antallet kommuner i Register om betinget godkjenning og kontroll (ROBEK) er historisk lavt. En god og forutsigbar kommuneøkonomi er avgjørende for å realisere hovedsatsinger, og regjeringen vil fortsette å prioritere gode økonomiske rammebetingelser for kommunesektoren også i 2020. </w:t>
      </w:r>
    </w:p>
    <w:p w:rsidR="00557A6F" w:rsidRDefault="00557A6F" w:rsidP="00557A6F">
      <w:pPr>
        <w:pStyle w:val="avsnitt-tittel"/>
      </w:pPr>
      <w:r>
        <w:t>Større og sterkere kommuner og fylkeskommuner</w:t>
      </w:r>
    </w:p>
    <w:p w:rsidR="00557A6F" w:rsidRDefault="00557A6F" w:rsidP="00557A6F">
      <w:r>
        <w:t>Kommunereformen er en viktig velferdsreform. Formålet er å gi gode og likeverdige tjenester til innbyggerne, en mer helhetlig og samordnet samfunnsutvikling, bærekraftige og økonomisk robu</w:t>
      </w:r>
      <w:r>
        <w:t>s</w:t>
      </w:r>
      <w:r>
        <w:t>te kommuner og et styrket lokaldemokrati. I perioden 2014–2017 ble totalt 119 kommuner vedtatt slått sammen til 47 nye kommuner. Antall kommuner vil dermed bli redusert fra 428 i 2014 til 356 i 2020. En av tre innbyggere vil med dette tilhøre en ny kommune. De nye kommunene vil kunne bli nye tyngdepunkt som sterkere kan hevde sine interesser både i regional og nasjonal samme</w:t>
      </w:r>
      <w:r>
        <w:t>n</w:t>
      </w:r>
      <w:r>
        <w:t>heng. Endringene som formelt trer i kraft fra 1. januar 2020, vil påvirke alle kommuner, også de som så langt har funnet det best å fortsette alene.</w:t>
      </w:r>
    </w:p>
    <w:p w:rsidR="00557A6F" w:rsidRDefault="00557A6F" w:rsidP="00557A6F">
      <w:r>
        <w:t>Til tross for et høyt antall sammenslåinger i reformen, er ikke hovedtrekkene ved kommunestru</w:t>
      </w:r>
      <w:r>
        <w:t>k</w:t>
      </w:r>
      <w:r>
        <w:t>turen endret. Det vil bli nye, større kommuner med mer solide organisasjoner og fagmiljøer, men fortsatt vil om lag halvparten av kommunene ha under 5 000 innbyggere. Flere enn 120 kommuner vil ha færre enn 3 000 innbyggere.</w:t>
      </w:r>
    </w:p>
    <w:p w:rsidR="00557A6F" w:rsidRDefault="00557A6F" w:rsidP="00557A6F">
      <w:r>
        <w:t>9 av de 15 største kommunene er nye i 2020, samtidig som mange av de minste kommunene består. Dette inn</w:t>
      </w:r>
      <w:r>
        <w:t>e</w:t>
      </w:r>
      <w:r>
        <w:t>bærer at det har blitt større strekk i laget mellom de største og de minste kommunene. Som følge av endringer i befolkningssammensetningen, vil dette øke ytterligere de neste 10–15 årene. Særlig bekymringsfullt er det at flere av de små kommunene allerede i dag har vansker med å rekruttere og beholde tilstrekkelig kapasitet og kompetanse til å levere gode og likeverdige tj</w:t>
      </w:r>
      <w:r>
        <w:t>e</w:t>
      </w:r>
      <w:r>
        <w:t>nester til sine innbyggere. Samtidig opplever kommuner i byo</w:t>
      </w:r>
      <w:r>
        <w:t>m</w:t>
      </w:r>
      <w:r>
        <w:t xml:space="preserve">råder befolkningsvekst, og mange av de store byene har mangel på egnet areal for å legge til rette for framtidig vekst. </w:t>
      </w:r>
    </w:p>
    <w:p w:rsidR="00557A6F" w:rsidRDefault="00557A6F" w:rsidP="00557A6F">
      <w:r>
        <w:t>Arbeidet med å legge til rette for flere kommunesammenslåinger vil derfor fortsette. I Granavo</w:t>
      </w:r>
      <w:r>
        <w:t>l</w:t>
      </w:r>
      <w:r>
        <w:t>den-plattformen slår regjeringen fast at dette skal skje gjennom positive insentiver og gode lokale prose</w:t>
      </w:r>
      <w:r>
        <w:t>s</w:t>
      </w:r>
      <w:r>
        <w:t>ser. Stortinget har gitt sin tilslutning til at det også i det videre arbeidet legges til rette for gode og lan</w:t>
      </w:r>
      <w:r>
        <w:t>g</w:t>
      </w:r>
      <w:r>
        <w:t>siktige økonomiske virkemidler for kommuner som ønsker å slå seg sammen.</w:t>
      </w:r>
    </w:p>
    <w:p w:rsidR="00557A6F" w:rsidRDefault="00557A6F" w:rsidP="00557A6F">
      <w:r>
        <w:t>Regionreformen som ble vedtatt av Stortinget i juni 2017, gjør at vi går fra 19 fylker før reformen startet til elleve fylker i 2020. Målene for regionreformen er større fylkeskommuner med økt kap</w:t>
      </w:r>
      <w:r>
        <w:t>a</w:t>
      </w:r>
      <w:r>
        <w:t>sitet og kompetanse til å ivareta dagens oppgaver på en bedre måte, og til å påta seg nye oppgaver. Fra 2020 vil ingen fylkeskommuner ha u</w:t>
      </w:r>
      <w:r>
        <w:t>n</w:t>
      </w:r>
      <w:r>
        <w:t>der 200 000 innbyggere. Når fylkeskommunene nå blir større, skal de også få flere virkemidler til å utvikle fylkene i tråd med regionale behov og muli</w:t>
      </w:r>
      <w:r>
        <w:t>g</w:t>
      </w:r>
      <w:r>
        <w:t>heter. Det overføres oppgaver og virkemidler innenfor områder der fylkeskommunene allerede har ansvar og kompetanse, for eksempel innen samferdsel, næringsutvikling, klima og miljø, integr</w:t>
      </w:r>
      <w:r>
        <w:t>e</w:t>
      </w:r>
      <w:r>
        <w:t xml:space="preserve">ring og landbruk. </w:t>
      </w:r>
    </w:p>
    <w:p w:rsidR="00557A6F" w:rsidRDefault="00557A6F" w:rsidP="00557A6F">
      <w:r>
        <w:t>Regjeringen foreslår å innlemme en rekke øremerkede tilskudd i rammetilskuddet i 2020 og vil avvi</w:t>
      </w:r>
      <w:r>
        <w:t>k</w:t>
      </w:r>
      <w:r>
        <w:t>le flere tilskudd over tid. Dette styrker det kommunale selvstyret, og fører til mindre byråkrati i både staten og komm</w:t>
      </w:r>
      <w:r>
        <w:t>u</w:t>
      </w:r>
      <w:r>
        <w:t>nesektoren.</w:t>
      </w:r>
    </w:p>
    <w:p w:rsidR="00557A6F" w:rsidRDefault="00557A6F" w:rsidP="00557A6F">
      <w:r>
        <w:t>Ny kommunelov trer i kraft høsten 2019. Det kommunale selvstyret er lovfestet, og med det er det t</w:t>
      </w:r>
      <w:r>
        <w:t>y</w:t>
      </w:r>
      <w:r>
        <w:t xml:space="preserve">deliggjort at kommuner og fylkeskommuner er selvstendige rettssubjekter med egen folkevalgt ledelse, som ikke kan styres eller instrueres av statsforvaltningen uten hjemmel i lov. </w:t>
      </w:r>
    </w:p>
    <w:p w:rsidR="00557A6F" w:rsidRDefault="00557A6F" w:rsidP="00557A6F">
      <w:pPr>
        <w:pStyle w:val="avsnitt-tittel"/>
      </w:pPr>
      <w:r>
        <w:lastRenderedPageBreak/>
        <w:t>Planlegging som verktøy for helhetlig og bærekraftig utvikling</w:t>
      </w:r>
    </w:p>
    <w:p w:rsidR="00557A6F" w:rsidRDefault="00557A6F" w:rsidP="00557A6F">
      <w:r>
        <w:t>Et levende lokaldemokrati forutsetter et stort handlingsrom for kommunesektoren innen arealpla</w:t>
      </w:r>
      <w:r>
        <w:t>n</w:t>
      </w:r>
      <w:r>
        <w:t>legging og lokal samfunnsutvikling. Regjeringen vil derfor tydelig avgrense planleggingsansvaret mellom det r</w:t>
      </w:r>
      <w:r>
        <w:t>e</w:t>
      </w:r>
      <w:r>
        <w:t xml:space="preserve">gionale og lokale nivået, og samordne og tydeliggjøre statlige føringer og regelverk. </w:t>
      </w:r>
    </w:p>
    <w:p w:rsidR="00557A6F" w:rsidRDefault="00557A6F" w:rsidP="00557A6F">
      <w:r>
        <w:t>Regjeringen ønsker at planlegging skal være et effektivt verktøy for gjennomføring av nasjonal, regional og kommunal politikk. Gjennom kommuneplanlegging etter plan- og bygningsloven er kommunene gitt et handlingsrom til å sette dagsorden og forme den lokale utviklingen, både i</w:t>
      </w:r>
      <w:r>
        <w:t>n</w:t>
      </w:r>
      <w:r>
        <w:t>nenfor egne ansvarsområder og for utvi</w:t>
      </w:r>
      <w:r>
        <w:t>k</w:t>
      </w:r>
      <w:r>
        <w:t>lingen av lokalsamfunnet som helhet. Kommunene er den viktigste planmyndigheten og førstelinjen for næringsutvikling. Nærhet til innbyggere og næring</w:t>
      </w:r>
      <w:r>
        <w:t>s</w:t>
      </w:r>
      <w:r>
        <w:t>liv gir kommunene gode forutsetninger for å være en pådriver i sa</w:t>
      </w:r>
      <w:r>
        <w:t>m</w:t>
      </w:r>
      <w:r>
        <w:t>funns- og næringsutviklingen. Større kommuner vil få økt kompetanse og kapasitet, noe som vil styrke rollen som utviklingsaktør.</w:t>
      </w:r>
    </w:p>
    <w:p w:rsidR="00557A6F" w:rsidRDefault="00557A6F" w:rsidP="00557A6F">
      <w:r>
        <w:t xml:space="preserve">Planpolitiske føringer fra staten er et viktig grunnlag for den regionale og lokale planleggingen. Regjeringen la i mai 2019 fram </w:t>
      </w:r>
      <w:r>
        <w:rPr>
          <w:rStyle w:val="kursiv"/>
          <w:sz w:val="21"/>
          <w:szCs w:val="21"/>
        </w:rPr>
        <w:t>Nasjonale forventninger til regional og kommunal planlegging 2019–2023</w:t>
      </w:r>
      <w:r>
        <w:t>. Pla</w:t>
      </w:r>
      <w:r>
        <w:t>n</w:t>
      </w:r>
      <w:r>
        <w:t>legging er et av de viktigste verktøyene for å håndtere utfordringer knyttet til klima, miljø, økonomi og sosiale forhold. Det er derfor også viktig at FNs bærekraftsmål blir en del av grunnl</w:t>
      </w:r>
      <w:r>
        <w:t>a</w:t>
      </w:r>
      <w:r>
        <w:t>get for samfunns- og arealplanleggingen. Forven</w:t>
      </w:r>
      <w:r>
        <w:t>t</w:t>
      </w:r>
      <w:r>
        <w:t>ningene skal også bidra til bedre samhandling mellom plannivåene og me</w:t>
      </w:r>
      <w:r>
        <w:t>l</w:t>
      </w:r>
      <w:r>
        <w:t xml:space="preserve">lom ulike myndigheter, slik at planene setter mer relevante mål, og at disse målene nås. </w:t>
      </w:r>
    </w:p>
    <w:p w:rsidR="00557A6F" w:rsidRDefault="00557A6F" w:rsidP="00557A6F">
      <w:r>
        <w:t>Utfordringer og muligheter varierer fra sted til sted. Regjeringen vil formidle den nasjonale pol</w:t>
      </w:r>
      <w:r>
        <w:t>i</w:t>
      </w:r>
      <w:r>
        <w:t>tikken på en tyd</w:t>
      </w:r>
      <w:r>
        <w:t>e</w:t>
      </w:r>
      <w:r>
        <w:t>lig måte, slik at planlegging i fylkeskommuner og kommuner kan skje effektivt og til beste for innbyggere i hele landet. Samtidig styrker regjeringen det lokale selvstyret i planle</w:t>
      </w:r>
      <w:r>
        <w:t>g</w:t>
      </w:r>
      <w:r>
        <w:t>gingen. Det betyr at fylkeskommunene og sæ</w:t>
      </w:r>
      <w:r>
        <w:t>r</w:t>
      </w:r>
      <w:r>
        <w:t>lig kommunene får økt ansvar for å sikre nasjonale og viktige regionale interesser. Regjeringen ønsker at regional og lokal samfunns- og arealplanle</w:t>
      </w:r>
      <w:r>
        <w:t>g</w:t>
      </w:r>
      <w:r>
        <w:t>ging skal være basert på en åpen dialog mellom alle parter, der også staten deltar. Regjeringen le</w:t>
      </w:r>
      <w:r>
        <w:t>g</w:t>
      </w:r>
      <w:r>
        <w:t>ger stor vekt på lokaldemokratiet i plan- og byggesaker, samtidig som nasjonale hensyn skal ivar</w:t>
      </w:r>
      <w:r>
        <w:t>e</w:t>
      </w:r>
      <w:r>
        <w:t xml:space="preserve">tas. Nasjonale forventninger skal derfor forstås i den lokale sammenhengen når planer utarbeides og gjennomføres. </w:t>
      </w:r>
    </w:p>
    <w:p w:rsidR="00557A6F" w:rsidRDefault="00557A6F" w:rsidP="00557A6F">
      <w:r>
        <w:t>Regjeringen legger vekt på at innbyggere, fritidsboligeiere, organisasjoner og institusjoner, frivillig sektor og næringslivet kan delta i planprosessene. Det kan skje ved at kunnskapsgrunnlaget er oppdatert, at planprosessene gjøres tilgjengelig og forståelig, og at det legges til rette for deltakelse i prosessene. Tidlig og god involvering sikrer synliggjøring av relevant kunnskap og viktige inte</w:t>
      </w:r>
      <w:r>
        <w:t>r</w:t>
      </w:r>
      <w:r>
        <w:t>esser. Det vil gi et bedre grunnlag for interesseavveininger og styrke planleggingen som demokr</w:t>
      </w:r>
      <w:r>
        <w:t>a</w:t>
      </w:r>
      <w:r>
        <w:t xml:space="preserve">tisk arena. Det vil også bidra til å redusere konfliktnivået og heve kvaliteten på planene. </w:t>
      </w:r>
    </w:p>
    <w:p w:rsidR="00557A6F" w:rsidRDefault="00557A6F" w:rsidP="00557A6F">
      <w:pPr>
        <w:pStyle w:val="avsnitt-tittel"/>
      </w:pPr>
      <w:r>
        <w:t>Levende lokalsamfunn for framtiden</w:t>
      </w:r>
    </w:p>
    <w:p w:rsidR="00557A6F" w:rsidRDefault="00557A6F" w:rsidP="00557A6F">
      <w:r>
        <w:t>Regjeringen ønsker levende lokalsamfunn og vekst i hele landet. Næringslivet i mange distrikt</w:t>
      </w:r>
      <w:r>
        <w:t>s</w:t>
      </w:r>
      <w:r>
        <w:t>områder går godt, og folk bor der verdiene er og skapes. Det gjør sterke bedrifter og levende loka</w:t>
      </w:r>
      <w:r>
        <w:t>l</w:t>
      </w:r>
      <w:r>
        <w:t>samfunn til konkurransefortrinn for Norge. Granavolden-plattformen hviler på en grunnleggende forståelse av at Norge er et samfunn med små forskjeller, tillit mellom folk og høy grad av tryg</w:t>
      </w:r>
      <w:r>
        <w:t>g</w:t>
      </w:r>
      <w:r>
        <w:t xml:space="preserve">het. </w:t>
      </w:r>
    </w:p>
    <w:p w:rsidR="00557A6F" w:rsidRDefault="00557A6F" w:rsidP="00557A6F">
      <w:r>
        <w:t>Dette er ikke minst viktig i en tid der nødvendige strukturendringer gjennomføres på mange omr</w:t>
      </w:r>
      <w:r>
        <w:t>å</w:t>
      </w:r>
      <w:r>
        <w:t>der. Reformene bidrar til en framtidsrettet og nødvendig samfunnsstruktur, som gir bedre tjenester der folk bor og bedrifter har sitt virke. Med regionreformen får fylkeskommunen et større ansvar for oppgaver og virkemidler som er viktige for å legge til rette for flere arbeidsplasser, vekstkraft og økt bosetting i dis</w:t>
      </w:r>
      <w:r>
        <w:t>t</w:t>
      </w:r>
      <w:r>
        <w:t xml:space="preserve">riktene. </w:t>
      </w:r>
    </w:p>
    <w:p w:rsidR="00557A6F" w:rsidRDefault="00557A6F" w:rsidP="00557A6F">
      <w:r>
        <w:t>Det viktigste for levende lokalsamfunn i hele Norge er et næringsliv som opprettholder og skaper nye lønnsomme arbeidsplasser. Gjennom å satse på arbeids-, nærings- og skattepolitikken fører regjeringen en politikk som gir folk en jobb å gå til, og som gjør at bedriftene kan vokse og skape framtidens jobber. Samferdsel, kompetanse og utdanning, kultur, frivillighet og helse er også vi</w:t>
      </w:r>
      <w:r>
        <w:t>k</w:t>
      </w:r>
      <w:r>
        <w:t>tige områder som bidrar til livskraftige lokalsamfunn og di</w:t>
      </w:r>
      <w:r>
        <w:t>s</w:t>
      </w:r>
      <w:r>
        <w:t xml:space="preserve">triktssentre. </w:t>
      </w:r>
    </w:p>
    <w:p w:rsidR="00557A6F" w:rsidRDefault="00557A6F" w:rsidP="00557A6F">
      <w:r>
        <w:t>Mange bedrifter og kommuner klarer ikke utløse potensialet sitt, fordi det er krevende å beholde og rekruttere relevant arbeidskraft og kompetanse. Regjeringen vil styrke innsatsen for å få flere i jobb, og for at befolkningen har relevant utdanning og relevant kompetanse for å møte arbeid</w:t>
      </w:r>
      <w:r>
        <w:t>s</w:t>
      </w:r>
      <w:r>
        <w:t>kraftsbehovene, både i privat og o</w:t>
      </w:r>
      <w:r>
        <w:t>f</w:t>
      </w:r>
      <w:r>
        <w:t>fentlig sektor. Regjeringen er opptatt av å videreutvikle effektive og moderne statlige tjenester, som nyttiggjør seg teknologiske muligheter og sørger for at befol</w:t>
      </w:r>
      <w:r>
        <w:t>k</w:t>
      </w:r>
      <w:r>
        <w:t>ningen har tilgang til grunnleggende og likeverdige tjene</w:t>
      </w:r>
      <w:r>
        <w:t>s</w:t>
      </w:r>
      <w:r>
        <w:lastRenderedPageBreak/>
        <w:t xml:space="preserve">ter i hele landet. Regjeringen vil samtidig arbeide for at statlige arbeidsplasser skal lokaliseres over hele landet, og at det skal være en god regional fordeling av statlige arbeidsplasser. </w:t>
      </w:r>
    </w:p>
    <w:p w:rsidR="00557A6F" w:rsidRDefault="00557A6F" w:rsidP="00557A6F">
      <w:r>
        <w:t>Regjeringen vil om kort tid legge fram en stortingsmelding om distriktspolitikken. Høsten 2020 vil r</w:t>
      </w:r>
      <w:r>
        <w:t>e</w:t>
      </w:r>
      <w:r>
        <w:t>gjeringen etter planen legge fram en ny stortingsmelding om nordområdepolitikken.</w:t>
      </w:r>
    </w:p>
    <w:p w:rsidR="00557A6F" w:rsidRDefault="00557A6F" w:rsidP="00557A6F">
      <w:pPr>
        <w:pStyle w:val="Overskrift2"/>
      </w:pPr>
      <w:r>
        <w:t>En enklere hverdag</w:t>
      </w:r>
    </w:p>
    <w:p w:rsidR="00557A6F" w:rsidRDefault="00557A6F" w:rsidP="00557A6F">
      <w:pPr>
        <w:pStyle w:val="avsnitt-tittel"/>
      </w:pPr>
      <w:r>
        <w:t>En brukerorientert, moderne og effektiv offentlig forvaltning</w:t>
      </w:r>
    </w:p>
    <w:p w:rsidR="00557A6F" w:rsidRDefault="00557A6F" w:rsidP="00557A6F">
      <w:r>
        <w:t>Offentlig sektor har høy tillit i Norge, og de fleste innbyggerne er fornøyd med tjenestene stat og ko</w:t>
      </w:r>
      <w:r>
        <w:t>m</w:t>
      </w:r>
      <w:r>
        <w:t>mune leverer. Det er et godt utgangspunkt. Samtidig må velferdssamfunnet være bærekraftig. Offentlig sektor må være forberedt på lavere oljeinntekter og en økende andel eldre i befolkningen. Offentlig sektor må være omstillingsdyktig og bruke ressursene effektivt og i samsvar med in</w:t>
      </w:r>
      <w:r>
        <w:t>n</w:t>
      </w:r>
      <w:r>
        <w:t xml:space="preserve">byggernes behov. </w:t>
      </w:r>
    </w:p>
    <w:p w:rsidR="00557A6F" w:rsidRDefault="00557A6F" w:rsidP="00557A6F">
      <w:r>
        <w:t>Siden regjeringen tiltrådte i 2013 har den hatt stor oppmerksomhet på å fornye, forenkle og fo</w:t>
      </w:r>
      <w:r>
        <w:t>r</w:t>
      </w:r>
      <w:r>
        <w:t>bedre offentlig sektor. En rekke forenklingstiltak er gjennomført innenfor de ulike sektorene. Mange av tiltakene handler om å forenkle lov- og regelverk, forenkle og forbedre rutiner, lage d</w:t>
      </w:r>
      <w:r>
        <w:t>i</w:t>
      </w:r>
      <w:r>
        <w:t>gitale selvbetjeningsløsninger, og øke valgfriheten for innbyggerne. For at innbyggerne og n</w:t>
      </w:r>
      <w:r>
        <w:t>æ</w:t>
      </w:r>
      <w:r>
        <w:t>ringslivet skal få en enklere hverdag, er det viktig at det brukes mindre tid og penger på unødve</w:t>
      </w:r>
      <w:r>
        <w:t>n</w:t>
      </w:r>
      <w:r>
        <w:t>dig eller tungvint administrasjon, og mer på å levere gode tjenester.</w:t>
      </w:r>
    </w:p>
    <w:p w:rsidR="00557A6F" w:rsidRDefault="00557A6F" w:rsidP="00557A6F">
      <w:r>
        <w:t>Omstillingsarbeidet skal skje kontinuerlig. Det må bygges en kultur for innovasjon og omstilling i offen</w:t>
      </w:r>
      <w:r>
        <w:t>t</w:t>
      </w:r>
      <w:r>
        <w:t>lig sektor, med mindre detaljstyring og mer tillit. Regjeringen vil sørge for at både næringsliv og kommuner kan bruke mer tid på å skape verdier, og mindre tid på papirarbeid. Enklere regler, mindre byråkrati og brukervennlige digitale tjene</w:t>
      </w:r>
      <w:r>
        <w:t>s</w:t>
      </w:r>
      <w:r>
        <w:t>ter vil skape større frihet i hverdagen, og et bedre møte mellom offentlig se</w:t>
      </w:r>
      <w:r>
        <w:t>k</w:t>
      </w:r>
      <w:r>
        <w:t>tor og innbyggerne. Utviklingen av offentlig forvaltning skal sikre gode tjenester, bedre samordning og god bruk av samfunnets ressurser. Utviklingen skal forankres i sentrale forvaltningsverdier som demokrati, fa</w:t>
      </w:r>
      <w:r>
        <w:t>g</w:t>
      </w:r>
      <w:r>
        <w:t>lig integritet, effektivitet og rettssikkerhet.</w:t>
      </w:r>
    </w:p>
    <w:p w:rsidR="00557A6F" w:rsidRDefault="00557A6F" w:rsidP="00557A6F">
      <w:r>
        <w:t>Nedenfor gjøres det rede for noen av departementets konkrete tiltak for å fremme den ønskede u</w:t>
      </w:r>
      <w:r>
        <w:t>t</w:t>
      </w:r>
      <w:r>
        <w:t>viklingen. I tillegg vil det være satsinger og tiltak på andre departementers områder som er sentrale for de</w:t>
      </w:r>
      <w:r>
        <w:t>t</w:t>
      </w:r>
      <w:r>
        <w:t>te.</w:t>
      </w:r>
    </w:p>
    <w:p w:rsidR="00557A6F" w:rsidRDefault="00557A6F" w:rsidP="00557A6F">
      <w:pPr>
        <w:pStyle w:val="avsnitt-under-undertittel"/>
      </w:pPr>
      <w:r>
        <w:t>Innovasjon i offentlig sektor</w:t>
      </w:r>
    </w:p>
    <w:p w:rsidR="00557A6F" w:rsidRDefault="00557A6F" w:rsidP="00557A6F">
      <w:r>
        <w:t>Forventninger fra brukerne og krav til effektivisering fordrer nye løsninger, og innovasjon gjør det mulig å løse samfunnsoppdraget på helt nye måter. Regjeringen tar sikte på å legge fram en sto</w:t>
      </w:r>
      <w:r>
        <w:t>r</w:t>
      </w:r>
      <w:r>
        <w:t>tingsmelding om innovasjon i offentlig sektor i 2020. Meldingen skal presentere en nasjonal pol</w:t>
      </w:r>
      <w:r>
        <w:t>i</w:t>
      </w:r>
      <w:r>
        <w:t>tikk som staker ut en tydelig retning for arbeidet som står seg over tid, etablerer gode rammevilkår, og legger til rette for en kultur for økt innovasjon. Den skal gi konkrete verktøy for ledere og a</w:t>
      </w:r>
      <w:r>
        <w:t>n</w:t>
      </w:r>
      <w:r>
        <w:t>satte, som stimulerer til nyten</w:t>
      </w:r>
      <w:r>
        <w:t>k</w:t>
      </w:r>
      <w:r>
        <w:t>ning og innovasjon.</w:t>
      </w:r>
    </w:p>
    <w:p w:rsidR="00557A6F" w:rsidRDefault="00557A6F" w:rsidP="00557A6F">
      <w:r>
        <w:t>StimuLab er en stimuleringsordning for innovasjon og tjenestedesign i offentlig sektor. Formålet med ordningen er å øke innovasjonskapasiteten, og å bidra til kunnskapsutvikling og brukerorie</w:t>
      </w:r>
      <w:r>
        <w:t>n</w:t>
      </w:r>
      <w:r>
        <w:t>tert nyskaping i statlige virksomheter og kommuner gjennom tilskudd og faglig veiledning til pr</w:t>
      </w:r>
      <w:r>
        <w:t>o</w:t>
      </w:r>
      <w:r>
        <w:t>sjekter. Se nærmere omtale av ordningen under kap. 540 Digitaliseringsdirektoratet, post 26 St</w:t>
      </w:r>
      <w:r>
        <w:t>i</w:t>
      </w:r>
      <w:r>
        <w:t>muLab.</w:t>
      </w:r>
    </w:p>
    <w:p w:rsidR="00557A6F" w:rsidRDefault="00557A6F" w:rsidP="00557A6F">
      <w:pPr>
        <w:pStyle w:val="avsnitt-under-undertittel"/>
      </w:pPr>
      <w:r>
        <w:t>Innovasjonspartnerskap</w:t>
      </w:r>
    </w:p>
    <w:p w:rsidR="00557A6F" w:rsidRDefault="00557A6F" w:rsidP="00557A6F">
      <w:r>
        <w:t>Innovasjonspartnerskap er et tiltak for samarbeid med privat sektor om innovative offentlige in</w:t>
      </w:r>
      <w:r>
        <w:t>n</w:t>
      </w:r>
      <w:r>
        <w:t>kjøp. Målet med ordningen for offentlig sektor er økt produktivitet, reduserte kostnader, og økt kvalitet i tilbud og tjenester. For næringslivet er målet nye produkter og markeder som treffer lan</w:t>
      </w:r>
      <w:r>
        <w:t>g</w:t>
      </w:r>
      <w:r>
        <w:t>siktige og strategiske behov i det offentlige. Nærings- og fiskeridepartementet og Samferdselsd</w:t>
      </w:r>
      <w:r>
        <w:t>e</w:t>
      </w:r>
      <w:r>
        <w:t>partementet bidrar også med midler til ordningen.</w:t>
      </w:r>
    </w:p>
    <w:p w:rsidR="00557A6F" w:rsidRDefault="00557A6F" w:rsidP="00557A6F">
      <w:r>
        <w:t>Ordningen Innovasjonspartnerskap ble initiert i 2017, og så langt har 14 offentlig-private innov</w:t>
      </w:r>
      <w:r>
        <w:t>a</w:t>
      </w:r>
      <w:r>
        <w:t>sjonssamarbeid fått risikoavlastning og prosessveiledning fra Innovasjon Norge. Utviklingspr</w:t>
      </w:r>
      <w:r>
        <w:t>o</w:t>
      </w:r>
      <w:r>
        <w:t>sjektene favner 51 offentlige pr</w:t>
      </w:r>
      <w:r>
        <w:t>o</w:t>
      </w:r>
      <w:r>
        <w:t>sjektdeltakere, og over 400 små og store selskaper har deltatt i markedsdialogene. Blant produktene som er i test er system for å lose folk ut av brennende tunn</w:t>
      </w:r>
      <w:r>
        <w:t>e</w:t>
      </w:r>
      <w:r>
        <w:t>ler, treningsrobot for bruk i reh</w:t>
      </w:r>
      <w:r>
        <w:t>a</w:t>
      </w:r>
      <w:r>
        <w:t xml:space="preserve">bilitering og smart-rullator som hjelper eldre til aktivitet. </w:t>
      </w:r>
    </w:p>
    <w:p w:rsidR="00557A6F" w:rsidRDefault="00557A6F" w:rsidP="00557A6F">
      <w:r>
        <w:t>Å opprettholde en effektiv offentlig sektor, som leverer tjenester av høy kvalitet til innbyggerne, er a</w:t>
      </w:r>
      <w:r>
        <w:t>v</w:t>
      </w:r>
      <w:r>
        <w:t xml:space="preserve">gjørende både for velferdsstatens framtid, og for å nå målene i distrikts- og regionalpolitikken. Distriktene vil være de </w:t>
      </w:r>
      <w:r>
        <w:lastRenderedPageBreak/>
        <w:t>første til å merke konsekvensene av at det blir flere eldre per person i y</w:t>
      </w:r>
      <w:r>
        <w:t>r</w:t>
      </w:r>
      <w:r>
        <w:t>kesaktiv alder, og mangel på arbeidskraft kan bli et større problem enn arbeidsledighet. Innovasjon i offentlig sektor er viktig for å møte disse utfordring</w:t>
      </w:r>
      <w:r>
        <w:t>e</w:t>
      </w:r>
      <w:r>
        <w:t>ne, og samarbeid med privat sektor kan bli en del av løsningen. Kommunal- og moderniseringsdepartementet viderefører finansieringen av or</w:t>
      </w:r>
      <w:r>
        <w:t>d</w:t>
      </w:r>
      <w:r>
        <w:t xml:space="preserve">ningen. </w:t>
      </w:r>
    </w:p>
    <w:p w:rsidR="00557A6F" w:rsidRDefault="00557A6F" w:rsidP="00557A6F">
      <w:pPr>
        <w:pStyle w:val="avsnitt-under-undertittel"/>
      </w:pPr>
      <w:r>
        <w:t>Klarspråk</w:t>
      </w:r>
    </w:p>
    <w:p w:rsidR="00557A6F" w:rsidRDefault="00557A6F" w:rsidP="00557A6F">
      <w:r>
        <w:t>Klart språk er et virkemiddel for brukerretting og tillit, innovasjon og effektivisering. Regjeringen satser derfor på forskjellige tiltak for å gjøre offentlig sektors kommunikasjon med innbyggerne klarere, blant annet ved å gi støtte til KS’ satsing på klart språk i kommunal sektor, og Universitetet i Oslo til deres sa</w:t>
      </w:r>
      <w:r>
        <w:t>t</w:t>
      </w:r>
      <w:r>
        <w:t>sing på å integrere klart språk i jusutdanningen. Departementet arbeider også med tiltak for et klart og digitaliseringsvennlig regelverk.</w:t>
      </w:r>
    </w:p>
    <w:p w:rsidR="00557A6F" w:rsidRDefault="00557A6F" w:rsidP="00557A6F">
      <w:pPr>
        <w:pStyle w:val="avsnitt-under-undertittel"/>
      </w:pPr>
      <w:r>
        <w:t>Offentlige anskaffelser</w:t>
      </w:r>
    </w:p>
    <w:p w:rsidR="00557A6F" w:rsidRDefault="00557A6F" w:rsidP="00557A6F">
      <w:r>
        <w:t>Gode offentlige anskaffelser er et virkemiddel for effektivisering av offentlig sektor. Anskaffelser bidrar til bedre tjenester til innbyggerne, en mer effektiv tjenesteproduksjon, og et lønnsomt og omstillingsdyktig næringsliv. For å stimulere til nye måter å samarbeide med markedet på, vil r</w:t>
      </w:r>
      <w:r>
        <w:t>e</w:t>
      </w:r>
      <w:r>
        <w:t>gjeringen igangsette et arbeid med etablering av et program for økt samhandling mellom offentlig sektor og oppstartsselskaper.</w:t>
      </w:r>
    </w:p>
    <w:p w:rsidR="00557A6F" w:rsidRDefault="00557A6F" w:rsidP="00557A6F">
      <w:r>
        <w:t>Utviklingen av veiledning og maler er viktige virkemidler for å styrke forvaltningens kompetanse om anskaffe</w:t>
      </w:r>
      <w:r>
        <w:t>l</w:t>
      </w:r>
      <w:r>
        <w:t>ser. Statens innkjøpssenter skal inngå og forvalte felles avtaler på vegne av statlige virksomheter. Målet er mer profesjonelle, effektive og enkle innkjøpsprosesser, samt bedre og mer gunstige kjøp for staten. De sju første fellesavtalene gjennom Statens innkjøpssenter er beregnet å gi staten en betydelig årlig besparelse. En evalu</w:t>
      </w:r>
      <w:r>
        <w:t>e</w:t>
      </w:r>
      <w:r>
        <w:t>ringsrapport fra Oslo Economics og Inventura fra januar 2019 estimerer at st</w:t>
      </w:r>
      <w:r>
        <w:t>a</w:t>
      </w:r>
      <w:r>
        <w:t>ten vil spare ca. 500 mill. kroner i løpet av fire år på de sju avtalene som hittil er inngått. Se nærmere omtale under programkategori 13.40 Forval</w:t>
      </w:r>
      <w:r>
        <w:t>t</w:t>
      </w:r>
      <w:r>
        <w:t>ningsutvikling, IT- og ekompolitikk.</w:t>
      </w:r>
    </w:p>
    <w:p w:rsidR="00557A6F" w:rsidRDefault="00557A6F" w:rsidP="00557A6F">
      <w:pPr>
        <w:pStyle w:val="avsnitt-under-undertittel"/>
      </w:pPr>
      <w:r>
        <w:t>Database med nøkkeltall over statlige eiendommer og leide lokaler</w:t>
      </w:r>
    </w:p>
    <w:p w:rsidR="00557A6F" w:rsidRDefault="00557A6F" w:rsidP="00557A6F">
      <w:r>
        <w:t>Statsbygg har utviklet en database med informasjon om leieforhold i statlig sivil sektor. Alle d</w:t>
      </w:r>
      <w:r>
        <w:t>e</w:t>
      </w:r>
      <w:r>
        <w:t>partement med underliggende virksomheter har registrert nøkkeltall om leieforhold i databasen. Formålet med en slik helhetlig oversikt er å bidra til mer kostnadseffektiv arealbruk. Potensialet for å redusere utgifter til lokalleie i staten er stort. Regjeringen har et mål om å redusere kostnadene for leie av kontorlokaler i markedet med 15 pst. innen 2029. For å nå dette målet, må departementene stille krav om leie av mer kostnadseffektive lokaler for sine virksomheter når det skal inngås nye leieforhold, eller ved bruk av reforhandlingsklausuler i gjeldende leiekontrakt. Det er viktig at st</w:t>
      </w:r>
      <w:r>
        <w:t>a</w:t>
      </w:r>
      <w:r>
        <w:t xml:space="preserve">ten aktivt bruker sin forhandlingsposisjon, for eksempel ved bruk av Statsbygg som rådgiver. </w:t>
      </w:r>
    </w:p>
    <w:p w:rsidR="00557A6F" w:rsidRDefault="00557A6F" w:rsidP="00557A6F">
      <w:pPr>
        <w:pStyle w:val="avsnitt-under-undertittel"/>
      </w:pPr>
      <w:r>
        <w:t>Ny fylkesmannsstruktur</w:t>
      </w:r>
    </w:p>
    <w:p w:rsidR="00557A6F" w:rsidRDefault="00557A6F" w:rsidP="00557A6F">
      <w:r>
        <w:t>I sammenheng med den pågående kommune- og regionreformen har regjeringen også gjennomgått fylkesmannsembetenes struktur. Agder-embetene ble slått sammen med virkning fra 1. januar 2016, og embetene i Trøndelag ble slått sammen med virkning fra 1. januar 2018. Ytterligere fem sammenslåinger av fylkesmannsembeter ble besluttet våren 2017 og trådte i kraft med virkning fra 1. januar 2019. Etter endringene er det nå ti fylkesmannsembeter, og den geografiske inndelingen vil i stor grad sammenfalle med landets fylkeskommuner. Ny nasjonal struktur for fylkesmannen skal understøtte oppgaveløsningen, og styrke fylkesmannens roller som sentralt bindeledd mellom stat og kommune, tverrsektoriell samordner av regional stat overfor kommunene og rettssikke</w:t>
      </w:r>
      <w:r>
        <w:t>r</w:t>
      </w:r>
      <w:r>
        <w:t>hetsgarantist. Se nærmere omtale under progra</w:t>
      </w:r>
      <w:r>
        <w:t>m</w:t>
      </w:r>
      <w:r>
        <w:t>kategori 13.25 Fylkesmannsembetene.</w:t>
      </w:r>
    </w:p>
    <w:p w:rsidR="00557A6F" w:rsidRDefault="00557A6F" w:rsidP="00557A6F">
      <w:pPr>
        <w:pStyle w:val="avsnitt-under-undertittel"/>
      </w:pPr>
      <w:r>
        <w:t>Etablering av Fylkesmennenes fellesadministrasjon</w:t>
      </w:r>
    </w:p>
    <w:p w:rsidR="00557A6F" w:rsidRDefault="00557A6F" w:rsidP="00557A6F">
      <w:r>
        <w:t xml:space="preserve">Fylkesmennenes fellesadministrasjon (FMFA) ble opprettet som egen organisasjon med virkning fra 1. januar 2019. Organisasjonen har hovedsete i Arendal, mens storparten av medarbeiderne har kontorplass </w:t>
      </w:r>
      <w:r>
        <w:lastRenderedPageBreak/>
        <w:t>ved embetene rundt i landet. Målet med etableringen er kostnadseffektive administr</w:t>
      </w:r>
      <w:r>
        <w:t>a</w:t>
      </w:r>
      <w:r>
        <w:t xml:space="preserve">tive tjenester for embetene med riktig kvalitet, økt fokus på fornying og forenkling, og redusert sårbarhet. </w:t>
      </w:r>
    </w:p>
    <w:p w:rsidR="00557A6F" w:rsidRDefault="00557A6F" w:rsidP="00557A6F">
      <w:pPr>
        <w:pStyle w:val="avsnitt-under-undertittel"/>
      </w:pPr>
      <w:r>
        <w:t>Nytt regjeringskvartal og et mer effektivt og velfungerende departementsfellesskap</w:t>
      </w:r>
    </w:p>
    <w:p w:rsidR="00557A6F" w:rsidRDefault="00557A6F" w:rsidP="00557A6F">
      <w:r>
        <w:t>Nytt regjeringskvartal har som mål å legge til rette for et effektivt og godt departementsfellesskap med nødvendig sikkerhet i et langtidsperspektiv. Etableringen av et nytt regjeringskvartal med samlokalisering av departementene, skal gi bedre fysiske rammebetingelser enn i dag for mer e</w:t>
      </w:r>
      <w:r>
        <w:t>f</w:t>
      </w:r>
      <w:r>
        <w:t>fektiv og bedre op</w:t>
      </w:r>
      <w:r>
        <w:t>p</w:t>
      </w:r>
      <w:r>
        <w:t>gaveløsning i departementsfellesskapet.</w:t>
      </w:r>
    </w:p>
    <w:p w:rsidR="00557A6F" w:rsidRDefault="00557A6F" w:rsidP="00557A6F">
      <w:r>
        <w:t>Pågående arbeid med innføring av nye fellestjenester og standardiserte arbeidsprosesser i depart</w:t>
      </w:r>
      <w:r>
        <w:t>e</w:t>
      </w:r>
      <w:r>
        <w:t>mentsfellesskapet, vil støtte opp under målsettingen om et mer effektivt og velfungerende depart</w:t>
      </w:r>
      <w:r>
        <w:t>e</w:t>
      </w:r>
      <w:r>
        <w:t>mentsfellesskap. Det pågår også et arbeid med å etablere en felles IKT-løsning for alle depart</w:t>
      </w:r>
      <w:r>
        <w:t>e</w:t>
      </w:r>
      <w:r>
        <w:t>mentene og Statsministerens kontor, som skal bidra til bedre samhandling og bedre informasjon</w:t>
      </w:r>
      <w:r>
        <w:t>s</w:t>
      </w:r>
      <w:r>
        <w:t>sikkerhet.</w:t>
      </w:r>
    </w:p>
    <w:p w:rsidR="00557A6F" w:rsidRDefault="00557A6F" w:rsidP="00557A6F">
      <w:pPr>
        <w:pStyle w:val="avsnitt-under-undertittel"/>
      </w:pPr>
      <w:r>
        <w:t xml:space="preserve">En mer offensiv og målrettet arbeidsgiverpolitikk </w:t>
      </w:r>
    </w:p>
    <w:p w:rsidR="00557A6F" w:rsidRDefault="00557A6F" w:rsidP="00557A6F">
      <w:r>
        <w:t>For å styrke statlige virksomheters omstillingsevne, gjennomføringsevne og ressursutnyttelse, må arbeidsgiverpolitikken i staten gi virksomhetene økt handlingsrom og bevisstgjøre ledere på å u</w:t>
      </w:r>
      <w:r>
        <w:t>t</w:t>
      </w:r>
      <w:r>
        <w:t>nytte det handlingsrommet de har. Statens arbeidsgiverpolitikk skal bidra til at virksomhetene r</w:t>
      </w:r>
      <w:r>
        <w:t>e</w:t>
      </w:r>
      <w:r>
        <w:t>krutterer, u</w:t>
      </w:r>
      <w:r>
        <w:t>t</w:t>
      </w:r>
      <w:r>
        <w:t>vikler og beholder kompetente medarbeidere, slik at virksomhetene kan oppfylle sine samfunnsop</w:t>
      </w:r>
      <w:r>
        <w:t>p</w:t>
      </w:r>
      <w:r>
        <w:t>drag. En hovedstrategi har vært å gi virksomhetene økt innflytelse på utformingen og gjennomføringen av arbeidsgiverpolitikken. Dette skjer ved at Arbeidsgiverrådet, hvor 15 vir</w:t>
      </w:r>
      <w:r>
        <w:t>k</w:t>
      </w:r>
      <w:r>
        <w:t>somhetsledere er medlemmer, fremmer statlige virksomheters interesser i utviklingen og gjenno</w:t>
      </w:r>
      <w:r>
        <w:t>m</w:t>
      </w:r>
      <w:r>
        <w:t>føringen av arbeidsgiverpolitikken i staten, blant annet ved å gi råd til Kommunal- og modernis</w:t>
      </w:r>
      <w:r>
        <w:t>e</w:t>
      </w:r>
      <w:r>
        <w:t>ringsdepartementet.</w:t>
      </w:r>
    </w:p>
    <w:p w:rsidR="00557A6F" w:rsidRDefault="00557A6F" w:rsidP="00557A6F">
      <w:r>
        <w:t>Regjeringspartiene har i Granavolden-plattformen trukket fram et inkluderende arbeidsliv og gje</w:t>
      </w:r>
      <w:r>
        <w:t>n</w:t>
      </w:r>
      <w:r>
        <w:t>nomføring av et integreringsløft som viktige innsatsområder. Statlige virksomheter skal gå foran i arbeidet med inkluderingsdu</w:t>
      </w:r>
      <w:r>
        <w:t>g</w:t>
      </w:r>
      <w:r>
        <w:t>naden og delta i integreringsløftet. Minst 5 pst. av alle nyansatte i statlige vir</w:t>
      </w:r>
      <w:r>
        <w:t>k</w:t>
      </w:r>
      <w:r>
        <w:t>somheter skal være personer med nedsatt funksjonsevne eller hull i CV-en. Det vises til nærmere omtale av departementets oppfølging av inklud</w:t>
      </w:r>
      <w:r>
        <w:t>e</w:t>
      </w:r>
      <w:r>
        <w:t>ringsdugnaden under programkategoriene 13.00 Administrasjon og 13.40 Forvaltningsutvikling, IT- og ekomp</w:t>
      </w:r>
      <w:r>
        <w:t>o</w:t>
      </w:r>
      <w:r>
        <w:t>litikk.</w:t>
      </w:r>
    </w:p>
    <w:p w:rsidR="00557A6F" w:rsidRDefault="00557A6F" w:rsidP="00557A6F">
      <w:r>
        <w:t xml:space="preserve">Departementet har lagt til rette for støtte og rådgivning til statlige virksomheter, særlig knyttet til omstilling, gjennom DFØs veiledningstjeneste og arbeidsgiverportal. </w:t>
      </w:r>
    </w:p>
    <w:p w:rsidR="00557A6F" w:rsidRDefault="00557A6F" w:rsidP="00557A6F">
      <w:r>
        <w:t>Arbeidet med å modernisere lønns- og forhandlingssystemet i staten startet opp i 2016, og er vid</w:t>
      </w:r>
      <w:r>
        <w:t>e</w:t>
      </w:r>
      <w:r>
        <w:t>reført i senere oppgjør. Særlig er lønnssystemet modernisert i avtalen med Akademikerne. En b</w:t>
      </w:r>
      <w:r>
        <w:t>e</w:t>
      </w:r>
      <w:r>
        <w:t>tydelig andel av lønnspotten er satt av til forhandlinger mellom partene lokalt. I begge hovedtarif</w:t>
      </w:r>
      <w:r>
        <w:t>f</w:t>
      </w:r>
      <w:r>
        <w:t>avtalene i staten er det avtalt at arbeidet med å videreutvikle lønns- og forhandlingssystemet skal fortsette.</w:t>
      </w:r>
    </w:p>
    <w:p w:rsidR="00557A6F" w:rsidRDefault="00557A6F" w:rsidP="00557A6F">
      <w:pPr>
        <w:pStyle w:val="avsnitt-under-undertittel"/>
      </w:pPr>
      <w:r>
        <w:t>Bedre og mer effektive boligsosiale tjenester</w:t>
      </w:r>
    </w:p>
    <w:p w:rsidR="00557A6F" w:rsidRDefault="00557A6F" w:rsidP="00557A6F">
      <w:r>
        <w:t>I dag er det få gode systemer for å søke, tildele og administrere kommunale utleieboliger. Det fi</w:t>
      </w:r>
      <w:r>
        <w:t>n</w:t>
      </w:r>
      <w:r>
        <w:t>nes heller ikke en god nasjonal oversikt over boligmassen. Konsekvensen er at det er vanskelig for innbyggerne å søke om kommunal bolig, saksbehandlingen er ofte lang og uoversiktlig, og ko</w:t>
      </w:r>
      <w:r>
        <w:t>m</w:t>
      </w:r>
      <w:r>
        <w:t>munen og staten har et usikkert beslutningsgrunnlag for videre politikkutforming og -iverksetting. Regjeringen har derfor tatt initiativ til et stat-kommune-samarbeid om å utvikle digitale løsninger på dette området, og foreslår å b</w:t>
      </w:r>
      <w:r>
        <w:t>e</w:t>
      </w:r>
      <w:r>
        <w:t>vilge 30 mill. kroner til Husbanken i 2020 til dette formålet.</w:t>
      </w:r>
    </w:p>
    <w:p w:rsidR="00557A6F" w:rsidRDefault="00557A6F" w:rsidP="00557A6F">
      <w:r>
        <w:t>Regjeringen legger også til rette for at Husbanken kan videreføre moderniseringen av IKT-systemene i 2020. Dette innebærer blant annet at Husbankens kjernesystemer for lån- og ti</w:t>
      </w:r>
      <w:r>
        <w:t>l</w:t>
      </w:r>
      <w:r>
        <w:t>skuddsforvaltning skal skiftes ut. Moderniseringsprogrammet vil fortsette ut 2021, og det nye sy</w:t>
      </w:r>
      <w:r>
        <w:t>s</w:t>
      </w:r>
      <w:r>
        <w:t>temet vil være bygget på en plattform som gir m</w:t>
      </w:r>
      <w:r>
        <w:t>u</w:t>
      </w:r>
      <w:r>
        <w:t>lighet for mer automatisering, integrasjoner og tilpasninger til nye digitale løsninger. Husbanken har utviklet et saksbehandlingssystem for startlån for kommunene (Startskudd). I 2020 blir Startskudd obligatorisk for alle kommuner som tilbyr startlån, og løsningen vil få ytterligere funksjonalitet lagt til i løpet av 2019, for å tilfred</w:t>
      </w:r>
      <w:r>
        <w:t>s</w:t>
      </w:r>
      <w:r>
        <w:t>stille krav og forventninger fra både sluttbruker og saksbehandler i kommunen.</w:t>
      </w:r>
    </w:p>
    <w:p w:rsidR="00557A6F" w:rsidRDefault="00557A6F" w:rsidP="00557A6F">
      <w:pPr>
        <w:pStyle w:val="avsnitt-tittel"/>
      </w:pPr>
      <w:r>
        <w:lastRenderedPageBreak/>
        <w:t>Bedre og enklere prosesser for plan- og byggesaker</w:t>
      </w:r>
    </w:p>
    <w:p w:rsidR="00557A6F" w:rsidRDefault="00557A6F" w:rsidP="00557A6F">
      <w:r>
        <w:t>Departementet vil videreføre arbeidet med å legge til rette for enklere og mer effektive plan- og byggesaksprosesser, slik at boliger, infrastruktur og næringsområder kan bygges ut raskere og r</w:t>
      </w:r>
      <w:r>
        <w:t>i</w:t>
      </w:r>
      <w:r>
        <w:t>meligere. Med et mer oversiktlig og forutsigbart regelverk og med klarere krav, legger depart</w:t>
      </w:r>
      <w:r>
        <w:t>e</w:t>
      </w:r>
      <w:r>
        <w:t>mentet også til rette for økt produktivitet i næringslivet. Reglene blir enklere, næringen sparer tid på byggesøknader, og kommunene kan prioritere ressursene sine bedre. Sentrale og lokale my</w:t>
      </w:r>
      <w:r>
        <w:t>n</w:t>
      </w:r>
      <w:r>
        <w:t>digheter og næringen tar denne utfordringen på alvor, blant annet ved å utvikle og tilby nye digitale søknads- og saksbehandlingsløsninger. Ved utgangen av juli hadde 160 kommuner anskaffet fa</w:t>
      </w:r>
      <w:r>
        <w:t>g</w:t>
      </w:r>
      <w:r>
        <w:t>system for digital byggesaksbehandling.</w:t>
      </w:r>
    </w:p>
    <w:p w:rsidR="00557A6F" w:rsidRDefault="00557A6F" w:rsidP="00557A6F">
      <w:r>
        <w:t>Bedre arealutnyttelse og redusert reisetid gir mer effektiv ressursbruk for samfunnet. Samordning og god oppfølging av bolig-, areal- og transportplanleggingen er viktig, særlig i de store byomr</w:t>
      </w:r>
      <w:r>
        <w:t>å</w:t>
      </w:r>
      <w:r>
        <w:t>dene. Regj</w:t>
      </w:r>
      <w:r>
        <w:t>e</w:t>
      </w:r>
      <w:r>
        <w:t>ringen har startet arbeidet med å se på hvordan det kan legges til rette for raskere og enklere gjennomføring av utbygging i kompliserte forte</w:t>
      </w:r>
      <w:r>
        <w:t>t</w:t>
      </w:r>
      <w:r>
        <w:t xml:space="preserve">tings- og transformasjonsområder. </w:t>
      </w:r>
    </w:p>
    <w:p w:rsidR="00557A6F" w:rsidRDefault="00557A6F" w:rsidP="00557A6F">
      <w:r>
        <w:t xml:space="preserve">Planpolitiske føringer fra staten er et viktig grunnlag for den regionale og lokale planleggingen. I tråd med plan- og bygningsloven har departementet i 2019 lagt fram nye </w:t>
      </w:r>
      <w:r>
        <w:rPr>
          <w:rStyle w:val="kursiv"/>
          <w:sz w:val="21"/>
          <w:szCs w:val="21"/>
        </w:rPr>
        <w:t>Nasjonale forventninger til regional og kommunal planlegging 2019–2023</w:t>
      </w:r>
      <w:r>
        <w:t xml:space="preserve">. Forventningene skal bidra til bedre samhandling mellom plannivåene, og i sum gi bedre relevans, måloppnåelse og myndighetssamordning i planleggingen. </w:t>
      </w:r>
    </w:p>
    <w:p w:rsidR="00557A6F" w:rsidRDefault="00557A6F" w:rsidP="00557A6F">
      <w:r>
        <w:t>Regjeringen styrker det lokale selvstyret i planleggingen. Det betyr at fylkeskommunene og ko</w:t>
      </w:r>
      <w:r>
        <w:t>m</w:t>
      </w:r>
      <w:r>
        <w:t>munene får større ansvar for å sikre nasjonale og viktige regionale interesser. Regjeringen ønsker at regional og lokal sa</w:t>
      </w:r>
      <w:r>
        <w:t>m</w:t>
      </w:r>
      <w:r>
        <w:t>funns- og arealplanlegging skal være basert på en åpen dialog mellom alle parter, der også staten deltar.</w:t>
      </w:r>
    </w:p>
    <w:p w:rsidR="00557A6F" w:rsidRDefault="00557A6F" w:rsidP="00557A6F">
      <w:r>
        <w:t>Regjeringens arbeid med forbedret praktisering av innsigelsesinstituttet har ført til at terskelen for innsigelser er hevet, og andelen planer møtt med innsigelser har gått ned siden 2013. Fylkesme</w:t>
      </w:r>
      <w:r>
        <w:t>n</w:t>
      </w:r>
      <w:r>
        <w:t>nene og andre innsigelsesmy</w:t>
      </w:r>
      <w:r>
        <w:t>n</w:t>
      </w:r>
      <w:r>
        <w:t>digheter er bedt om å gi innspill om viktige nasjonale interesser tidlig i planprosessene, og legge økt vekt på kommunens vurderinger. Regionalt planforum er en viktig arena for dialog og interesseavklaring mellom statlige, regionale og kommunale myndigheter. R</w:t>
      </w:r>
      <w:r>
        <w:t>e</w:t>
      </w:r>
      <w:r>
        <w:t>gjeringen vil bruke statlig plan på flere prosjekter av nasjonal bety</w:t>
      </w:r>
      <w:r>
        <w:t>d</w:t>
      </w:r>
      <w:r>
        <w:t>ning. Dette skal blant annet bidra til effektivisering av store samferdselsprosjekter.</w:t>
      </w:r>
    </w:p>
    <w:p w:rsidR="00557A6F" w:rsidRDefault="00557A6F" w:rsidP="00557A6F">
      <w:pPr>
        <w:pStyle w:val="avsnitt-under-undertittel"/>
      </w:pPr>
      <w:r>
        <w:t>Forenklinger i plan- og byggeprosesser</w:t>
      </w:r>
    </w:p>
    <w:p w:rsidR="00557A6F" w:rsidRDefault="00557A6F" w:rsidP="00557A6F">
      <w:r>
        <w:t>Regjeringen vil fortsette å forenkle plan- og bygningsloven og tilhørende forskrifter. Departeme</w:t>
      </w:r>
      <w:r>
        <w:t>n</w:t>
      </w:r>
      <w:r>
        <w:t>tet har sendt på høring forslag til lovendringer for å forenkle og tydeliggjøre bestemmelsene i plan- og bygning</w:t>
      </w:r>
      <w:r>
        <w:t>s</w:t>
      </w:r>
      <w:r>
        <w:t>loven om tiltak på eksisterende byggverk. Målet er at det skal bli enklere, rimeligere og mer forutsigbart for bolig- og bygningseiere å gjøre endringer i byggene sine. Regjeringen vil også forenkle krav til sak</w:t>
      </w:r>
      <w:r>
        <w:t>s</w:t>
      </w:r>
      <w:r>
        <w:t>behandling, og redusere antall søknadspliktige tiltak.</w:t>
      </w:r>
    </w:p>
    <w:p w:rsidR="00557A6F" w:rsidRDefault="00557A6F" w:rsidP="00557A6F">
      <w:r>
        <w:t>Departementet har også tatt initiativ til å effektivisere prosessen rundt ferdigstillelse av byggepr</w:t>
      </w:r>
      <w:r>
        <w:t>o</w:t>
      </w:r>
      <w:r>
        <w:t>sjekter. En en</w:t>
      </w:r>
      <w:r>
        <w:t>d</w:t>
      </w:r>
      <w:r>
        <w:t>ring i regelverket skal sikre en mer ensartet kommunal praksis ved behandling av søknad om midlertidig bruk</w:t>
      </w:r>
      <w:r>
        <w:t>s</w:t>
      </w:r>
      <w:r>
        <w:t>tillatelse, som i mange tilfeller vil redusere behandlingstiden. Tids- og kostnadsbesparelsen vil komme både n</w:t>
      </w:r>
      <w:r>
        <w:t>æ</w:t>
      </w:r>
      <w:r>
        <w:t>ringen, kjøpere og leietakere til gode.</w:t>
      </w:r>
    </w:p>
    <w:p w:rsidR="00557A6F" w:rsidRDefault="00557A6F" w:rsidP="00557A6F">
      <w:r>
        <w:t>Gjennom Bygg21 samarbeider statlige myndigheter og bygge- og eiendomsnæringen for å legge til rette for at næringen bedre kan løse utfordringer som bærekraft, produktivitet og kostnadsutvikling. Bygg21 har anslått at næringen har potensial til å redusere byggekostnadene med 20 pst. Styret i Bygg21 har fått i oppdrag å bidra til kunnskapsspredning og deling av beste praksis, og legge til rette for bedre samhandling innad i næringen.</w:t>
      </w:r>
    </w:p>
    <w:p w:rsidR="00557A6F" w:rsidRDefault="00557A6F" w:rsidP="00557A6F">
      <w:pPr>
        <w:pStyle w:val="avsnitt-under-undertittel"/>
      </w:pPr>
      <w:r>
        <w:t>Digitalisering av plan- og byggesaksprosesser</w:t>
      </w:r>
    </w:p>
    <w:p w:rsidR="00557A6F" w:rsidRDefault="00557A6F" w:rsidP="00557A6F">
      <w:r>
        <w:t>Regjeringen prioriterer å digitalisere og forenkle plan- og byggesaksprosessene. Arealplaner bør bli enkl</w:t>
      </w:r>
      <w:r>
        <w:t>e</w:t>
      </w:r>
      <w:r>
        <w:t>re å forstå og bruke, og mer entydige. Visualisering gir bedre kommunikasjon og medvirkning i planpr</w:t>
      </w:r>
      <w:r>
        <w:t>o</w:t>
      </w:r>
      <w:r>
        <w:t xml:space="preserve">sessene, og er også et viktig bidrag i arbeidet med digitale byggesaksprosesser. </w:t>
      </w:r>
    </w:p>
    <w:p w:rsidR="00557A6F" w:rsidRDefault="00557A6F" w:rsidP="00557A6F">
      <w:r>
        <w:t>Gjennom oppfølging av nasjonal geodatastrategi arbeider departementet med å sikre et nasjonalt kunnskap</w:t>
      </w:r>
      <w:r>
        <w:t>s</w:t>
      </w:r>
      <w:r>
        <w:t>grunnlag av geografisk informasjon som møter viktige samfunnsbehov. Arbeidet med nasjonal detaljert høyd</w:t>
      </w:r>
      <w:r>
        <w:t>e</w:t>
      </w:r>
      <w:r>
        <w:t>modell fortsetter, og er foran skjema. Målet er at hele fastlands-Norge skal være dekket med høypresisjons hø</w:t>
      </w:r>
      <w:r>
        <w:t>y</w:t>
      </w:r>
      <w:r>
        <w:t>dedata i løpet av 2022. Høydemodellen styrker grunnlaget for klimatilpasning, ressurskartlegging og flom- og skredvern i planarbeidet. Det legges til rette for bedre og enklere prosesser for utveksling av eiendomsinformasjon. Elektronisk tinglysing, vider</w:t>
      </w:r>
      <w:r>
        <w:t>e</w:t>
      </w:r>
      <w:r>
        <w:t>utvikling av matrikkelen og bedre tilrettelegging av det offentlige kartgrun</w:t>
      </w:r>
      <w:r>
        <w:t>n</w:t>
      </w:r>
      <w:r>
        <w:lastRenderedPageBreak/>
        <w:t>laget (DOK), er alle tiltak som vil gi bedre kunnskap</w:t>
      </w:r>
      <w:r>
        <w:t>s</w:t>
      </w:r>
      <w:r>
        <w:t>grunnlag. I 2018 ble bevilgningen til Kartverket økt med 15 mill. kroner til videreutvikling av matrikk</w:t>
      </w:r>
      <w:r>
        <w:t>e</w:t>
      </w:r>
      <w:r>
        <w:t>len. Regjeringen foreslår en ytterligere økning på 30 mill. kroner i 2020, slik at det kan settes i gang et langsiktig arbeid med oppgradering og systemendring av matrikkelen. Det vil blant annet bli utviklet en løsning for rettighetshaver til å legge inn aktuell informasjon gjennom «min matrikkelside». De ulike tiltakene vil komme til nytte både for ko</w:t>
      </w:r>
      <w:r>
        <w:t>m</w:t>
      </w:r>
      <w:r>
        <w:t>munesektoren, offentlige etater, næringslivet og in</w:t>
      </w:r>
      <w:r>
        <w:t>n</w:t>
      </w:r>
      <w:r>
        <w:t>byggerne. Departementet tilrettelegger også for relevant statistikk om arealbruk. Regjeringen vil i 2020 starte et pilotprosjekt for marine grunnkart, som vil kartlegge naturressurser i kystnære områder. Det vil gi kunnskap</w:t>
      </w:r>
      <w:r>
        <w:t>s</w:t>
      </w:r>
      <w:r>
        <w:t>grunnlag som en rekke samfunnsaktører kan dra nytte av. Se nærmere omtale under programkategori 13.90 Pla</w:t>
      </w:r>
      <w:r>
        <w:t>n</w:t>
      </w:r>
      <w:r>
        <w:t>legging, byutvikling og geodata.</w:t>
      </w:r>
    </w:p>
    <w:p w:rsidR="00557A6F" w:rsidRDefault="00557A6F" w:rsidP="00557A6F">
      <w:r>
        <w:t>Direktoratet for byggkvalitet (DiBK) skal gjennom oppfølging av ByggNett-strategien være en pådriver for at aktørene i markedet utvikler gode verktøy og tjenester for plan- og byggesaker. Pu</w:t>
      </w:r>
      <w:r>
        <w:t>b</w:t>
      </w:r>
      <w:r>
        <w:t>likums og næringens forven</w:t>
      </w:r>
      <w:r>
        <w:t>t</w:t>
      </w:r>
      <w:r>
        <w:t>ninger til digitale løsninger øker stadig. ByggNett-strategien legger derfor til grunn pri</w:t>
      </w:r>
      <w:r>
        <w:t>n</w:t>
      </w:r>
      <w:r>
        <w:t>sipper om brukerretting og selvbetjening. Strategien benytter en lærende og skrittvis tilnærming, med stor vekt på åpenhet og samarbeid og bruk av markedets innovasjonskraft til å levere løsninger. Strategien ble revidert i 2019.</w:t>
      </w:r>
    </w:p>
    <w:p w:rsidR="00557A6F" w:rsidRDefault="00557A6F" w:rsidP="00557A6F">
      <w:r>
        <w:t>DiBK har gjennom Fellestjenester BYGG etablert infrastrukturen for fulldigital byggesaksbehan</w:t>
      </w:r>
      <w:r>
        <w:t>d</w:t>
      </w:r>
      <w:r>
        <w:t>ling, fra søknadsutfylling til kommunens vedtak i byggesak. Fellestjenesten er en digital rege</w:t>
      </w:r>
      <w:r>
        <w:t>l</w:t>
      </w:r>
      <w:r>
        <w:t>verksplattform som kontrollerer og sender inn byggesøknader til riktig kommune. Tjenesten bygger på Altinn, og binder sammen digitale søknadsløsninger og kommunenes digitale saksbehandling</w:t>
      </w:r>
      <w:r>
        <w:t>s</w:t>
      </w:r>
      <w:r>
        <w:t>system, som begge leveres av kommersielle leverandører.</w:t>
      </w:r>
    </w:p>
    <w:p w:rsidR="00557A6F" w:rsidRDefault="00557A6F" w:rsidP="00557A6F">
      <w:r>
        <w:t>I samarbeid med KS sikrer DiBK at det finnes gode løsninger for byggesaksbehandling i komm</w:t>
      </w:r>
      <w:r>
        <w:t>u</w:t>
      </w:r>
      <w:r>
        <w:t>nene. eByggesak er etablert som standard for digital byggesaksbehandling, og ca. 160 kommuner har anskaffet nye saksbehandlingssystem. Behandlingen av digitale byggesøknader blir mer effe</w:t>
      </w:r>
      <w:r>
        <w:t>k</w:t>
      </w:r>
      <w:r>
        <w:t>tiv og standardisert. Det blir mer likebehan</w:t>
      </w:r>
      <w:r>
        <w:t>d</w:t>
      </w:r>
      <w:r>
        <w:t>ling, og både næringen og kommunene kan spare tid og penger.</w:t>
      </w:r>
    </w:p>
    <w:p w:rsidR="00557A6F" w:rsidRDefault="00557A6F" w:rsidP="00557A6F">
      <w:r>
        <w:t>Fellestjenester BYGG utvikles fortløpende med ny funksjonalitet i tett samarbeid med leverandø</w:t>
      </w:r>
      <w:r>
        <w:t>r</w:t>
      </w:r>
      <w:r>
        <w:t>industrien som utvikler søknadsløsninger. I løpet av 2019 har flere kommersielle aktører lansert digitale søknadsløsninger og tjenester på plattformen. Blant annet har det nå blitt mulig å sende digital nabovar</w:t>
      </w:r>
      <w:r>
        <w:t>s</w:t>
      </w:r>
      <w:r>
        <w:t>ling via Altinn i forbindelse med byggesøknaden. Nye gevinstestimater utregnet av Devoteam anslår besparelser på 8,3 mrd. kroner i løpet av de neste 15 årene for næringen og ko</w:t>
      </w:r>
      <w:r>
        <w:t>m</w:t>
      </w:r>
      <w:r>
        <w:t>munene.</w:t>
      </w:r>
    </w:p>
    <w:p w:rsidR="00557A6F" w:rsidRDefault="00557A6F" w:rsidP="00557A6F">
      <w:pPr>
        <w:pStyle w:val="avsnitt-under-undertittel"/>
      </w:pPr>
      <w:r>
        <w:t>Samordnet bolig-, areal- og transportplanlegging</w:t>
      </w:r>
    </w:p>
    <w:p w:rsidR="00557A6F" w:rsidRDefault="00557A6F" w:rsidP="00557A6F">
      <w:r>
        <w:t>Det skal legges til rette for god utforming av bygde omgivelser, gode bomiljøer og gode oppvekst- og levekår i alle deler av landet. De statlige planretningslinjene for samordnet bolig-, areal- og transportplanlegging, samt nasjonale forventninger til regional og kommunal planlegging, tydeli</w:t>
      </w:r>
      <w:r>
        <w:t>g</w:t>
      </w:r>
      <w:r>
        <w:t xml:space="preserve">gjør kommunenes og fylkeskommunenes ansvar på feltet. </w:t>
      </w:r>
    </w:p>
    <w:p w:rsidR="00557A6F" w:rsidRDefault="00557A6F" w:rsidP="00557A6F">
      <w:r>
        <w:t xml:space="preserve">Det er et mål at veksten i persontransporten i byområdene skal tas med kollektivtransport, sykkel og gange, jf. Meld. St. 33 (2016–2017) </w:t>
      </w:r>
      <w:r>
        <w:rPr>
          <w:rStyle w:val="kursiv"/>
          <w:spacing w:val="-2"/>
          <w:sz w:val="21"/>
          <w:szCs w:val="21"/>
        </w:rPr>
        <w:t>Nasjonal transportplan 2018–2029</w:t>
      </w:r>
      <w:r>
        <w:t>. Byvekstavtalene er et vi</w:t>
      </w:r>
      <w:r>
        <w:t>r</w:t>
      </w:r>
      <w:r>
        <w:t>kemiddel for å nå dette målet. Byvekstavtalene skal også bidra til mer effektiv arealbruk og mer attraktive by- og tettstedssentre. Samferdselsd</w:t>
      </w:r>
      <w:r>
        <w:t>e</w:t>
      </w:r>
      <w:r>
        <w:t>partementet har det overordnede ansvaret fra statens side, jf. Prop. 1 S (2019–2020) for Samferdselsdepartementet. Kommunal- og moderniseringsd</w:t>
      </w:r>
      <w:r>
        <w:t>e</w:t>
      </w:r>
      <w:r>
        <w:t>partementet har ansvaret for det som gjelder arealbruk. Arealdelen av avtalene skal sikre en effe</w:t>
      </w:r>
      <w:r>
        <w:t>k</w:t>
      </w:r>
      <w:r>
        <w:t>tiv og forutsigbar oppfølging av regi</w:t>
      </w:r>
      <w:r>
        <w:t>o</w:t>
      </w:r>
      <w:r>
        <w:t>nale og interkommunale areal- og transportplaner. Avtalene skal medføre forpliktende samarbeid om utvi</w:t>
      </w:r>
      <w:r>
        <w:t>k</w:t>
      </w:r>
      <w:r>
        <w:t>ling av kollektivknutepunkter, samtidig som by- og bokvaliteten ivaretas. Det er viktig at staten følger opp sin lokaliseringspolitikk aktivt og tydelig i storbyområdene hvor den inngår b</w:t>
      </w:r>
      <w:r>
        <w:t>y</w:t>
      </w:r>
      <w:r>
        <w:t>vekstavtaler.</w:t>
      </w:r>
    </w:p>
    <w:p w:rsidR="00557A6F" w:rsidRDefault="00557A6F" w:rsidP="00557A6F">
      <w:r>
        <w:t>Våren 2018 ble det startet opp forhandlinger om byvekstavtaler med Oslo og Akershus og Tron</w:t>
      </w:r>
      <w:r>
        <w:t>d</w:t>
      </w:r>
      <w:r>
        <w:t>heimsområdet. Byvekstavtale for Trondheimsområdet ble inngått 25. juni 2019. Avtaleutkast for Oslo og Akershus ble signert av forhandlingspartene 26. juni 2019. Utkastet er nå til lokalpolitisk behandling før det skal behandles av regj</w:t>
      </w:r>
      <w:r>
        <w:t>e</w:t>
      </w:r>
      <w:r>
        <w:t>ringen. Våren 2018 ble det også startet opp reforhandling av tidligere inngåtte byvekstavtaler for Bergen og Nord-Jæren. Eventuelle reforhandlede avtaler vil erstatte inngåtte avtaler som har gyldighet fram til 2023. Kommunal- og moderniseringsdepart</w:t>
      </w:r>
      <w:r>
        <w:t>e</w:t>
      </w:r>
      <w:r>
        <w:t>mentet har en tilskuddsordning som bygger opp under arbeidet med areal i b</w:t>
      </w:r>
      <w:r>
        <w:t>y</w:t>
      </w:r>
      <w:r>
        <w:t xml:space="preserve">vekstavtalene, jf. kap. 590, post 61 Byvekstavtaler. </w:t>
      </w:r>
    </w:p>
    <w:p w:rsidR="00557A6F" w:rsidRDefault="00557A6F" w:rsidP="00557A6F">
      <w:pPr>
        <w:pStyle w:val="avsnitt-tittel"/>
      </w:pPr>
      <w:r>
        <w:lastRenderedPageBreak/>
        <w:t>Digitalisering av Norge</w:t>
      </w:r>
    </w:p>
    <w:p w:rsidR="00557A6F" w:rsidRDefault="00557A6F" w:rsidP="00557A6F">
      <w:r>
        <w:t>Formålet med IT-politikken er å påvirke utviklingen i bruken av IT, for å oppnå forenkling og e</w:t>
      </w:r>
      <w:r>
        <w:t>f</w:t>
      </w:r>
      <w:r>
        <w:t>fektivisering i offentlig sektor, understøtte innovasjon og verdiskaping i næringslivet, og en bær</w:t>
      </w:r>
      <w:r>
        <w:t>e</w:t>
      </w:r>
      <w:r>
        <w:t>kraftig og inkl</w:t>
      </w:r>
      <w:r>
        <w:t>u</w:t>
      </w:r>
      <w:r>
        <w:t>derende samfunnsutvikling. Økt digitalisering er, og vil være, et viktig og kraftfullt virkemiddel for å kunne nå disse målene. God tilgang til kompetanse, infrastruktur og sikkerhet sammen med tillit er viktige forutsetninger for måloppnåelsen. Det er også viktig å understøtte d</w:t>
      </w:r>
      <w:r>
        <w:t>i</w:t>
      </w:r>
      <w:r>
        <w:t>gital deltakelse, og å styrke b</w:t>
      </w:r>
      <w:r>
        <w:t>e</w:t>
      </w:r>
      <w:r>
        <w:t>folkningens generelle digitale kompetanse. Gode rammebetingelser for utvikling og bruk av digitale tj</w:t>
      </w:r>
      <w:r>
        <w:t>e</w:t>
      </w:r>
      <w:r>
        <w:t>nester og nye forretningsmodeller i alle sektorer er sentralt for å understøtte verdiskaping i næringslivet.</w:t>
      </w:r>
    </w:p>
    <w:p w:rsidR="00557A6F" w:rsidRDefault="00557A6F" w:rsidP="00557A6F">
      <w:r>
        <w:t>Digitalisering er ikke bare et av de viktigste verktøyene for økt produktivitet og bedre tjenesteti</w:t>
      </w:r>
      <w:r>
        <w:t>l</w:t>
      </w:r>
      <w:r>
        <w:t>bud i offentlig sektor, men også en drivkraft i seg selv. De mulighetene som teknologien gir må utnyttes. Dette forutsetter o</w:t>
      </w:r>
      <w:r>
        <w:t>m</w:t>
      </w:r>
      <w:r>
        <w:t>stillingsevne, samarbeid på tvers av virksomheter og sektorer, mellom statlig og kommunal sektor, samt et u</w:t>
      </w:r>
      <w:r>
        <w:t>t</w:t>
      </w:r>
      <w:r>
        <w:t>strakt samarbeid med privat sektor.</w:t>
      </w:r>
    </w:p>
    <w:p w:rsidR="00557A6F" w:rsidRDefault="00557A6F" w:rsidP="00557A6F">
      <w:r>
        <w:t xml:space="preserve">Arbeidet med digitalisering av offentlige tjenester skal fortsette i tråd med føringene i Meld. St. 27 (2015–2016) </w:t>
      </w:r>
      <w:r>
        <w:rPr>
          <w:rStyle w:val="kursiv"/>
          <w:sz w:val="21"/>
          <w:szCs w:val="21"/>
        </w:rPr>
        <w:t>Digital agenda for Norge – IKT for en enklere hverdag og økt produktivitet</w:t>
      </w:r>
      <w:r>
        <w:t>. Granavo</w:t>
      </w:r>
      <w:r>
        <w:t>l</w:t>
      </w:r>
      <w:r>
        <w:t>den-plattformen markerer en styrking av digitalisering i alle sektorer. Digitaliseringen av offentlig sektor skal prioritere brukerrettede tjenester, med forenkling og effektivisering på tvers av sektor</w:t>
      </w:r>
      <w:r>
        <w:t>e</w:t>
      </w:r>
      <w:r>
        <w:t>ne. Sama</w:t>
      </w:r>
      <w:r>
        <w:t>r</w:t>
      </w:r>
      <w:r>
        <w:t>beidet med privat sektor skal forsterkes. Skoleverket og høyere utdanning må forberede elever og studenter på en digital framtid. Lover og reguleringer må tilpasses den digitale utviklin</w:t>
      </w:r>
      <w:r>
        <w:t>g</w:t>
      </w:r>
      <w:r>
        <w:t>en.</w:t>
      </w:r>
    </w:p>
    <w:p w:rsidR="00557A6F" w:rsidRDefault="00557A6F" w:rsidP="00557A6F">
      <w:pPr>
        <w:pStyle w:val="avsnitt-under-undertittel"/>
      </w:pPr>
      <w:r>
        <w:t xml:space="preserve">Regjeringens strategi for digitalisering av offentlig sektor </w:t>
      </w:r>
    </w:p>
    <w:p w:rsidR="00557A6F" w:rsidRDefault="00557A6F" w:rsidP="00557A6F">
      <w:r>
        <w:t xml:space="preserve">Digital agenda for Norge fastsatte prinsippene for digitalisering av offentlig sektor på et overordnet nivå. Disse er ytterligere konkretisert i </w:t>
      </w:r>
      <w:r>
        <w:rPr>
          <w:rStyle w:val="kursiv"/>
          <w:sz w:val="21"/>
          <w:szCs w:val="21"/>
        </w:rPr>
        <w:t>Én digital offentlig sektor – Digitaliseringsstrategi for offentlig se</w:t>
      </w:r>
      <w:r>
        <w:rPr>
          <w:rStyle w:val="kursiv"/>
          <w:sz w:val="21"/>
          <w:szCs w:val="21"/>
        </w:rPr>
        <w:t>k</w:t>
      </w:r>
      <w:r>
        <w:rPr>
          <w:rStyle w:val="kursiv"/>
          <w:sz w:val="21"/>
          <w:szCs w:val="21"/>
        </w:rPr>
        <w:t xml:space="preserve">tor 2019–2025 </w:t>
      </w:r>
      <w:r>
        <w:t>(juni 2019). Strategien markerer også en forsterket innsats og samordning på digital</w:t>
      </w:r>
      <w:r>
        <w:t>i</w:t>
      </w:r>
      <w:r>
        <w:t>seringsområdet, slik det er varslet i Granavolden-plattformen.</w:t>
      </w:r>
    </w:p>
    <w:p w:rsidR="00557A6F" w:rsidRDefault="00557A6F" w:rsidP="00557A6F">
      <w:r>
        <w:t>Av strategien fremgår det at regjeringen vil fortsette å utvikle digitale løsninger som tar utgang</w:t>
      </w:r>
      <w:r>
        <w:t>s</w:t>
      </w:r>
      <w:r>
        <w:t>punkt i brukernes behov på tvers av sektorer og forvaltningsnivå. De offentlige virksomhetene må forenkle og samordne, slik at brukeren i størst mulig grad kan gjøre én henvendelse til offentlig sektor for å løse sammensatte behov. Informasjonen må deles internt i forvaltningen, og innby</w:t>
      </w:r>
      <w:r>
        <w:t>g</w:t>
      </w:r>
      <w:r>
        <w:t>gerne må få tilpassede tjenester ut fra livssituasjon. Tilsvarende må også tjenester for næringslivet samordnes bedre.</w:t>
      </w:r>
    </w:p>
    <w:p w:rsidR="00557A6F" w:rsidRDefault="00557A6F" w:rsidP="00557A6F">
      <w:r>
        <w:t>Forvaltningen skal fortsette å styrke arbeidet med informasjonsforvaltning og deling av offentlige data. Dette er viktig for å nå det langsiktige målet om at innbyggere og næringsliv skal gi samme informasjon kun én gang. Arbeidet for å få til effektiv utveksling og gjenbruk av informasjon på tvers i forvaltningen må prioriteres. Gjenbruk av data må også økes på tvers av statlig og komm</w:t>
      </w:r>
      <w:r>
        <w:t>u</w:t>
      </w:r>
      <w:r>
        <w:t>nal sektor. Offentlige data er en viktig ressurs for n</w:t>
      </w:r>
      <w:r>
        <w:t>æ</w:t>
      </w:r>
      <w:r>
        <w:t>ringslivet og samfunnet for øvrig. Regjeringen vil arbeide for at offentlige data skal være bedre tilgjengelig for viderebruk.</w:t>
      </w:r>
    </w:p>
    <w:p w:rsidR="00557A6F" w:rsidRDefault="00557A6F" w:rsidP="00557A6F">
      <w:r>
        <w:t>Av digitaliseringsstrategien framgår det at staten skal ta ansvar for mer samordnet digitalisering og IT-utvikling på tvers av statlig og kommunal sektor. Dette vil blant annet innebære at statlige vir</w:t>
      </w:r>
      <w:r>
        <w:t>k</w:t>
      </w:r>
      <w:r>
        <w:t>somheter skal samordne seg når det utvikles digitale løsninger som kommunesektoren skal benytte.</w:t>
      </w:r>
    </w:p>
    <w:p w:rsidR="00557A6F" w:rsidRDefault="00557A6F" w:rsidP="00557A6F">
      <w:r>
        <w:t>I samarbeid med KS har regjeringen etablert en finansieringsordning for kommunale digitalis</w:t>
      </w:r>
      <w:r>
        <w:t>e</w:t>
      </w:r>
      <w:r>
        <w:t>ringsprosjekter, kalt DigiFin. Prosjektene Digihelse, Digisos og Minside er blant de første felle</w:t>
      </w:r>
      <w:r>
        <w:t>s</w:t>
      </w:r>
      <w:r>
        <w:t>prosjektene som er tatt inn i DigiFin. Ved å utvikle løsninger sammen, får kommunene bedre kv</w:t>
      </w:r>
      <w:r>
        <w:t>a</w:t>
      </w:r>
      <w:r>
        <w:t>litet og lavere pris på det som utvikles.</w:t>
      </w:r>
    </w:p>
    <w:p w:rsidR="00557A6F" w:rsidRDefault="00557A6F" w:rsidP="00557A6F">
      <w:r>
        <w:t>Departementet tilrettelegger for at forvaltning og næringsliv kan utnytte datadrevet innovasjon. I dette ligger økt viderebruk av offentlige data, bruk av stordata i offentlig sektor, utvikling og bruk av kunstig intelligens, og ti</w:t>
      </w:r>
      <w:r>
        <w:t>l</w:t>
      </w:r>
      <w:r>
        <w:t>rettelegging for utviklingen av smarte byer og samfunn.</w:t>
      </w:r>
    </w:p>
    <w:p w:rsidR="00557A6F" w:rsidRDefault="00557A6F" w:rsidP="00557A6F">
      <w:r>
        <w:t>Skytjenester kjøpt i markedet kan gi lavere kostnader i forhold til tradisjonell IT. For de fleste virksomheter betyr skytjenester også mer profesjonell og sikker drift. I 2018 utredet departementet og Difi muligheten for å etablere en innkjøpsordning/markedsplass for skytjenester rettet mot o</w:t>
      </w:r>
      <w:r>
        <w:t>f</w:t>
      </w:r>
      <w:r>
        <w:t>fentlig sektor. Markedsplassen skal gjøre det en</w:t>
      </w:r>
      <w:r>
        <w:t>k</w:t>
      </w:r>
      <w:r>
        <w:t>lere for virksomhetene å anskaffe sikre, lovlige og kostnadseffektive skytjenester, gi dem oversikt over tilbudet i markedet, prosesstøtte i anskaffe</w:t>
      </w:r>
      <w:r>
        <w:t>l</w:t>
      </w:r>
      <w:r>
        <w:t>sesprosessen, og støtte til sikkerhets- og risikovurderinger. Difi har i 2019 begynt å forberede eta</w:t>
      </w:r>
      <w:r>
        <w:t>b</w:t>
      </w:r>
      <w:r>
        <w:t>leringen av en slik markedsplass. Regjeringen foreslår 11 mill. kroner i 2020 for å etablere ma</w:t>
      </w:r>
      <w:r>
        <w:t>r</w:t>
      </w:r>
      <w:r>
        <w:t xml:space="preserve">kedsplassen i løpet av 2020. </w:t>
      </w:r>
    </w:p>
    <w:p w:rsidR="00557A6F" w:rsidRDefault="00557A6F" w:rsidP="00557A6F">
      <w:r>
        <w:lastRenderedPageBreak/>
        <w:t>Evnen til å utvikle og ta i bruk ny teknologi vil være avgjørende for Norges samlede konkurrans</w:t>
      </w:r>
      <w:r>
        <w:t>e</w:t>
      </w:r>
      <w:r>
        <w:t>evne. Det er behov for spissfaglig kompetanse, breddekompetanse og tverrfaglig kompetanse både i næringslivet, herunder privat sektor, og offentlig sektor. Det er behov for tilstrekkelig antall st</w:t>
      </w:r>
      <w:r>
        <w:t>u</w:t>
      </w:r>
      <w:r>
        <w:t>dieplasser som tar høyde for utviklingen og forutser endrede behov. For å understøtte dette, er det viktig med rammevilkår som understøtter at UH-sektoren kan dimensjonere sine studier, og som reflekterer denne utviklingen på en best mulig måte. Regjeringen har lansert en strategi for IKT-sikkerhetskompetanse for å møte utfordringene når det gjelder sikkerhet</w:t>
      </w:r>
      <w:r>
        <w:t>s</w:t>
      </w:r>
      <w:r>
        <w:t>faglig kompetanse. Regjeringen er også i gang med et arbeid for å styrke grunnlaget for tilstrekkelig digital kompeta</w:t>
      </w:r>
      <w:r>
        <w:t>n</w:t>
      </w:r>
      <w:r>
        <w:t>se i offentlig sektor som sådan. Etter- og videreutda</w:t>
      </w:r>
      <w:r>
        <w:t>n</w:t>
      </w:r>
      <w:r>
        <w:t>ning er et viktig ledd i dette.</w:t>
      </w:r>
    </w:p>
    <w:p w:rsidR="00557A6F" w:rsidRDefault="00557A6F" w:rsidP="00557A6F">
      <w:r>
        <w:t>Digital kompetanse og deltakelse i hele befolkningen gjennom livsløpet er en sentral forutsetning for å hente ut gevinstene av digitalisering i offentlig og privat sektor. I 2019 ble det over statsbu</w:t>
      </w:r>
      <w:r>
        <w:t>d</w:t>
      </w:r>
      <w:r>
        <w:t>sjettet bevilget 8,85 mill. kr</w:t>
      </w:r>
      <w:r>
        <w:t>o</w:t>
      </w:r>
      <w:r>
        <w:t>ner til tiltak som skal styrke veiledningstilbudet til innbyggere som har behov for å styrke sin digitale kompeta</w:t>
      </w:r>
      <w:r>
        <w:t>n</w:t>
      </w:r>
      <w:r>
        <w:t>se.</w:t>
      </w:r>
    </w:p>
    <w:p w:rsidR="00557A6F" w:rsidRDefault="00557A6F" w:rsidP="00557A6F">
      <w:r>
        <w:t>Den offensive satsingen på IT og digitalisering omfattet blant annet videreføring av IKT-moderniseringen i Arbeids- og velferdsetaten, med nye løsninger for sykepenger, pleiepenger og o</w:t>
      </w:r>
      <w:r>
        <w:t>m</w:t>
      </w:r>
      <w:r>
        <w:t>sorgspenger, digitalisering av barnevernet, en rekke digitaliseringstiltak i helsesektoren, som for eksempel Helseplattformen i Midt-Norge og Helseanalyseplattformen, nytt system i Skatteet</w:t>
      </w:r>
      <w:r>
        <w:t>a</w:t>
      </w:r>
      <w:r>
        <w:t>ten for behandling av merverdiavgift, systemstøtte i Tolletaten for mer effektiv kontroll og forto</w:t>
      </w:r>
      <w:r>
        <w:t>l</w:t>
      </w:r>
      <w:r>
        <w:t xml:space="preserve">ling, flere tiltak for å styrke IT-sikkerheten med mer. </w:t>
      </w:r>
    </w:p>
    <w:p w:rsidR="00557A6F" w:rsidRDefault="00557A6F" w:rsidP="00557A6F">
      <w:r>
        <w:t>I 2018 fikk 14 prosjekter støtte fra medfinansieringsordningen for digitaliseringsprosjekter. I 2019 har 13 prosjekter fått tilsagn om medfinansiering. Dette vil bidra til at flere lønnsomme og innov</w:t>
      </w:r>
      <w:r>
        <w:t>a</w:t>
      </w:r>
      <w:r>
        <w:t>tive prosjekter blir gjennomført, slik at digitaliseringstempoet i offentlig sektor økes. I årene 2016–2019 er det gjennom ordningen gitt tilsagn på til sammen 461,6 mill. kroner til i alt 53 pr</w:t>
      </w:r>
      <w:r>
        <w:t>o</w:t>
      </w:r>
      <w:r>
        <w:t>sjekter. Samlet prosjektkostnad er beregnet til om lag 990 mill. kroner. Prosjektene har en antatt samlet nåverdi på om lag 20 mrd. kr</w:t>
      </w:r>
      <w:r>
        <w:t>o</w:t>
      </w:r>
      <w:r>
        <w:t>ner. Den potensielle innsparingen for det offentlige som følge av de 53 prosjektene, er om lag 9,2 mrd. kroner, beregnet over ti år. Regjeringen vil at 50 pst. av nettogevinstene som oppstår internt i virksomheten skal bidra til økt handlingsrom i budsjettet gjennom en reduksjon av virksomhetens budsjettramme. Det vises til nærmere omtale av medf</w:t>
      </w:r>
      <w:r>
        <w:t>i</w:t>
      </w:r>
      <w:r>
        <w:t>nansieringsordningen under programkategori 13.40 Forvaltning</w:t>
      </w:r>
      <w:r>
        <w:t>s</w:t>
      </w:r>
      <w:r>
        <w:t>utvikling, IT- og ekompolitikk.</w:t>
      </w:r>
    </w:p>
    <w:p w:rsidR="00557A6F" w:rsidRDefault="00557A6F" w:rsidP="00557A6F">
      <w:pPr>
        <w:pStyle w:val="avsnitt-undertittel"/>
      </w:pPr>
      <w:r>
        <w:t>707 mill. kroner til nye digitaliseringstiltak i 2020</w:t>
      </w:r>
    </w:p>
    <w:p w:rsidR="00557A6F" w:rsidRDefault="00557A6F" w:rsidP="00557A6F">
      <w:r>
        <w:t>Regjeringen foreslår en offensiv satsing på digitalisering, og opprettholder et høyt digitalisering</w:t>
      </w:r>
      <w:r>
        <w:t>s</w:t>
      </w:r>
      <w:r>
        <w:t>tempo. I 2019 ble det bevilget over 1,7 mrd. kroner til nye digitaliseringstiltak. Regjeringens bu</w:t>
      </w:r>
      <w:r>
        <w:t>d</w:t>
      </w:r>
      <w:r>
        <w:t>sjettforslag i</w:t>
      </w:r>
      <w:r>
        <w:t>n</w:t>
      </w:r>
      <w:r>
        <w:t>nebærer 707 mill. kroner til enda flere nye digitaliseringstiltak i 2020, jf. tabellen under. Regjeringens forslag til satsinger og omprioriteringer vil gjøre det mulig å realisere digital</w:t>
      </w:r>
      <w:r>
        <w:t>i</w:t>
      </w:r>
      <w:r>
        <w:t>seringstiltak som vil bidra til forenkling og effektivisering i offentlig sektor, bedre offentlige tj</w:t>
      </w:r>
      <w:r>
        <w:t>e</w:t>
      </w:r>
      <w:r>
        <w:t>nester og økt IT-sikkerhet.</w:t>
      </w:r>
    </w:p>
    <w:p w:rsidR="00557A6F" w:rsidRDefault="00557A6F" w:rsidP="00557A6F">
      <w:pPr>
        <w:pStyle w:val="tabell-tittel"/>
      </w:pPr>
      <w:r>
        <w:t>Nye digitaliseringstiltak i statsbudsjettet for 2020</w:t>
      </w:r>
    </w:p>
    <w:p w:rsidR="00557A6F" w:rsidRDefault="00557A6F" w:rsidP="00557A6F">
      <w:pPr>
        <w:pStyle w:val="Tabellnavn"/>
      </w:pPr>
      <w:r>
        <w:t>03J1xt2</w:t>
      </w:r>
    </w:p>
    <w:tbl>
      <w:tblPr>
        <w:tblStyle w:val="StandardTabell"/>
        <w:tblW w:w="9120" w:type="dxa"/>
        <w:tblLayout w:type="fixed"/>
        <w:tblLook w:val="04A0" w:firstRow="1" w:lastRow="0" w:firstColumn="1" w:lastColumn="0" w:noHBand="0" w:noVBand="1"/>
      </w:tblPr>
      <w:tblGrid>
        <w:gridCol w:w="1668"/>
        <w:gridCol w:w="5932"/>
        <w:gridCol w:w="1520"/>
      </w:tblGrid>
      <w:tr w:rsidR="00557A6F" w:rsidTr="00557A6F">
        <w:trPr>
          <w:trHeight w:val="600"/>
        </w:trPr>
        <w:tc>
          <w:tcPr>
            <w:tcW w:w="1668" w:type="dxa"/>
            <w:shd w:val="clear" w:color="auto" w:fill="FFFFFF"/>
          </w:tcPr>
          <w:p w:rsidR="00557A6F" w:rsidRDefault="00557A6F" w:rsidP="00557A6F">
            <w:r>
              <w:t>Depart</w:t>
            </w:r>
            <w:r>
              <w:t>e</w:t>
            </w:r>
            <w:r>
              <w:t>ment</w:t>
            </w:r>
          </w:p>
        </w:tc>
        <w:tc>
          <w:tcPr>
            <w:tcW w:w="5932" w:type="dxa"/>
          </w:tcPr>
          <w:p w:rsidR="00557A6F" w:rsidRDefault="00557A6F" w:rsidP="00557A6F">
            <w:r>
              <w:t>Kort omtale av tiltaket</w:t>
            </w:r>
          </w:p>
        </w:tc>
        <w:tc>
          <w:tcPr>
            <w:tcW w:w="1520" w:type="dxa"/>
          </w:tcPr>
          <w:p w:rsidR="00557A6F" w:rsidRDefault="00557A6F" w:rsidP="00557A6F">
            <w:pPr>
              <w:jc w:val="right"/>
            </w:pPr>
            <w:r>
              <w:t xml:space="preserve">Forslag </w:t>
            </w:r>
            <w:r>
              <w:br/>
              <w:t>(mill. kr</w:t>
            </w:r>
            <w:r>
              <w:t>o</w:t>
            </w:r>
            <w:r>
              <w:t>ner)</w:t>
            </w:r>
          </w:p>
        </w:tc>
      </w:tr>
      <w:tr w:rsidR="00557A6F" w:rsidTr="00557A6F">
        <w:trPr>
          <w:trHeight w:val="380"/>
        </w:trPr>
        <w:tc>
          <w:tcPr>
            <w:tcW w:w="1668" w:type="dxa"/>
          </w:tcPr>
          <w:p w:rsidR="00557A6F" w:rsidRDefault="00557A6F" w:rsidP="00557A6F">
            <w:r>
              <w:t>KUD</w:t>
            </w:r>
          </w:p>
        </w:tc>
        <w:tc>
          <w:tcPr>
            <w:tcW w:w="5932" w:type="dxa"/>
          </w:tcPr>
          <w:p w:rsidR="00557A6F" w:rsidRDefault="00557A6F" w:rsidP="00557A6F">
            <w:r>
              <w:t>Digitalarkiv og digital langtidsla</w:t>
            </w:r>
            <w:r>
              <w:t>g</w:t>
            </w:r>
            <w:r>
              <w:t>ring</w:t>
            </w:r>
          </w:p>
        </w:tc>
        <w:tc>
          <w:tcPr>
            <w:tcW w:w="1520" w:type="dxa"/>
          </w:tcPr>
          <w:p w:rsidR="00557A6F" w:rsidRDefault="00557A6F" w:rsidP="00557A6F">
            <w:pPr>
              <w:jc w:val="right"/>
            </w:pPr>
            <w:r>
              <w:t>35,0</w:t>
            </w:r>
          </w:p>
        </w:tc>
      </w:tr>
      <w:tr w:rsidR="00557A6F" w:rsidTr="00557A6F">
        <w:trPr>
          <w:trHeight w:val="380"/>
        </w:trPr>
        <w:tc>
          <w:tcPr>
            <w:tcW w:w="1668" w:type="dxa"/>
          </w:tcPr>
          <w:p w:rsidR="00557A6F" w:rsidRDefault="00557A6F" w:rsidP="00557A6F">
            <w:r>
              <w:t>JD</w:t>
            </w:r>
          </w:p>
        </w:tc>
        <w:tc>
          <w:tcPr>
            <w:tcW w:w="5932" w:type="dxa"/>
          </w:tcPr>
          <w:p w:rsidR="00557A6F" w:rsidRDefault="00557A6F" w:rsidP="00557A6F">
            <w:r>
              <w:t>ESAS – elektronisk samhandling i straffesak</w:t>
            </w:r>
            <w:r>
              <w:t>s</w:t>
            </w:r>
            <w:r>
              <w:t>kjeden</w:t>
            </w:r>
          </w:p>
        </w:tc>
        <w:tc>
          <w:tcPr>
            <w:tcW w:w="1520" w:type="dxa"/>
          </w:tcPr>
          <w:p w:rsidR="00557A6F" w:rsidRDefault="00557A6F" w:rsidP="00557A6F">
            <w:pPr>
              <w:jc w:val="right"/>
            </w:pPr>
            <w:r>
              <w:t>30,0</w:t>
            </w:r>
          </w:p>
        </w:tc>
      </w:tr>
      <w:tr w:rsidR="00557A6F" w:rsidTr="00557A6F">
        <w:trPr>
          <w:trHeight w:val="380"/>
        </w:trPr>
        <w:tc>
          <w:tcPr>
            <w:tcW w:w="1668" w:type="dxa"/>
          </w:tcPr>
          <w:p w:rsidR="00557A6F" w:rsidRDefault="00557A6F" w:rsidP="00557A6F">
            <w:r>
              <w:t>JD</w:t>
            </w:r>
          </w:p>
        </w:tc>
        <w:tc>
          <w:tcPr>
            <w:tcW w:w="5932" w:type="dxa"/>
          </w:tcPr>
          <w:p w:rsidR="00557A6F" w:rsidRDefault="00557A6F" w:rsidP="00557A6F">
            <w:r>
              <w:t>Objektsikring og lukking av sikkerhetsa</w:t>
            </w:r>
            <w:r>
              <w:t>v</w:t>
            </w:r>
            <w:r>
              <w:t>vik – Nødnett</w:t>
            </w:r>
          </w:p>
        </w:tc>
        <w:tc>
          <w:tcPr>
            <w:tcW w:w="1520" w:type="dxa"/>
          </w:tcPr>
          <w:p w:rsidR="00557A6F" w:rsidRDefault="00557A6F" w:rsidP="00557A6F">
            <w:pPr>
              <w:jc w:val="right"/>
            </w:pPr>
            <w:r>
              <w:t>40,0</w:t>
            </w:r>
          </w:p>
        </w:tc>
      </w:tr>
      <w:tr w:rsidR="00557A6F" w:rsidTr="00557A6F">
        <w:trPr>
          <w:trHeight w:val="380"/>
        </w:trPr>
        <w:tc>
          <w:tcPr>
            <w:tcW w:w="1668" w:type="dxa"/>
          </w:tcPr>
          <w:p w:rsidR="00557A6F" w:rsidRDefault="00557A6F" w:rsidP="00557A6F">
            <w:r>
              <w:t>JD</w:t>
            </w:r>
          </w:p>
        </w:tc>
        <w:tc>
          <w:tcPr>
            <w:tcW w:w="5932" w:type="dxa"/>
          </w:tcPr>
          <w:p w:rsidR="00557A6F" w:rsidRDefault="00557A6F" w:rsidP="00557A6F">
            <w:r>
              <w:t>Oppfølging av ny lov om nasjonal si</w:t>
            </w:r>
            <w:r>
              <w:t>k</w:t>
            </w:r>
            <w:r>
              <w:t>kerhet</w:t>
            </w:r>
          </w:p>
        </w:tc>
        <w:tc>
          <w:tcPr>
            <w:tcW w:w="1520" w:type="dxa"/>
          </w:tcPr>
          <w:p w:rsidR="00557A6F" w:rsidRDefault="00557A6F" w:rsidP="00557A6F">
            <w:pPr>
              <w:jc w:val="right"/>
            </w:pPr>
            <w:r>
              <w:t>20,0</w:t>
            </w:r>
          </w:p>
        </w:tc>
      </w:tr>
      <w:tr w:rsidR="00557A6F" w:rsidTr="00557A6F">
        <w:trPr>
          <w:trHeight w:val="380"/>
        </w:trPr>
        <w:tc>
          <w:tcPr>
            <w:tcW w:w="1668" w:type="dxa"/>
          </w:tcPr>
          <w:p w:rsidR="00557A6F" w:rsidRDefault="00557A6F" w:rsidP="00557A6F">
            <w:r>
              <w:t>JD</w:t>
            </w:r>
          </w:p>
        </w:tc>
        <w:tc>
          <w:tcPr>
            <w:tcW w:w="5932" w:type="dxa"/>
          </w:tcPr>
          <w:p w:rsidR="00557A6F" w:rsidRDefault="00557A6F" w:rsidP="00557A6F">
            <w:r>
              <w:t>Grense- og territorialko</w:t>
            </w:r>
            <w:r>
              <w:t>n</w:t>
            </w:r>
            <w:r>
              <w:t>troll</w:t>
            </w:r>
          </w:p>
        </w:tc>
        <w:tc>
          <w:tcPr>
            <w:tcW w:w="1520" w:type="dxa"/>
          </w:tcPr>
          <w:p w:rsidR="00557A6F" w:rsidRDefault="00557A6F" w:rsidP="00557A6F">
            <w:pPr>
              <w:jc w:val="right"/>
            </w:pPr>
            <w:r>
              <w:t>22,6</w:t>
            </w:r>
          </w:p>
        </w:tc>
      </w:tr>
      <w:tr w:rsidR="00557A6F" w:rsidTr="00557A6F">
        <w:trPr>
          <w:trHeight w:val="380"/>
        </w:trPr>
        <w:tc>
          <w:tcPr>
            <w:tcW w:w="1668" w:type="dxa"/>
          </w:tcPr>
          <w:p w:rsidR="00557A6F" w:rsidRDefault="00557A6F" w:rsidP="00557A6F">
            <w:r>
              <w:t>JD</w:t>
            </w:r>
          </w:p>
        </w:tc>
        <w:tc>
          <w:tcPr>
            <w:tcW w:w="5932" w:type="dxa"/>
          </w:tcPr>
          <w:p w:rsidR="00557A6F" w:rsidRDefault="00557A6F" w:rsidP="00557A6F">
            <w:r>
              <w:t>Tilpasning av domstolenes IKT-systemer til ny arvelov</w:t>
            </w:r>
          </w:p>
        </w:tc>
        <w:tc>
          <w:tcPr>
            <w:tcW w:w="1520" w:type="dxa"/>
          </w:tcPr>
          <w:p w:rsidR="00557A6F" w:rsidRDefault="00557A6F" w:rsidP="00557A6F">
            <w:pPr>
              <w:jc w:val="right"/>
            </w:pPr>
            <w:r>
              <w:t>8,1</w:t>
            </w:r>
          </w:p>
        </w:tc>
      </w:tr>
      <w:tr w:rsidR="00557A6F" w:rsidTr="00557A6F">
        <w:trPr>
          <w:trHeight w:val="380"/>
        </w:trPr>
        <w:tc>
          <w:tcPr>
            <w:tcW w:w="1668" w:type="dxa"/>
          </w:tcPr>
          <w:p w:rsidR="00557A6F" w:rsidRDefault="00557A6F" w:rsidP="00557A6F">
            <w:r>
              <w:t>JD</w:t>
            </w:r>
          </w:p>
        </w:tc>
        <w:tc>
          <w:tcPr>
            <w:tcW w:w="5932" w:type="dxa"/>
          </w:tcPr>
          <w:p w:rsidR="00557A6F" w:rsidRDefault="00557A6F" w:rsidP="00557A6F">
            <w:r>
              <w:t>Digitalisering i Gjenopptakelseskomm</w:t>
            </w:r>
            <w:r>
              <w:t>i</w:t>
            </w:r>
            <w:r>
              <w:t>sjonen</w:t>
            </w:r>
          </w:p>
        </w:tc>
        <w:tc>
          <w:tcPr>
            <w:tcW w:w="1520" w:type="dxa"/>
          </w:tcPr>
          <w:p w:rsidR="00557A6F" w:rsidRDefault="00557A6F" w:rsidP="00557A6F">
            <w:pPr>
              <w:jc w:val="right"/>
            </w:pPr>
            <w:r>
              <w:t>2,8</w:t>
            </w:r>
          </w:p>
        </w:tc>
      </w:tr>
      <w:tr w:rsidR="00557A6F" w:rsidTr="00557A6F">
        <w:trPr>
          <w:trHeight w:val="380"/>
        </w:trPr>
        <w:tc>
          <w:tcPr>
            <w:tcW w:w="1668" w:type="dxa"/>
          </w:tcPr>
          <w:p w:rsidR="00557A6F" w:rsidRDefault="00557A6F" w:rsidP="00557A6F">
            <w:r>
              <w:lastRenderedPageBreak/>
              <w:t>JD</w:t>
            </w:r>
          </w:p>
        </w:tc>
        <w:tc>
          <w:tcPr>
            <w:tcW w:w="5932" w:type="dxa"/>
          </w:tcPr>
          <w:p w:rsidR="00557A6F" w:rsidRDefault="00557A6F" w:rsidP="00557A6F">
            <w:r>
              <w:t>Automatisert kontroll av vergeregnskap</w:t>
            </w:r>
          </w:p>
        </w:tc>
        <w:tc>
          <w:tcPr>
            <w:tcW w:w="1520" w:type="dxa"/>
          </w:tcPr>
          <w:p w:rsidR="00557A6F" w:rsidRDefault="00557A6F" w:rsidP="00557A6F">
            <w:pPr>
              <w:jc w:val="right"/>
            </w:pPr>
            <w:r>
              <w:t>2,5</w:t>
            </w:r>
          </w:p>
        </w:tc>
      </w:tr>
      <w:tr w:rsidR="00557A6F" w:rsidTr="00557A6F">
        <w:trPr>
          <w:trHeight w:val="380"/>
        </w:trPr>
        <w:tc>
          <w:tcPr>
            <w:tcW w:w="1668" w:type="dxa"/>
          </w:tcPr>
          <w:p w:rsidR="00557A6F" w:rsidRDefault="00557A6F" w:rsidP="00557A6F">
            <w:r>
              <w:t>KMD</w:t>
            </w:r>
          </w:p>
        </w:tc>
        <w:tc>
          <w:tcPr>
            <w:tcW w:w="5932" w:type="dxa"/>
          </w:tcPr>
          <w:p w:rsidR="00557A6F" w:rsidRDefault="00557A6F" w:rsidP="00557A6F">
            <w:r>
              <w:t>Økt tilskudd til bredbånd</w:t>
            </w:r>
            <w:r>
              <w:t>s</w:t>
            </w:r>
            <w:r>
              <w:t>utbygging</w:t>
            </w:r>
          </w:p>
        </w:tc>
        <w:tc>
          <w:tcPr>
            <w:tcW w:w="1520" w:type="dxa"/>
          </w:tcPr>
          <w:p w:rsidR="00557A6F" w:rsidRDefault="00557A6F" w:rsidP="00557A6F">
            <w:pPr>
              <w:jc w:val="right"/>
            </w:pPr>
            <w:r>
              <w:t>50,0</w:t>
            </w:r>
          </w:p>
        </w:tc>
      </w:tr>
      <w:tr w:rsidR="00557A6F" w:rsidTr="00557A6F">
        <w:trPr>
          <w:trHeight w:val="380"/>
        </w:trPr>
        <w:tc>
          <w:tcPr>
            <w:tcW w:w="1668" w:type="dxa"/>
          </w:tcPr>
          <w:p w:rsidR="00557A6F" w:rsidRDefault="00557A6F" w:rsidP="00557A6F">
            <w:r>
              <w:t>KMD</w:t>
            </w:r>
          </w:p>
        </w:tc>
        <w:tc>
          <w:tcPr>
            <w:tcW w:w="5932" w:type="dxa"/>
          </w:tcPr>
          <w:p w:rsidR="00557A6F" w:rsidRDefault="00557A6F" w:rsidP="00557A6F">
            <w:r>
              <w:t>Markedsplass for skytjene</w:t>
            </w:r>
            <w:r>
              <w:t>s</w:t>
            </w:r>
            <w:r>
              <w:t>ter</w:t>
            </w:r>
          </w:p>
        </w:tc>
        <w:tc>
          <w:tcPr>
            <w:tcW w:w="1520" w:type="dxa"/>
          </w:tcPr>
          <w:p w:rsidR="00557A6F" w:rsidRDefault="00557A6F" w:rsidP="00557A6F">
            <w:pPr>
              <w:jc w:val="right"/>
            </w:pPr>
            <w:r>
              <w:t>11,0</w:t>
            </w:r>
          </w:p>
        </w:tc>
      </w:tr>
      <w:tr w:rsidR="00557A6F" w:rsidTr="00557A6F">
        <w:trPr>
          <w:trHeight w:val="380"/>
        </w:trPr>
        <w:tc>
          <w:tcPr>
            <w:tcW w:w="1668" w:type="dxa"/>
          </w:tcPr>
          <w:p w:rsidR="00557A6F" w:rsidRDefault="00557A6F" w:rsidP="00557A6F">
            <w:r>
              <w:t>KMD</w:t>
            </w:r>
          </w:p>
        </w:tc>
        <w:tc>
          <w:tcPr>
            <w:tcW w:w="5932" w:type="dxa"/>
          </w:tcPr>
          <w:p w:rsidR="00557A6F" w:rsidRDefault="00557A6F" w:rsidP="00557A6F">
            <w:r>
              <w:t>Medfinansieringsordningen for digitaliseringspr</w:t>
            </w:r>
            <w:r>
              <w:t>o</w:t>
            </w:r>
            <w:r>
              <w:t>sjekter</w:t>
            </w:r>
          </w:p>
        </w:tc>
        <w:tc>
          <w:tcPr>
            <w:tcW w:w="1520" w:type="dxa"/>
          </w:tcPr>
          <w:p w:rsidR="00557A6F" w:rsidRDefault="00557A6F" w:rsidP="00557A6F">
            <w:pPr>
              <w:jc w:val="right"/>
            </w:pPr>
            <w:r>
              <w:t>187,9</w:t>
            </w:r>
          </w:p>
        </w:tc>
      </w:tr>
      <w:tr w:rsidR="00557A6F" w:rsidTr="00557A6F">
        <w:trPr>
          <w:trHeight w:val="380"/>
        </w:trPr>
        <w:tc>
          <w:tcPr>
            <w:tcW w:w="1668" w:type="dxa"/>
          </w:tcPr>
          <w:p w:rsidR="00557A6F" w:rsidRDefault="00557A6F" w:rsidP="00557A6F">
            <w:r>
              <w:t>KMD</w:t>
            </w:r>
          </w:p>
        </w:tc>
        <w:tc>
          <w:tcPr>
            <w:tcW w:w="5932" w:type="dxa"/>
          </w:tcPr>
          <w:p w:rsidR="00557A6F" w:rsidRDefault="00557A6F" w:rsidP="00557A6F">
            <w:r>
              <w:t>Digitale lø</w:t>
            </w:r>
            <w:r>
              <w:t>s</w:t>
            </w:r>
            <w:r>
              <w:t>ninger for kommunalt disponerte boliger</w:t>
            </w:r>
          </w:p>
        </w:tc>
        <w:tc>
          <w:tcPr>
            <w:tcW w:w="1520" w:type="dxa"/>
          </w:tcPr>
          <w:p w:rsidR="00557A6F" w:rsidRDefault="00557A6F" w:rsidP="00557A6F">
            <w:pPr>
              <w:jc w:val="right"/>
            </w:pPr>
            <w:r>
              <w:t>30,0</w:t>
            </w:r>
          </w:p>
        </w:tc>
      </w:tr>
      <w:tr w:rsidR="00557A6F" w:rsidTr="00557A6F">
        <w:trPr>
          <w:trHeight w:val="380"/>
        </w:trPr>
        <w:tc>
          <w:tcPr>
            <w:tcW w:w="1668" w:type="dxa"/>
          </w:tcPr>
          <w:p w:rsidR="00557A6F" w:rsidRDefault="00557A6F" w:rsidP="00557A6F">
            <w:r>
              <w:t>KMD</w:t>
            </w:r>
          </w:p>
        </w:tc>
        <w:tc>
          <w:tcPr>
            <w:tcW w:w="5932" w:type="dxa"/>
          </w:tcPr>
          <w:p w:rsidR="00557A6F" w:rsidRDefault="00557A6F" w:rsidP="00557A6F">
            <w:r>
              <w:t>Forbedring og videreutvikling av m</w:t>
            </w:r>
            <w:r>
              <w:t>a</w:t>
            </w:r>
            <w:r>
              <w:t>trikkelen</w:t>
            </w:r>
          </w:p>
        </w:tc>
        <w:tc>
          <w:tcPr>
            <w:tcW w:w="1520" w:type="dxa"/>
          </w:tcPr>
          <w:p w:rsidR="00557A6F" w:rsidRDefault="00557A6F" w:rsidP="00557A6F">
            <w:pPr>
              <w:jc w:val="right"/>
            </w:pPr>
            <w:r>
              <w:t>30,0</w:t>
            </w:r>
          </w:p>
        </w:tc>
      </w:tr>
      <w:tr w:rsidR="00557A6F" w:rsidTr="00557A6F">
        <w:trPr>
          <w:trHeight w:val="380"/>
        </w:trPr>
        <w:tc>
          <w:tcPr>
            <w:tcW w:w="1668" w:type="dxa"/>
          </w:tcPr>
          <w:p w:rsidR="00557A6F" w:rsidRDefault="00557A6F" w:rsidP="00557A6F">
            <w:r>
              <w:t>KMD</w:t>
            </w:r>
          </w:p>
        </w:tc>
        <w:tc>
          <w:tcPr>
            <w:tcW w:w="5932" w:type="dxa"/>
          </w:tcPr>
          <w:p w:rsidR="00557A6F" w:rsidRDefault="00557A6F" w:rsidP="00557A6F">
            <w:r>
              <w:t>Analyser og klargjøring for 5G</w:t>
            </w:r>
          </w:p>
        </w:tc>
        <w:tc>
          <w:tcPr>
            <w:tcW w:w="1520" w:type="dxa"/>
          </w:tcPr>
          <w:p w:rsidR="00557A6F" w:rsidRDefault="00557A6F" w:rsidP="00557A6F">
            <w:pPr>
              <w:jc w:val="right"/>
            </w:pPr>
            <w:r>
              <w:t>8,6</w:t>
            </w:r>
          </w:p>
        </w:tc>
      </w:tr>
      <w:tr w:rsidR="00557A6F" w:rsidTr="00557A6F">
        <w:trPr>
          <w:trHeight w:val="380"/>
        </w:trPr>
        <w:tc>
          <w:tcPr>
            <w:tcW w:w="1668" w:type="dxa"/>
          </w:tcPr>
          <w:p w:rsidR="00557A6F" w:rsidRDefault="00557A6F" w:rsidP="00557A6F">
            <w:r>
              <w:t>KMD</w:t>
            </w:r>
          </w:p>
        </w:tc>
        <w:tc>
          <w:tcPr>
            <w:tcW w:w="5932" w:type="dxa"/>
          </w:tcPr>
          <w:p w:rsidR="00557A6F" w:rsidRDefault="00557A6F" w:rsidP="00557A6F">
            <w:r>
              <w:t xml:space="preserve">Deling av data </w:t>
            </w:r>
          </w:p>
        </w:tc>
        <w:tc>
          <w:tcPr>
            <w:tcW w:w="1520" w:type="dxa"/>
          </w:tcPr>
          <w:p w:rsidR="00557A6F" w:rsidRDefault="00557A6F" w:rsidP="00557A6F">
            <w:pPr>
              <w:jc w:val="right"/>
            </w:pPr>
            <w:r>
              <w:t>10,0</w:t>
            </w:r>
          </w:p>
        </w:tc>
      </w:tr>
      <w:tr w:rsidR="00557A6F" w:rsidTr="00557A6F">
        <w:trPr>
          <w:trHeight w:val="380"/>
        </w:trPr>
        <w:tc>
          <w:tcPr>
            <w:tcW w:w="1668" w:type="dxa"/>
          </w:tcPr>
          <w:p w:rsidR="00557A6F" w:rsidRDefault="00557A6F" w:rsidP="00557A6F">
            <w:r>
              <w:t>HOD</w:t>
            </w:r>
          </w:p>
        </w:tc>
        <w:tc>
          <w:tcPr>
            <w:tcW w:w="5932" w:type="dxa"/>
          </w:tcPr>
          <w:p w:rsidR="00557A6F" w:rsidRDefault="00557A6F" w:rsidP="00557A6F">
            <w:r>
              <w:t>Bedre pasientsikkerhet og samhan</w:t>
            </w:r>
            <w:r>
              <w:t>d</w:t>
            </w:r>
            <w:r>
              <w:t>ling med standardisert språk</w:t>
            </w:r>
          </w:p>
        </w:tc>
        <w:tc>
          <w:tcPr>
            <w:tcW w:w="1520" w:type="dxa"/>
          </w:tcPr>
          <w:p w:rsidR="00557A6F" w:rsidRDefault="00557A6F" w:rsidP="00557A6F">
            <w:pPr>
              <w:jc w:val="right"/>
            </w:pPr>
            <w:r>
              <w:t>84,0</w:t>
            </w:r>
          </w:p>
        </w:tc>
      </w:tr>
      <w:tr w:rsidR="00557A6F" w:rsidTr="00557A6F">
        <w:trPr>
          <w:trHeight w:val="380"/>
        </w:trPr>
        <w:tc>
          <w:tcPr>
            <w:tcW w:w="1668" w:type="dxa"/>
          </w:tcPr>
          <w:p w:rsidR="00557A6F" w:rsidRDefault="00557A6F" w:rsidP="00557A6F">
            <w:r>
              <w:t>HOD</w:t>
            </w:r>
          </w:p>
        </w:tc>
        <w:tc>
          <w:tcPr>
            <w:tcW w:w="5932" w:type="dxa"/>
          </w:tcPr>
          <w:p w:rsidR="00557A6F" w:rsidRDefault="00557A6F" w:rsidP="00557A6F">
            <w:r>
              <w:t>Helseanalys</w:t>
            </w:r>
            <w:r>
              <w:t>e</w:t>
            </w:r>
            <w:r>
              <w:t>plattformen</w:t>
            </w:r>
            <w:r>
              <w:rPr>
                <w:rStyle w:val="skrift-hevet"/>
                <w:sz w:val="21"/>
                <w:szCs w:val="21"/>
              </w:rPr>
              <w:t>1</w:t>
            </w:r>
          </w:p>
        </w:tc>
        <w:tc>
          <w:tcPr>
            <w:tcW w:w="1520" w:type="dxa"/>
          </w:tcPr>
          <w:p w:rsidR="00557A6F" w:rsidRDefault="00557A6F" w:rsidP="00557A6F">
            <w:pPr>
              <w:jc w:val="right"/>
            </w:pPr>
            <w:r>
              <w:t>131,0</w:t>
            </w:r>
          </w:p>
        </w:tc>
      </w:tr>
      <w:tr w:rsidR="00557A6F" w:rsidTr="00557A6F">
        <w:trPr>
          <w:trHeight w:val="380"/>
        </w:trPr>
        <w:tc>
          <w:tcPr>
            <w:tcW w:w="1668" w:type="dxa"/>
          </w:tcPr>
          <w:p w:rsidR="00557A6F" w:rsidRDefault="00557A6F" w:rsidP="00557A6F">
            <w:r>
              <w:t>NFD</w:t>
            </w:r>
          </w:p>
        </w:tc>
        <w:tc>
          <w:tcPr>
            <w:tcW w:w="5932" w:type="dxa"/>
          </w:tcPr>
          <w:p w:rsidR="00557A6F" w:rsidRDefault="00557A6F" w:rsidP="00557A6F">
            <w:r>
              <w:t>BRREG: Forvaltning og drift av tj</w:t>
            </w:r>
            <w:r>
              <w:t>e</w:t>
            </w:r>
            <w:r>
              <w:t>nesten eBevis</w:t>
            </w:r>
          </w:p>
        </w:tc>
        <w:tc>
          <w:tcPr>
            <w:tcW w:w="1520" w:type="dxa"/>
          </w:tcPr>
          <w:p w:rsidR="00557A6F" w:rsidRDefault="00557A6F" w:rsidP="00557A6F">
            <w:pPr>
              <w:jc w:val="right"/>
            </w:pPr>
            <w:r>
              <w:t>3,1</w:t>
            </w:r>
          </w:p>
        </w:tc>
      </w:tr>
      <w:tr w:rsidR="00557A6F" w:rsidTr="00557A6F">
        <w:trPr>
          <w:trHeight w:val="380"/>
        </w:trPr>
        <w:tc>
          <w:tcPr>
            <w:tcW w:w="1668" w:type="dxa"/>
          </w:tcPr>
          <w:p w:rsidR="00557A6F" w:rsidRDefault="00557A6F" w:rsidP="00557A6F"/>
        </w:tc>
        <w:tc>
          <w:tcPr>
            <w:tcW w:w="5932" w:type="dxa"/>
          </w:tcPr>
          <w:p w:rsidR="00557A6F" w:rsidRDefault="00557A6F" w:rsidP="00557A6F">
            <w:r>
              <w:t>Sum</w:t>
            </w:r>
          </w:p>
        </w:tc>
        <w:tc>
          <w:tcPr>
            <w:tcW w:w="1520" w:type="dxa"/>
          </w:tcPr>
          <w:p w:rsidR="00557A6F" w:rsidRDefault="00557A6F" w:rsidP="00557A6F">
            <w:pPr>
              <w:jc w:val="right"/>
            </w:pPr>
            <w:r>
              <w:t>706,6</w:t>
            </w:r>
          </w:p>
        </w:tc>
      </w:tr>
    </w:tbl>
    <w:p w:rsidR="00557A6F" w:rsidRDefault="00557A6F" w:rsidP="00557A6F">
      <w:pPr>
        <w:pStyle w:val="tabell-noter"/>
        <w:rPr>
          <w:rFonts w:ascii="UniMyriad Regular" w:hAnsi="UniMyriad Regular" w:cs="UniMyriad Regular"/>
          <w:sz w:val="21"/>
          <w:szCs w:val="21"/>
        </w:rPr>
      </w:pPr>
      <w:r>
        <w:rPr>
          <w:rStyle w:val="skrift-hevet"/>
          <w:sz w:val="17"/>
          <w:szCs w:val="17"/>
        </w:rPr>
        <w:t>1</w:t>
      </w:r>
      <w:r>
        <w:rPr>
          <w:rStyle w:val="skrift-hevet"/>
          <w:sz w:val="17"/>
          <w:szCs w:val="17"/>
        </w:rPr>
        <w:tab/>
      </w:r>
      <w:r>
        <w:t>84,3 mill. kroner av dette dekkes inn fra Norges forskningsråd.</w:t>
      </w:r>
    </w:p>
    <w:p w:rsidR="00557A6F" w:rsidRDefault="00557A6F" w:rsidP="00557A6F">
      <w:r>
        <w:t>Nedenfor følger en omtale av enkelte av tiltakene.</w:t>
      </w:r>
    </w:p>
    <w:p w:rsidR="00557A6F" w:rsidRDefault="00557A6F" w:rsidP="00557A6F">
      <w:r>
        <w:t>Regjeringen foreslår 35 mill. kroner til utvikling av fellesløsninger for langtidsbevaring av digitale arkiver og tilgjengeliggjøring i Digitalarkivet. De to fellesløsningene vil bli utviklet parallelt. Eta</w:t>
      </w:r>
      <w:r>
        <w:t>b</w:t>
      </w:r>
      <w:r>
        <w:t>lering av løsning for langtidsbevaring vil redusere tapet av digital dokumentasjon i spesielt ko</w:t>
      </w:r>
      <w:r>
        <w:t>m</w:t>
      </w:r>
      <w:r>
        <w:t>munal sektor, øke fleksibiliteten i håndt</w:t>
      </w:r>
      <w:r>
        <w:t>e</w:t>
      </w:r>
      <w:r>
        <w:t>ringen av nye typer digitale arkiver og legge til rette for integrering i nasjonale fe</w:t>
      </w:r>
      <w:r>
        <w:t>l</w:t>
      </w:r>
      <w:r>
        <w:t>leskomponenter. Utviklingen av Digitalarkivet for tilgjengeliggjøring av alle typer arkiver vil øke tilgangen til arkivene for alle innbyggere uavhengig av bosted, øke m</w:t>
      </w:r>
      <w:r>
        <w:t>u</w:t>
      </w:r>
      <w:r>
        <w:t>ligheten for sammenkobling av informasjon og dermed produksjon av ny kunnskap, gi mulighet for bruk av ny teknologi i analyser av store datamengder og gi bedre informasjonssikkerhet og pe</w:t>
      </w:r>
      <w:r>
        <w:t>r</w:t>
      </w:r>
      <w:r>
        <w:t>sonvern.</w:t>
      </w:r>
    </w:p>
    <w:p w:rsidR="00557A6F" w:rsidRDefault="00557A6F" w:rsidP="00557A6F">
      <w:r>
        <w:t>Regjeringen foreslår 30 mill. kroner til elektronisk saksbehandling i straffesakskjeden (ESAS). Forslaget innebærer blant annet tiltak for elektronisk informasjonsflyt mellom aktører i straffesak</w:t>
      </w:r>
      <w:r>
        <w:t>s</w:t>
      </w:r>
      <w:r>
        <w:t xml:space="preserve">kjeden og automatisering av arbeidsprosesser. Tiltaket vil bidra til en modernisert og mer effektiv justisforvaltning. </w:t>
      </w:r>
    </w:p>
    <w:p w:rsidR="00557A6F" w:rsidRDefault="00557A6F" w:rsidP="00557A6F">
      <w:r>
        <w:t>Regjeringen foreslår 40 mill. kroner til objektsikring og lukking av sikkerhetsavvik i nødnett. N</w:t>
      </w:r>
      <w:r>
        <w:t>a</w:t>
      </w:r>
      <w:r>
        <w:t>sjonal sikke</w:t>
      </w:r>
      <w:r>
        <w:t>r</w:t>
      </w:r>
      <w:r>
        <w:t>hetsmyndighet (NSM) avdekket avvik fra sikkerhetsloven da de gjennomførte tilsyn med Direktoratet for sa</w:t>
      </w:r>
      <w:r>
        <w:t>m</w:t>
      </w:r>
      <w:r>
        <w:t xml:space="preserve">funnssikkerhet og beredskap (DSB), Nødnett og leverandøren Motorola i 2017. </w:t>
      </w:r>
    </w:p>
    <w:p w:rsidR="00557A6F" w:rsidRDefault="00557A6F" w:rsidP="00557A6F">
      <w:r>
        <w:t>Regjeringen foreslår 20 mill. kroner til oppfølging av ny lov om nasjonal sikkerhet. Den nye si</w:t>
      </w:r>
      <w:r>
        <w:t>k</w:t>
      </w:r>
      <w:r>
        <w:t>kerhetsloven utvider lovens nedslagsfelt i samfunnet, samtidig som den introduserer nye beskytte</w:t>
      </w:r>
      <w:r>
        <w:t>l</w:t>
      </w:r>
      <w:r>
        <w:t>seskategorier, endrede m</w:t>
      </w:r>
      <w:r>
        <w:t>e</w:t>
      </w:r>
      <w:r>
        <w:t>toder for å komme fram til dekkende beskyttelse av disse, og stiller nye krav til samhandling mellom virksomheter, sektorer og nivåer. Som følge av dette vil flere vir</w:t>
      </w:r>
      <w:r>
        <w:t>k</w:t>
      </w:r>
      <w:r>
        <w:t>somheter bli underlagt loven, og det medfører at antallet virksomheter som vil trenge råd og ve</w:t>
      </w:r>
      <w:r>
        <w:t>i</w:t>
      </w:r>
      <w:r>
        <w:t>ledning vil øke. Den nye sikke</w:t>
      </w:r>
      <w:r>
        <w:t>r</w:t>
      </w:r>
      <w:r>
        <w:t>hetsloven medfører i tillegg et stort behov for utvikling av gode løsninger for å støtte alle virksomhetene som vil falle inn under den nye loven. Dette o</w:t>
      </w:r>
      <w:r>
        <w:t>m</w:t>
      </w:r>
      <w:r>
        <w:t>fatter nye digitale løsninger, samarbeids- og kompetans</w:t>
      </w:r>
      <w:r>
        <w:t>e</w:t>
      </w:r>
      <w:r>
        <w:t>arenaer, rådgivning og behandling av søknader og saker.</w:t>
      </w:r>
    </w:p>
    <w:p w:rsidR="00557A6F" w:rsidRDefault="00557A6F" w:rsidP="00557A6F">
      <w:r>
        <w:lastRenderedPageBreak/>
        <w:t>Regjeringen foreslår 22,6 mill. kroner til nye systemer for grense- og territorialkontroll. Norge er gjennom sine Schengen-forpliktelser pålagt å implementere et felleseuropeisk inn- og utreisesy</w:t>
      </w:r>
      <w:r>
        <w:t>s</w:t>
      </w:r>
      <w:r>
        <w:t>tem for tredjelandsborgere (EES) og et system for å søke fremreisetillatelse for tredjelandsborgere som er unntatt visumplikt (ETIAS). Sy</w:t>
      </w:r>
      <w:r>
        <w:t>s</w:t>
      </w:r>
      <w:r>
        <w:t xml:space="preserve">temene skal implementeres i 2020 og 2021. </w:t>
      </w:r>
    </w:p>
    <w:p w:rsidR="00557A6F" w:rsidRDefault="00557A6F" w:rsidP="00557A6F">
      <w:r>
        <w:t>Som følge av innføringen av ny arvelov vil det være behov for flere tiltak i domstolenes saksb</w:t>
      </w:r>
      <w:r>
        <w:t>e</w:t>
      </w:r>
      <w:r>
        <w:t>handlingssystem (Lovisa). Regjeringen foreslår derfor 8,1 mill. kroner til tilpasning av domstolenes IKT-system til ny arvelov.</w:t>
      </w:r>
    </w:p>
    <w:p w:rsidR="00557A6F" w:rsidRDefault="00557A6F" w:rsidP="00557A6F">
      <w:r>
        <w:t>Regjeringen foreslår 2,8 mill. kroner til digitalisering i Kommisjonen for gjenopptakelse av stra</w:t>
      </w:r>
      <w:r>
        <w:t>f</w:t>
      </w:r>
      <w:r>
        <w:t>fesaker (Gjenop</w:t>
      </w:r>
      <w:r>
        <w:t>p</w:t>
      </w:r>
      <w:r>
        <w:t>takelseskommisjonen). Kommisjonen behandler mye sensitiv informasjon i sin daglige drift. Det krever høy sikke</w:t>
      </w:r>
      <w:r>
        <w:t>r</w:t>
      </w:r>
      <w:r>
        <w:t xml:space="preserve">het for at personopplysninger ikke kommer på </w:t>
      </w:r>
      <w:proofErr w:type="gramStart"/>
      <w:r>
        <w:t>avveie</w:t>
      </w:r>
      <w:proofErr w:type="gramEnd"/>
      <w:r>
        <w:t>. Tiltaket gir Gjenopptakelseskommisjonen en interaktiv br</w:t>
      </w:r>
      <w:r>
        <w:t>u</w:t>
      </w:r>
      <w:r>
        <w:t>kerportal med sikker og effektiv håndtering av straffesaksdokumenter gjennom Justishub/ESAS. I tillegg innebærer tiltaket etablering av ny hjemmeside og anskaffelse av nytt saks- og arkivsystem for sekretariatet. Tiltaket vil sikre at Gjenopptakelseskommisjonen møter regjeringens amb</w:t>
      </w:r>
      <w:r>
        <w:t>i</w:t>
      </w:r>
      <w:r>
        <w:t>sjoner om digitalisering i offentlig sektor.</w:t>
      </w:r>
    </w:p>
    <w:p w:rsidR="00557A6F" w:rsidRDefault="00557A6F" w:rsidP="00557A6F">
      <w:r>
        <w:t>Regjeringen foreslår 2,5 mill. kroner til automatisert kontroll av vergeregnskap. Verger som mi</w:t>
      </w:r>
      <w:r>
        <w:t>s</w:t>
      </w:r>
      <w:r>
        <w:t>bruker vergehavers midler må fanges opp. Vergeregnskapskontrollen skjer i dag manuelt. Autom</w:t>
      </w:r>
      <w:r>
        <w:t>a</w:t>
      </w:r>
      <w:r>
        <w:t>tisert regnskapskontroll legger opp til digital innhenting av data fra skatteetaten samt kontoutskri</w:t>
      </w:r>
      <w:r>
        <w:t>f</w:t>
      </w:r>
      <w:r>
        <w:t>ter for konti som vergen disponerer. I tillegg vil en r</w:t>
      </w:r>
      <w:r>
        <w:t>e</w:t>
      </w:r>
      <w:r>
        <w:t>gelmotor i IKT-systemene gjennomføre en analyse av dokumentasjonen for å identifisere avvik. Dette utgjør den investeringsmessige delen av bevilgningen. Den driftsmessige d</w:t>
      </w:r>
      <w:r>
        <w:t>e</w:t>
      </w:r>
      <w:r>
        <w:t>len av bevilgningen knytter seg til et økt antall verger som må følges opp som følge av at alle kontrolleres.</w:t>
      </w:r>
    </w:p>
    <w:p w:rsidR="00557A6F" w:rsidRDefault="00557A6F" w:rsidP="00557A6F">
      <w:r>
        <w:t>Regjeringen foreslår 84 mill. kroner til bedre pasientsikkerhet og samhandling med standardisert språk. Det er behov for et nasjonalt, standardisert språk for strukturering av informasjon i elektr</w:t>
      </w:r>
      <w:r>
        <w:t>o</w:t>
      </w:r>
      <w:r>
        <w:t>niske informasjonssystemer i helsetjenesten. Et felles språk vil gi bedre pasientsikkerhet, samhan</w:t>
      </w:r>
      <w:r>
        <w:t>d</w:t>
      </w:r>
      <w:r>
        <w:t>ling og kunnskaps- og forskningsgrunnlag ved at helsefaglige opplysninger kan dokumenteres, formidles og fo</w:t>
      </w:r>
      <w:r>
        <w:t>r</w:t>
      </w:r>
      <w:r>
        <w:t xml:space="preserve">stås på en entydig måte. </w:t>
      </w:r>
    </w:p>
    <w:p w:rsidR="00557A6F" w:rsidRDefault="00557A6F" w:rsidP="00557A6F">
      <w:r>
        <w:rPr>
          <w:spacing w:val="-1"/>
        </w:rPr>
        <w:t>Det foreslås 131 mill. kroner til arbeidet med å realisere en nasjonal helseanalyseplattform. Hels</w:t>
      </w:r>
      <w:r>
        <w:rPr>
          <w:spacing w:val="-1"/>
        </w:rPr>
        <w:t>e</w:t>
      </w:r>
      <w:r>
        <w:t>analyseplattformen er en del av regjeringens langtidsplan for forskning og skal bidra til bedre he</w:t>
      </w:r>
      <w:r>
        <w:t>l</w:t>
      </w:r>
      <w:r>
        <w:t>seforskning, mer innovasjon og næringsutvikling, og mer kunnskapsbaserte helsetjenester. Hels</w:t>
      </w:r>
      <w:r>
        <w:t>e</w:t>
      </w:r>
      <w:r>
        <w:t>analyseplattformen skal etableres som en nasj</w:t>
      </w:r>
      <w:r>
        <w:t>o</w:t>
      </w:r>
      <w:r>
        <w:t>nal løsning for tilgjengeliggjøring og analyse av helsedata. Det skal legges til rette for avanserte analyser på tvers av helseregistre og andre kilder til helseopplysninger. Samtidig skal personvernet styrkes gjennom bedre innsynstjenester, bedre m</w:t>
      </w:r>
      <w:r>
        <w:t>u</w:t>
      </w:r>
      <w:r>
        <w:t>ligheter til å gi og trekke samtykker og bedre sporing av bruken av opplysningene. Målet er å fo</w:t>
      </w:r>
      <w:r>
        <w:t>r</w:t>
      </w:r>
      <w:r>
        <w:t xml:space="preserve">bedre utnyttelsen av norske helsedata samtidig som personvern og sikkerhet styrkes. </w:t>
      </w:r>
    </w:p>
    <w:p w:rsidR="00557A6F" w:rsidRDefault="00557A6F" w:rsidP="00557A6F">
      <w:r>
        <w:t>Regjeringen foreslår 3,1 mill. kroner til tjenesten eBevis, som ble lansert i april 2019. Første ve</w:t>
      </w:r>
      <w:r>
        <w:t>r</w:t>
      </w:r>
      <w:r>
        <w:t>sjon gjelder a</w:t>
      </w:r>
      <w:r>
        <w:t>n</w:t>
      </w:r>
      <w:r>
        <w:t xml:space="preserve">skaffelser og vil innebære forenklinger for både oppdragsgivere og leverandører i konkurransen om offentlige anskaffelser. Tjenesten er også et virkemiddel for å ha bedre kontroll med om leverandører er seriøse. Videre skal det ses på muligheter for </w:t>
      </w:r>
      <w:proofErr w:type="gramStart"/>
      <w:r>
        <w:t>å</w:t>
      </w:r>
      <w:proofErr w:type="gramEnd"/>
      <w:r>
        <w:t xml:space="preserve"> også bruke tjenesten på andre områder.</w:t>
      </w:r>
    </w:p>
    <w:p w:rsidR="00557A6F" w:rsidRDefault="00557A6F" w:rsidP="00557A6F">
      <w:r>
        <w:t xml:space="preserve">I tillegg videreføres allerede vedtatte digitaliseringssatsinger på flere sentrale områder, og en rekke prosjekter blir gjennomført innenfor gjeldende rammer. </w:t>
      </w:r>
    </w:p>
    <w:p w:rsidR="00557A6F" w:rsidRDefault="00557A6F" w:rsidP="00557A6F">
      <w:r>
        <w:t>Et eksempel på dette er DigiBarnevern, der regjeringen totalt foreslår å bevilge nesten 30 mill. kroner i 2020.</w:t>
      </w:r>
    </w:p>
    <w:p w:rsidR="00557A6F" w:rsidRDefault="00557A6F" w:rsidP="00557A6F">
      <w:r>
        <w:t>Digitaliseringen av helsesektoren er et annet eksempel på høy aktivitet. Regjeringen foreslår å styrke arbeidet med Helseplattformen med en bevilgning på 123,2 mill. kroner i 2020 til komm</w:t>
      </w:r>
      <w:r>
        <w:t>u</w:t>
      </w:r>
      <w:r>
        <w:t>nedelen, samt en lånebevil</w:t>
      </w:r>
      <w:r>
        <w:t>g</w:t>
      </w:r>
      <w:r>
        <w:t>ning på 400 mill. kroner til Helse Midt-Norge RHF. Videre foreslås det å styrke satsingen på modernisering av Folkeregisteret med 20 mill. kroner for å øke innføring</w:t>
      </w:r>
      <w:r>
        <w:t>s</w:t>
      </w:r>
      <w:r>
        <w:t>takten i helse- og omsorgssektoren. Et modernisert folkeregister vil føre til raskere tildeling av fødselsnummer og identifis</w:t>
      </w:r>
      <w:r>
        <w:t>e</w:t>
      </w:r>
      <w:r>
        <w:t>ring av nyfødte, samt raskere innmelding og formidling av dødsfall. Felles distribusjon og bruk av folkeregisteropplysninger vil gi økt datakvalitet og god tilgjeng</w:t>
      </w:r>
      <w:r>
        <w:t>e</w:t>
      </w:r>
      <w:r>
        <w:t xml:space="preserve">lighet til oppdaterte opplysninger. Det foreslås til sammen 100 mill. kroner for å dekke veksten i kostnader til forvaltning og drift av de </w:t>
      </w:r>
      <w:r>
        <w:rPr>
          <w:spacing w:val="-3"/>
        </w:rPr>
        <w:t>nasjonale e-helseløsningene kjernejournal, e-resept,</w:t>
      </w:r>
      <w:r>
        <w:t xml:space="preserve"> helseno</w:t>
      </w:r>
      <w:r>
        <w:t>r</w:t>
      </w:r>
      <w:r>
        <w:t>ge.no, grunndata og helseID. I tillegg foreslås 38 mill. kroner for å øke kommunenes bidrag til fo</w:t>
      </w:r>
      <w:r>
        <w:t>r</w:t>
      </w:r>
      <w:r>
        <w:t>valtning og drift av helsenettet. Målet er å bidra til økt bruk og til bedre og mer driftssikre nasjon</w:t>
      </w:r>
      <w:r>
        <w:t>a</w:t>
      </w:r>
      <w:r>
        <w:t>le e-helseløsninger gjennom å utvikle ny funksjonalitet, redusere teknisk gjeld og hente inn vedl</w:t>
      </w:r>
      <w:r>
        <w:t>i</w:t>
      </w:r>
      <w:r>
        <w:t xml:space="preserve">keholdsetterslep. </w:t>
      </w:r>
    </w:p>
    <w:p w:rsidR="00557A6F" w:rsidRDefault="00557A6F" w:rsidP="00557A6F">
      <w:r>
        <w:t>Det vises til omtale i de enkelte departementenes fagproposisjoner.</w:t>
      </w:r>
    </w:p>
    <w:p w:rsidR="00557A6F" w:rsidRDefault="00557A6F" w:rsidP="00557A6F">
      <w:pPr>
        <w:pStyle w:val="Overskrift2"/>
      </w:pPr>
      <w:r>
        <w:lastRenderedPageBreak/>
        <w:t>Trygge og gode boforhold</w:t>
      </w:r>
    </w:p>
    <w:p w:rsidR="00557A6F" w:rsidRDefault="00557A6F" w:rsidP="00557A6F">
      <w:pPr>
        <w:pStyle w:val="avsnitt-tittel"/>
      </w:pPr>
      <w:r>
        <w:t>Egnede boliger for alle</w:t>
      </w:r>
    </w:p>
    <w:p w:rsidR="00557A6F" w:rsidRDefault="00557A6F" w:rsidP="00557A6F">
      <w:r>
        <w:t>Selv om samfunnet har godt utbygde velferdsordninger, er det fortsatt en del som ikke får den hjelpen de har behov for. Regjeringen fortsetter arbeidet med å tette hullene i sikkerhetsnettet for grupper som i dag faller gjennom, blant annet ved å forsterke innsatsen overfor vanskeligstilte på boligmarkedet. Vanskeli</w:t>
      </w:r>
      <w:r>
        <w:t>g</w:t>
      </w:r>
      <w:r>
        <w:t>stilte på boligmarkedet er personer og familier som ikke har mulighet til å skaffe seg eller opprettholde tilfredsstillende boforhold på egenhånd. Disse kan være uten egen bolig, stå i fare for å miste boligen sin, eller bo i uegnet bolig eller bomiljø. Regjeringens mål er at ingen skal være bostedsløse. Regjeringen vil sørge for at Husbanken har tilstrekkelige rammer til å dekke boligsosiale behov, og fleksible ordninger tilpasset den enkeltes og kommunenes behov. Regjeringen vil også legge til rette for at flere kan eie sin egen bolig, blant annet gjennom å ta i bruk leie-til-eie modeller i hele landet. Bostøtteordningen, tilskudd til utleieboliger og startlån er de viktigste boligsosiale virkemidlene, som bidrar til trygge og gode bofo</w:t>
      </w:r>
      <w:r>
        <w:t>r</w:t>
      </w:r>
      <w:r>
        <w:t>hold i Norge.</w:t>
      </w:r>
    </w:p>
    <w:p w:rsidR="00557A6F" w:rsidRDefault="00557A6F" w:rsidP="00557A6F">
      <w:r>
        <w:t xml:space="preserve">Formålet med den nasjonale strategien for boligsosialt arbeid </w:t>
      </w:r>
      <w:r>
        <w:rPr>
          <w:rStyle w:val="kursiv"/>
          <w:spacing w:val="-1"/>
          <w:sz w:val="21"/>
          <w:szCs w:val="21"/>
        </w:rPr>
        <w:t>Bolig for velferd – Nasjonal strategi for boligsosialt arbeid</w:t>
      </w:r>
      <w:r>
        <w:t xml:space="preserve"> </w:t>
      </w:r>
      <w:r>
        <w:rPr>
          <w:rStyle w:val="kursiv"/>
          <w:spacing w:val="-1"/>
          <w:sz w:val="21"/>
          <w:szCs w:val="21"/>
        </w:rPr>
        <w:t>(2014–2020)</w:t>
      </w:r>
      <w:r>
        <w:t xml:space="preserve"> er at kommunene skal møte en samordnet stat og få bedre rammeb</w:t>
      </w:r>
      <w:r>
        <w:t>e</w:t>
      </w:r>
      <w:r>
        <w:t>tingelser i arbeidet med å hjelpe vanskeligstilte på boligmarkedet. Barn og unge er en prioritert målgruppe i strategien. Det boligsosiale arbeidet har gitt mange viktige resultater. Antall bosted</w:t>
      </w:r>
      <w:r>
        <w:t>s</w:t>
      </w:r>
      <w:r>
        <w:t>løse i perioden 2012–2016 er redusert med over en tredel, og endringen har vært særlig stor blant bostedsløse barn. Bruken av midlert</w:t>
      </w:r>
      <w:r>
        <w:t>i</w:t>
      </w:r>
      <w:r>
        <w:t>dige botilbud har gått ned, samtidig som antall kommunalt disponerte utleieboliger har økt i perioden fra 2014 til 2018. Ett av to prioriterte tiltak for den gje</w:t>
      </w:r>
      <w:r>
        <w:t>n</w:t>
      </w:r>
      <w:r>
        <w:t>stående strategiperioden er å tilrettelegge for at vanskeligstilte barnefamilier bor i egnet bolig. De</w:t>
      </w:r>
      <w:r>
        <w:t>t</w:t>
      </w:r>
      <w:r>
        <w:t>te støtter opp under regjeringens mål om et samfunn med små forskjeller, og styrker innsatsen for å redusere fattigdom, særlig blant barnefamilier. Det andre prioriterte tiltaket er å bidra til helhetlig tilbud av boliger og tjenester for personer med rusavhengighet og psykiske lidelser. Se nærmere omtale av arbeidet med strategien under progra</w:t>
      </w:r>
      <w:r>
        <w:t>m</w:t>
      </w:r>
      <w:r>
        <w:t>kategori 13.80 Bolig, bomiljø og bygg.</w:t>
      </w:r>
    </w:p>
    <w:p w:rsidR="00557A6F" w:rsidRDefault="00557A6F" w:rsidP="00557A6F">
      <w:r>
        <w:t>Regjeringen vil sørge for en god og målrettet bostøtteordning. Bostøtten skal gi husstander med lave inntekter og høye boutgifter bedre mulighet til å skaffe seg og beholde en egnet bolig. I 2017 la regjeringen et godt fundament for dette, gjennom å sørge for at bostøtten kan beregnes på grunnlag av oppdaterte inntektsdata, og gjennom rut</w:t>
      </w:r>
      <w:r>
        <w:t>i</w:t>
      </w:r>
      <w:r>
        <w:t>ner for prisjustering som sikrer at realverdien av bostøtten opprettholdes år for år. I 2019 ble bostøtten til barn</w:t>
      </w:r>
      <w:r>
        <w:t>e</w:t>
      </w:r>
      <w:r>
        <w:t>familier og andre store husstander styrket med i alt 126 mill. kroner, i form av høyere boutgiftstak. Økningen på 60 mill. kroner i statsbudsjettet, og ytterligere 66 mill. kroner i forbindelse med revidert nasjonalbudsjett, tilsv</w:t>
      </w:r>
      <w:r>
        <w:t>a</w:t>
      </w:r>
      <w:r>
        <w:t>rer en helårsvirkning om lag 225 mill. kroner. Trygge og gode boforhold er viktig for å redusere fa</w:t>
      </w:r>
      <w:r>
        <w:t>t</w:t>
      </w:r>
      <w:r>
        <w:t>tigdom, og bostøtten er et effektivt virk</w:t>
      </w:r>
      <w:r>
        <w:t>e</w:t>
      </w:r>
      <w:r>
        <w:t xml:space="preserve">middel for å hjelpe dem som trenger det mest. </w:t>
      </w:r>
    </w:p>
    <w:p w:rsidR="00557A6F" w:rsidRDefault="00557A6F" w:rsidP="00557A6F">
      <w:pPr>
        <w:pStyle w:val="avsnitt-tittel"/>
      </w:pPr>
      <w:r>
        <w:t>Områdesatsing i byer</w:t>
      </w:r>
    </w:p>
    <w:p w:rsidR="00557A6F" w:rsidRDefault="00557A6F" w:rsidP="00557A6F">
      <w:r>
        <w:t>Staten bidrar til områdesatsing i enkelte områder i storbyene med særskilte levekårsutfordringer. Satsingene har ulik innretning, men skal bidra til forbedringer av tjenester og nærmiljøkvaliteter der beh</w:t>
      </w:r>
      <w:r>
        <w:t>o</w:t>
      </w:r>
      <w:r>
        <w:t xml:space="preserve">vene er størst, slik at flere beboere i disse områdene blir økonomisk selvstendige gjennom arbeid og aktiv deltakelse i lokalsamfunn og storsamfunn. </w:t>
      </w:r>
    </w:p>
    <w:p w:rsidR="00557A6F" w:rsidRDefault="00557A6F" w:rsidP="00557A6F">
      <w:r>
        <w:t>I 2019 ble områdesatsingene forenklet og effektivisert, da Oslo sør-satsingen og Oslo indre øst-satsingen ble samorganisert med Groruddalssatsingen på overordnet nivå. Dette innebærer fe</w:t>
      </w:r>
      <w:r>
        <w:t>l</w:t>
      </w:r>
      <w:r>
        <w:t>les overordnede mål, forvaltningssystem, beslutningsstrukturer, rapporteringsrutiner og prosjek</w:t>
      </w:r>
      <w:r>
        <w:t>t</w:t>
      </w:r>
      <w:r>
        <w:t>styringsmetodikk. Det er i 2019 inngått en intensjonsavtale om områdesatsing i Bergen. Se nærm</w:t>
      </w:r>
      <w:r>
        <w:t>e</w:t>
      </w:r>
      <w:r>
        <w:t>re omtale av arbeidet med områdesatsinger under pr</w:t>
      </w:r>
      <w:r>
        <w:t>o</w:t>
      </w:r>
      <w:r>
        <w:t>gramkategori 13.90 Planlegging, byutvikling og geodata.</w:t>
      </w:r>
    </w:p>
    <w:p w:rsidR="00557A6F" w:rsidRDefault="00557A6F" w:rsidP="00557A6F">
      <w:pPr>
        <w:pStyle w:val="Overskrift1"/>
      </w:pPr>
      <w:r>
        <w:t>Det økonomiske opplegget for kommunesektoren</w:t>
      </w:r>
    </w:p>
    <w:p w:rsidR="00557A6F" w:rsidRDefault="00557A6F" w:rsidP="00557A6F">
      <w:pPr>
        <w:pStyle w:val="Overskrift2"/>
      </w:pPr>
      <w:r>
        <w:t>Kommunesektorens inntekter i 2019</w:t>
      </w:r>
    </w:p>
    <w:p w:rsidR="00557A6F" w:rsidRDefault="00557A6F" w:rsidP="00557A6F">
      <w:r>
        <w:t xml:space="preserve">I Meld. St. 2 (2018–2019) </w:t>
      </w:r>
      <w:r>
        <w:rPr>
          <w:rStyle w:val="kursiv"/>
          <w:sz w:val="21"/>
          <w:szCs w:val="21"/>
        </w:rPr>
        <w:t>Revidert nasjonalbudsjett 2019</w:t>
      </w:r>
      <w:r>
        <w:t xml:space="preserve"> ble realveksten i kommunesektorens saml</w:t>
      </w:r>
      <w:r>
        <w:t>e</w:t>
      </w:r>
      <w:r>
        <w:t>de inntekter i 2019 anslått til 0,4 mrd. kroner. Videre ble det anslått en reell nedgang i de frie in</w:t>
      </w:r>
      <w:r>
        <w:t>n</w:t>
      </w:r>
      <w:r>
        <w:t xml:space="preserve">tektene på </w:t>
      </w:r>
      <w:r>
        <w:lastRenderedPageBreak/>
        <w:t>1,8 mrd. kroner. Nedgangen i frie inntekter hadde sammenheng med at ekstra skattein</w:t>
      </w:r>
      <w:r>
        <w:t>n</w:t>
      </w:r>
      <w:r>
        <w:t>tekter i 2018 i hovedsak ikke ble videreført.</w:t>
      </w:r>
    </w:p>
    <w:p w:rsidR="00557A6F" w:rsidRDefault="00557A6F" w:rsidP="00557A6F">
      <w:r>
        <w:t>Den reelle veksten i kommunesektorens samlede inntekter i 2019 anslås nå til 5,3 mrd. kroner. De frie inntektene anslås å øke reelt med 3,2 mrd. kroner. Inntektsveksten er vesentlig høyere enn lagt opp til i statsbudsjettet for 2019, noe som i hovedsak skyldes økte skatteinntekter i 2019.</w:t>
      </w:r>
    </w:p>
    <w:p w:rsidR="00557A6F" w:rsidRDefault="00557A6F" w:rsidP="00557A6F">
      <w:r>
        <w:t>Kommunesektorens skatteinntekter i 2019 ser nå ut til å bli 4,9 mrd. kroner høyere enn lagt til grunn i revidert nasjonalbudsjett for 2019, blant annet som følge av økende sysselsetting. Videre er utbytte til personlige skattytere for skatteåret 2018 fortsatt på et høyt nivå, trolig som følge av ti</w:t>
      </w:r>
      <w:r>
        <w:t>l</w:t>
      </w:r>
      <w:r>
        <w:t>pasninger til økt utbyttebeskatning. Det bidrar til økte skatteinntekter for kommunene.</w:t>
      </w:r>
    </w:p>
    <w:p w:rsidR="00557A6F" w:rsidRDefault="00557A6F" w:rsidP="00557A6F">
      <w:r>
        <w:t>Kostnadsveksten i kommunesektoren anslås til 3,0 pst. i 2019, som er det samme som lagt til grunn i revidert nasjonalbudsjett for 2019.</w:t>
      </w:r>
    </w:p>
    <w:p w:rsidR="00557A6F" w:rsidRDefault="00557A6F" w:rsidP="00557A6F">
      <w:pPr>
        <w:pStyle w:val="Overskrift2"/>
      </w:pPr>
      <w:r>
        <w:t>Kommunesektorens inntekter i 2020</w:t>
      </w:r>
    </w:p>
    <w:p w:rsidR="00557A6F" w:rsidRDefault="00557A6F" w:rsidP="00557A6F">
      <w:r>
        <w:t>Kommunesektoren går inn i 2020 med et godt økonomisk fundament. God inntektsvekst de senere årene har gitt gode netto driftsresultater og et historisk lavt antall kommuner i Register om betinget godkje</w:t>
      </w:r>
      <w:r>
        <w:t>n</w:t>
      </w:r>
      <w:r>
        <w:t>ning og kontroll (ROBEK).</w:t>
      </w:r>
    </w:p>
    <w:p w:rsidR="00557A6F" w:rsidRDefault="00557A6F" w:rsidP="00557A6F">
      <w:r>
        <w:t>I kommuneproposisjonen for 2020 la regjeringen opp til en reell vekst i kommunesektorens saml</w:t>
      </w:r>
      <w:r>
        <w:t>e</w:t>
      </w:r>
      <w:r>
        <w:t>de inntekter på mellom 0,2 og 1,5 mrd. kroner. Regjeringen legger nå opp til en reell vekst i sa</w:t>
      </w:r>
      <w:r>
        <w:t>m</w:t>
      </w:r>
      <w:r>
        <w:t>lede inntekter på knapt 3,2 mrd. kroner, tilsvarende 0,6 pst. Inntektsveksten er regnet fra inntekt</w:t>
      </w:r>
      <w:r>
        <w:t>s</w:t>
      </w:r>
      <w:r>
        <w:t>nivået i 2019 slik det ble anslått etter stortingsb</w:t>
      </w:r>
      <w:r>
        <w:t>e</w:t>
      </w:r>
      <w:r>
        <w:t>handlingen av revidert nasjonalbudsjett for 2019. Ved beregning av realvekst i kommunesektorens inntekter er det lagt til grunn en pris- og kos</w:t>
      </w:r>
      <w:r>
        <w:t>t</w:t>
      </w:r>
      <w:r>
        <w:t xml:space="preserve">nadsvekst i kommunal tjenesteyting på 3,1 pst. </w:t>
      </w:r>
    </w:p>
    <w:p w:rsidR="00557A6F" w:rsidRDefault="00557A6F" w:rsidP="00557A6F">
      <w:r>
        <w:t>I kommuneproposisjonen for 2020 varslet regjeringen en realvekst i frie inntekter i 2020 på mellom 1 og 2 mrd. kroner. Det ble varslet at kommunene ville få 1–2 mrd. kroner av veksten, og at fy</w:t>
      </w:r>
      <w:r>
        <w:t>l</w:t>
      </w:r>
      <w:r>
        <w:t>keskommunene ville få en realvekst i frie inntekter på -0,2–0,1 mrd. kroner. Den foreslåtte veksten for fylkeskommunene ble sett i sammenheng med at fylkeskommunene antas å få en nedgang i sine d</w:t>
      </w:r>
      <w:r>
        <w:t>e</w:t>
      </w:r>
      <w:r>
        <w:t>mografiutgifter som følge av anslåtte endringer i befolkningens sammensetning. Regjeringen legger nå opp til en realvekst i frie inntekter i 2020 på 1,3 mrd. kroner. Det tilsvarer en realvekst på 0,3 pst. Inntektsveksten er regnet fra inntektsnivået i 2019 slik det ble anslått etter stortingsbehan</w:t>
      </w:r>
      <w:r>
        <w:t>d</w:t>
      </w:r>
      <w:r>
        <w:t>lingen av revidert nasjonalbudsjett for 2019. Det innebærer at oppjust</w:t>
      </w:r>
      <w:r>
        <w:t>e</w:t>
      </w:r>
      <w:r>
        <w:t>ringen av skatteanslaget for 2019 med 4,9 mrd. kroner, jf. punkt 3.1, ikke påvirker nivået på sektorens innte</w:t>
      </w:r>
      <w:r>
        <w:t>k</w:t>
      </w:r>
      <w:r>
        <w:t xml:space="preserve">ter i 2020. </w:t>
      </w:r>
    </w:p>
    <w:p w:rsidR="00557A6F" w:rsidRDefault="00557A6F" w:rsidP="00557A6F">
      <w:r>
        <w:t>Regjeringen foreslår at veksten i frie inntekter på 1,3 mrd. kroner i sin helhet tildeles kommunene. Av veksten begrunnes 400 mill. kroner med satsing på tidlig innsats i skolen og 150 mill. kroner med sa</w:t>
      </w:r>
      <w:r>
        <w:t>t</w:t>
      </w:r>
      <w:r>
        <w:t>singen på rusfeltet.</w:t>
      </w:r>
    </w:p>
    <w:p w:rsidR="00557A6F" w:rsidRDefault="00557A6F" w:rsidP="00557A6F">
      <w:r>
        <w:t xml:space="preserve">Fylkeskommunenes frie inntekter holdes reelt sett om lag uendret sammenliknet med 2019. </w:t>
      </w:r>
    </w:p>
    <w:p w:rsidR="00557A6F" w:rsidRDefault="00557A6F" w:rsidP="00557A6F">
      <w:r>
        <w:t>Veksten i frie inntekter i 2020 må sees i sammenheng med kommunesektorens anslåtte merutgifter som følge av befolkningsutviklingen. I kommuneproposisjonen for 2020 ble det vist til beregninger utført av Det tekniske b</w:t>
      </w:r>
      <w:r>
        <w:t>e</w:t>
      </w:r>
      <w:r>
        <w:t>regningsutvalg for kommunal og fylkeskommunal økonomi (TBU) som viste merutgi</w:t>
      </w:r>
      <w:r>
        <w:t>f</w:t>
      </w:r>
      <w:r>
        <w:t>ter for kommunesektoren i 2020 på 1,3 mrd. kroner som følge av den demografiske utviklingen. Av dette ble det anslått at om lag 0,9 mrd. kroner må finansieres innenfor veksten i frie inntekter. De anslåtte merutgiftene er et uttrykk for hva det vil koste å opprettholde tjenestetilbudet i blant annet skole, barnehage og omsorgstjenesten med uendret standard og produktivitet i tjene</w:t>
      </w:r>
      <w:r>
        <w:t>s</w:t>
      </w:r>
      <w:r>
        <w:t>tene. I kommuneproposisjonen for 2020 ble det anslått en nedgang i kommunesektorens saml</w:t>
      </w:r>
      <w:r>
        <w:t>e</w:t>
      </w:r>
      <w:r>
        <w:t>de pensjonskostnader på 450 mill. kroner i 2020, utover det som dekkes av den kommunale deflat</w:t>
      </w:r>
      <w:r>
        <w:t>o</w:t>
      </w:r>
      <w:r>
        <w:t>ren. Anslaget er beheftet med usikkerhet.</w:t>
      </w:r>
    </w:p>
    <w:p w:rsidR="00557A6F" w:rsidRDefault="00557A6F" w:rsidP="00557A6F">
      <w:r>
        <w:t>Etter dette anslås kommunesektorens handlingsrom å øke med 300 mill. kroner i 2020. Da er det tatt hensyn til merutgifter som følge av den demografiske utviklingen på 0,9 mrd. kroner, forventet reduksjon i pensjonskostn</w:t>
      </w:r>
      <w:r>
        <w:t>a</w:t>
      </w:r>
      <w:r>
        <w:t xml:space="preserve">dene på 450 mill. kroner og satsinger finansiert innenfor veksten i frie inntekter på 550 mill. kroner. </w:t>
      </w:r>
    </w:p>
    <w:p w:rsidR="00557A6F" w:rsidRDefault="00557A6F" w:rsidP="00557A6F">
      <w:r>
        <w:t>Ved fastsettelsen av veksten i frie inntekter til kommunesektoren i 2020 er det tatt hensyn til at kommunene skal dekke en større del av kostnadene til forvaltning, drift og vedlikehold av nasjon</w:t>
      </w:r>
      <w:r>
        <w:t>a</w:t>
      </w:r>
      <w:r>
        <w:t>le e-helseløsninger og bidra mer til helsenettet. Det tas sikte på at kommunenes bidrag til finansi</w:t>
      </w:r>
      <w:r>
        <w:t>e</w:t>
      </w:r>
      <w:r>
        <w:t>ring av nasjonale e-helseløsninger korrigeres ut av veksten i de frie inntektene fra 2021, og at r</w:t>
      </w:r>
      <w:r>
        <w:t>e</w:t>
      </w:r>
      <w:r>
        <w:t>gjeringen ko</w:t>
      </w:r>
      <w:r>
        <w:t>m</w:t>
      </w:r>
      <w:r>
        <w:t>mer tilbake til saken i kommuneproposisjonen for 2021.</w:t>
      </w:r>
    </w:p>
    <w:p w:rsidR="00557A6F" w:rsidRDefault="00557A6F" w:rsidP="00557A6F">
      <w:r>
        <w:lastRenderedPageBreak/>
        <w:t xml:space="preserve">Regjeringens budsjettopplegg innebærer at kommunesektoren får noe økt handlingsrom, men det er fortsatt nødvendig å prioritere </w:t>
      </w:r>
      <w:proofErr w:type="gramStart"/>
      <w:r>
        <w:t>og</w:t>
      </w:r>
      <w:proofErr w:type="gramEnd"/>
      <w:r>
        <w:t xml:space="preserve"> sikre god ressursbruk. Det gjennomføres i dag et betydelig o</w:t>
      </w:r>
      <w:r>
        <w:t>m</w:t>
      </w:r>
      <w:r>
        <w:t>stillings- og effektivisering</w:t>
      </w:r>
      <w:r>
        <w:t>s</w:t>
      </w:r>
      <w:r>
        <w:t>arbeid i kommunesektoren, og bedre organisering av tjenestene kan frigjøre midler som vil styrke handling</w:t>
      </w:r>
      <w:r>
        <w:t>s</w:t>
      </w:r>
      <w:r>
        <w:t xml:space="preserve">rommet ut over veksten i frie inntekter. </w:t>
      </w:r>
    </w:p>
    <w:p w:rsidR="00557A6F" w:rsidRDefault="00557A6F" w:rsidP="00557A6F">
      <w:pPr>
        <w:pStyle w:val="tabell-tittel"/>
      </w:pPr>
      <w:r>
        <w:t>Økning i kommunesektorens handlingsrom i 2020.</w:t>
      </w:r>
    </w:p>
    <w:p w:rsidR="00557A6F" w:rsidRDefault="00557A6F" w:rsidP="00557A6F">
      <w:pPr>
        <w:pStyle w:val="Tabellnavn"/>
      </w:pPr>
      <w:r>
        <w:t>02J1xt1</w:t>
      </w:r>
    </w:p>
    <w:tbl>
      <w:tblPr>
        <w:tblStyle w:val="StandardTabell"/>
        <w:tblW w:w="0" w:type="auto"/>
        <w:tblLayout w:type="fixed"/>
        <w:tblLook w:val="04A0" w:firstRow="1" w:lastRow="0" w:firstColumn="1" w:lastColumn="0" w:noHBand="0" w:noVBand="1"/>
      </w:tblPr>
      <w:tblGrid>
        <w:gridCol w:w="7360"/>
        <w:gridCol w:w="1840"/>
      </w:tblGrid>
      <w:tr w:rsidR="00557A6F" w:rsidTr="00557A6F">
        <w:trPr>
          <w:trHeight w:val="360"/>
        </w:trPr>
        <w:tc>
          <w:tcPr>
            <w:tcW w:w="7360" w:type="dxa"/>
            <w:shd w:val="clear" w:color="auto" w:fill="FFFFFF"/>
          </w:tcPr>
          <w:p w:rsidR="00557A6F" w:rsidRDefault="00557A6F" w:rsidP="00557A6F"/>
        </w:tc>
        <w:tc>
          <w:tcPr>
            <w:tcW w:w="1840" w:type="dxa"/>
          </w:tcPr>
          <w:p w:rsidR="00557A6F" w:rsidRDefault="00557A6F" w:rsidP="00557A6F">
            <w:pPr>
              <w:jc w:val="right"/>
            </w:pPr>
            <w:r>
              <w:t>Mrd. kroner</w:t>
            </w:r>
          </w:p>
        </w:tc>
      </w:tr>
      <w:tr w:rsidR="00557A6F" w:rsidTr="00557A6F">
        <w:trPr>
          <w:trHeight w:val="380"/>
        </w:trPr>
        <w:tc>
          <w:tcPr>
            <w:tcW w:w="7360" w:type="dxa"/>
          </w:tcPr>
          <w:p w:rsidR="00557A6F" w:rsidRDefault="00557A6F" w:rsidP="00557A6F">
            <w:r>
              <w:t>Vekst frie inntekter</w:t>
            </w:r>
          </w:p>
        </w:tc>
        <w:tc>
          <w:tcPr>
            <w:tcW w:w="1840" w:type="dxa"/>
          </w:tcPr>
          <w:p w:rsidR="00557A6F" w:rsidRDefault="00557A6F" w:rsidP="00557A6F">
            <w:pPr>
              <w:jc w:val="right"/>
            </w:pPr>
            <w:r>
              <w:t xml:space="preserve">1,3 </w:t>
            </w:r>
          </w:p>
        </w:tc>
      </w:tr>
      <w:tr w:rsidR="00557A6F" w:rsidTr="00557A6F">
        <w:trPr>
          <w:trHeight w:val="380"/>
        </w:trPr>
        <w:tc>
          <w:tcPr>
            <w:tcW w:w="7360" w:type="dxa"/>
          </w:tcPr>
          <w:p w:rsidR="00557A6F" w:rsidRDefault="00557A6F" w:rsidP="00557A6F">
            <w:r>
              <w:t xml:space="preserve">- </w:t>
            </w:r>
            <w:r>
              <w:tab/>
              <w:t>merkostnader til dem</w:t>
            </w:r>
            <w:r>
              <w:t>o</w:t>
            </w:r>
            <w:r>
              <w:t xml:space="preserve">grafi </w:t>
            </w:r>
          </w:p>
        </w:tc>
        <w:tc>
          <w:tcPr>
            <w:tcW w:w="1840" w:type="dxa"/>
          </w:tcPr>
          <w:p w:rsidR="00557A6F" w:rsidRDefault="00557A6F" w:rsidP="00557A6F">
            <w:pPr>
              <w:jc w:val="right"/>
            </w:pPr>
            <w:r>
              <w:t>-0,9</w:t>
            </w:r>
          </w:p>
        </w:tc>
      </w:tr>
      <w:tr w:rsidR="00557A6F" w:rsidTr="00557A6F">
        <w:trPr>
          <w:trHeight w:val="380"/>
        </w:trPr>
        <w:tc>
          <w:tcPr>
            <w:tcW w:w="7360" w:type="dxa"/>
          </w:tcPr>
          <w:p w:rsidR="00557A6F" w:rsidRDefault="00557A6F" w:rsidP="00557A6F">
            <w:r>
              <w:t xml:space="preserve">+ </w:t>
            </w:r>
            <w:r>
              <w:tab/>
              <w:t xml:space="preserve">reduserte kostnader til pensjon </w:t>
            </w:r>
          </w:p>
        </w:tc>
        <w:tc>
          <w:tcPr>
            <w:tcW w:w="1840" w:type="dxa"/>
          </w:tcPr>
          <w:p w:rsidR="00557A6F" w:rsidRDefault="00557A6F" w:rsidP="00557A6F">
            <w:pPr>
              <w:jc w:val="right"/>
            </w:pPr>
            <w:r>
              <w:t>0,45</w:t>
            </w:r>
          </w:p>
        </w:tc>
      </w:tr>
      <w:tr w:rsidR="00557A6F" w:rsidTr="00557A6F">
        <w:trPr>
          <w:trHeight w:val="620"/>
        </w:trPr>
        <w:tc>
          <w:tcPr>
            <w:tcW w:w="7360" w:type="dxa"/>
          </w:tcPr>
          <w:p w:rsidR="00557A6F" w:rsidRDefault="00557A6F" w:rsidP="00557A6F">
            <w:r>
              <w:t xml:space="preserve">- </w:t>
            </w:r>
            <w:r>
              <w:tab/>
              <w:t>satsinger innenfor vek</w:t>
            </w:r>
            <w:r>
              <w:t>s</w:t>
            </w:r>
            <w:r>
              <w:t xml:space="preserve">ten i frie inntekter </w:t>
            </w:r>
          </w:p>
        </w:tc>
        <w:tc>
          <w:tcPr>
            <w:tcW w:w="1840" w:type="dxa"/>
          </w:tcPr>
          <w:p w:rsidR="00557A6F" w:rsidRDefault="00557A6F" w:rsidP="00557A6F">
            <w:pPr>
              <w:jc w:val="right"/>
            </w:pPr>
            <w:r>
              <w:t>-0,55</w:t>
            </w:r>
          </w:p>
        </w:tc>
      </w:tr>
      <w:tr w:rsidR="00557A6F" w:rsidTr="00557A6F">
        <w:trPr>
          <w:trHeight w:val="380"/>
        </w:trPr>
        <w:tc>
          <w:tcPr>
            <w:tcW w:w="7360" w:type="dxa"/>
          </w:tcPr>
          <w:p w:rsidR="00557A6F" w:rsidRDefault="00557A6F" w:rsidP="00557A6F">
            <w:r>
              <w:t xml:space="preserve">Økt handlingsrom </w:t>
            </w:r>
          </w:p>
        </w:tc>
        <w:tc>
          <w:tcPr>
            <w:tcW w:w="1840" w:type="dxa"/>
          </w:tcPr>
          <w:p w:rsidR="00557A6F" w:rsidRDefault="00557A6F" w:rsidP="00557A6F">
            <w:pPr>
              <w:jc w:val="right"/>
            </w:pPr>
            <w:r>
              <w:t>0,3</w:t>
            </w:r>
          </w:p>
        </w:tc>
      </w:tr>
    </w:tbl>
    <w:p w:rsidR="00557A6F" w:rsidRDefault="00557A6F" w:rsidP="00557A6F">
      <w:pPr>
        <w:pStyle w:val="Figur"/>
      </w:pPr>
      <w:r>
        <w:t>[:figur:fig3-1.jpg]</w:t>
      </w:r>
    </w:p>
    <w:p w:rsidR="00557A6F" w:rsidRDefault="00557A6F" w:rsidP="00557A6F">
      <w:pPr>
        <w:pStyle w:val="figur-tittel"/>
      </w:pPr>
      <w:r>
        <w:t>Vekst i frie inntekter ut over beregnede demografi- og pensjonskostnader og satsinger innenfor veksten i frie inntekter</w:t>
      </w:r>
    </w:p>
    <w:p w:rsidR="00557A6F" w:rsidRDefault="00557A6F" w:rsidP="00557A6F">
      <w:pPr>
        <w:pStyle w:val="Kilde"/>
      </w:pPr>
      <w:r>
        <w:t>Prop. 1 S for respektive år. Anslag for pensjonskostnader for 2011 og 2012 er gitt av TBU i novemberrapporten 2010 og 2011. Veksten i frie innte</w:t>
      </w:r>
      <w:r>
        <w:t>k</w:t>
      </w:r>
      <w:r>
        <w:t>ter er regnet fra anslått inntektsnivå i revidert nasjonalbudsjett foregående år.</w:t>
      </w:r>
    </w:p>
    <w:p w:rsidR="00557A6F" w:rsidRDefault="00557A6F" w:rsidP="00557A6F">
      <w:r>
        <w:t>Figur 3.1 illustrerer veksten i kommunesektorens frie inntekter etter at beregnede utgifter knyttet til befolkningsutvikling og pensjonskostnader, samt satsinger innenfor veksten i frie inntekter er tru</w:t>
      </w:r>
      <w:r>
        <w:t>k</w:t>
      </w:r>
      <w:r>
        <w:t>ket fra. Figuren viser at veksten i frie inntekter har gitt et handlingsrom hvert år siden 2015.</w:t>
      </w:r>
    </w:p>
    <w:p w:rsidR="00557A6F" w:rsidRDefault="00557A6F" w:rsidP="00557A6F">
      <w:pPr>
        <w:pStyle w:val="avsnitt-undertittel"/>
      </w:pPr>
      <w:r>
        <w:lastRenderedPageBreak/>
        <w:t xml:space="preserve">Nærmere om realveksten i samlede inntekter </w:t>
      </w:r>
    </w:p>
    <w:p w:rsidR="00557A6F" w:rsidRDefault="00557A6F" w:rsidP="00557A6F">
      <w:r>
        <w:t>I tabell 3.2 er realveksten i kommunesektorens samlede inntekter i 2020 på knapt 3,2 mrd. kroner d</w:t>
      </w:r>
      <w:r>
        <w:t>e</w:t>
      </w:r>
      <w:r>
        <w:t>komponert.</w:t>
      </w:r>
    </w:p>
    <w:p w:rsidR="00557A6F" w:rsidRDefault="00557A6F" w:rsidP="00557A6F">
      <w:pPr>
        <w:pStyle w:val="tabell-tittel"/>
      </w:pPr>
      <w:r>
        <w:t>Realvekst i kommunesekt</w:t>
      </w:r>
      <w:r>
        <w:t>o</w:t>
      </w:r>
      <w:r>
        <w:t>rens samlede inntekter i 2020</w:t>
      </w:r>
    </w:p>
    <w:p w:rsidR="00557A6F" w:rsidRDefault="00557A6F" w:rsidP="00557A6F">
      <w:pPr>
        <w:pStyle w:val="Tabellnavn"/>
      </w:pPr>
      <w:r>
        <w:t>02J1xt1</w:t>
      </w:r>
    </w:p>
    <w:tbl>
      <w:tblPr>
        <w:tblStyle w:val="StandardTabell"/>
        <w:tblW w:w="0" w:type="auto"/>
        <w:tblLayout w:type="fixed"/>
        <w:tblLook w:val="04A0" w:firstRow="1" w:lastRow="0" w:firstColumn="1" w:lastColumn="0" w:noHBand="0" w:noVBand="1"/>
      </w:tblPr>
      <w:tblGrid>
        <w:gridCol w:w="7360"/>
        <w:gridCol w:w="1840"/>
      </w:tblGrid>
      <w:tr w:rsidR="00557A6F" w:rsidTr="00557A6F">
        <w:trPr>
          <w:trHeight w:val="360"/>
        </w:trPr>
        <w:tc>
          <w:tcPr>
            <w:tcW w:w="7360" w:type="dxa"/>
            <w:shd w:val="clear" w:color="auto" w:fill="FFFFFF"/>
          </w:tcPr>
          <w:p w:rsidR="00557A6F" w:rsidRDefault="00557A6F" w:rsidP="00557A6F"/>
        </w:tc>
        <w:tc>
          <w:tcPr>
            <w:tcW w:w="1840" w:type="dxa"/>
          </w:tcPr>
          <w:p w:rsidR="00557A6F" w:rsidRDefault="00557A6F" w:rsidP="00557A6F">
            <w:pPr>
              <w:jc w:val="right"/>
            </w:pPr>
            <w:r>
              <w:t>Mrd. kroner</w:t>
            </w:r>
          </w:p>
        </w:tc>
      </w:tr>
      <w:tr w:rsidR="00557A6F" w:rsidTr="00557A6F">
        <w:trPr>
          <w:trHeight w:val="380"/>
        </w:trPr>
        <w:tc>
          <w:tcPr>
            <w:tcW w:w="7360" w:type="dxa"/>
          </w:tcPr>
          <w:p w:rsidR="00557A6F" w:rsidRDefault="00557A6F" w:rsidP="00557A6F">
            <w:r>
              <w:t>Frie inntekter</w:t>
            </w:r>
          </w:p>
        </w:tc>
        <w:tc>
          <w:tcPr>
            <w:tcW w:w="1840" w:type="dxa"/>
          </w:tcPr>
          <w:p w:rsidR="00557A6F" w:rsidRDefault="00557A6F" w:rsidP="00557A6F">
            <w:pPr>
              <w:jc w:val="right"/>
            </w:pPr>
            <w:r>
              <w:t>1,3</w:t>
            </w:r>
          </w:p>
        </w:tc>
      </w:tr>
      <w:tr w:rsidR="00557A6F" w:rsidTr="00557A6F">
        <w:trPr>
          <w:trHeight w:val="640"/>
        </w:trPr>
        <w:tc>
          <w:tcPr>
            <w:tcW w:w="7360" w:type="dxa"/>
          </w:tcPr>
          <w:p w:rsidR="00557A6F" w:rsidRDefault="00557A6F" w:rsidP="00557A6F">
            <w:r>
              <w:t>Frie inntekter knyttet til en</w:t>
            </w:r>
            <w:r>
              <w:t>d</w:t>
            </w:r>
            <w:r>
              <w:t>ringer i oppgaver</w:t>
            </w:r>
            <w:r>
              <w:rPr>
                <w:rStyle w:val="skrift-hevet"/>
                <w:sz w:val="21"/>
                <w:szCs w:val="21"/>
              </w:rPr>
              <w:t>1</w:t>
            </w:r>
          </w:p>
        </w:tc>
        <w:tc>
          <w:tcPr>
            <w:tcW w:w="1840" w:type="dxa"/>
          </w:tcPr>
          <w:p w:rsidR="00557A6F" w:rsidRDefault="00557A6F" w:rsidP="00557A6F">
            <w:pPr>
              <w:jc w:val="right"/>
            </w:pPr>
            <w:r>
              <w:t>0,1</w:t>
            </w:r>
          </w:p>
        </w:tc>
      </w:tr>
      <w:tr w:rsidR="00557A6F" w:rsidTr="00557A6F">
        <w:trPr>
          <w:trHeight w:val="380"/>
        </w:trPr>
        <w:tc>
          <w:tcPr>
            <w:tcW w:w="7360" w:type="dxa"/>
          </w:tcPr>
          <w:p w:rsidR="00557A6F" w:rsidRDefault="00557A6F" w:rsidP="00557A6F">
            <w:r>
              <w:t>Øremerkede tilskudd</w:t>
            </w:r>
          </w:p>
        </w:tc>
        <w:tc>
          <w:tcPr>
            <w:tcW w:w="1840" w:type="dxa"/>
          </w:tcPr>
          <w:p w:rsidR="00557A6F" w:rsidRDefault="00557A6F" w:rsidP="00557A6F">
            <w:pPr>
              <w:jc w:val="right"/>
            </w:pPr>
            <w:r>
              <w:t>1,4</w:t>
            </w:r>
          </w:p>
        </w:tc>
      </w:tr>
      <w:tr w:rsidR="00557A6F" w:rsidTr="00557A6F">
        <w:trPr>
          <w:trHeight w:val="380"/>
        </w:trPr>
        <w:tc>
          <w:tcPr>
            <w:tcW w:w="7360" w:type="dxa"/>
          </w:tcPr>
          <w:p w:rsidR="00557A6F" w:rsidRDefault="00557A6F" w:rsidP="00557A6F">
            <w:r>
              <w:t>Gebyrinntekter</w:t>
            </w:r>
          </w:p>
        </w:tc>
        <w:tc>
          <w:tcPr>
            <w:tcW w:w="1840" w:type="dxa"/>
          </w:tcPr>
          <w:p w:rsidR="00557A6F" w:rsidRDefault="00557A6F" w:rsidP="00557A6F">
            <w:pPr>
              <w:jc w:val="right"/>
            </w:pPr>
            <w:r>
              <w:t>0,5</w:t>
            </w:r>
          </w:p>
        </w:tc>
      </w:tr>
      <w:tr w:rsidR="00557A6F" w:rsidTr="00557A6F">
        <w:trPr>
          <w:trHeight w:val="380"/>
        </w:trPr>
        <w:tc>
          <w:tcPr>
            <w:tcW w:w="7360" w:type="dxa"/>
          </w:tcPr>
          <w:p w:rsidR="00557A6F" w:rsidRDefault="00557A6F" w:rsidP="00557A6F">
            <w:r>
              <w:t>Realvekst samlede inntekter</w:t>
            </w:r>
          </w:p>
        </w:tc>
        <w:tc>
          <w:tcPr>
            <w:tcW w:w="1840" w:type="dxa"/>
          </w:tcPr>
          <w:p w:rsidR="00557A6F" w:rsidRDefault="00557A6F" w:rsidP="00557A6F">
            <w:pPr>
              <w:jc w:val="right"/>
            </w:pPr>
            <w:r>
              <w:t>3,2</w:t>
            </w:r>
          </w:p>
        </w:tc>
      </w:tr>
    </w:tbl>
    <w:p w:rsidR="00557A6F" w:rsidRDefault="00557A6F" w:rsidP="00557A6F">
      <w:pPr>
        <w:pStyle w:val="tabell-noter"/>
        <w:rPr>
          <w:rFonts w:ascii="UniMyriad Regular" w:hAnsi="UniMyriad Regular" w:cs="UniMyriad Regular"/>
          <w:sz w:val="21"/>
          <w:szCs w:val="21"/>
        </w:rPr>
      </w:pPr>
      <w:r>
        <w:rPr>
          <w:rStyle w:val="skrift-hevet"/>
          <w:sz w:val="17"/>
          <w:szCs w:val="17"/>
        </w:rPr>
        <w:t xml:space="preserve">1 </w:t>
      </w:r>
      <w:r>
        <w:rPr>
          <w:rStyle w:val="skrift-hevet"/>
          <w:sz w:val="17"/>
          <w:szCs w:val="17"/>
        </w:rPr>
        <w:tab/>
      </w:r>
      <w:r>
        <w:t>Disse midlene bevilges som frie inntekter, men regnes ikke med i veksten i frie inntekter siden midlene er knyttet til endringer i pålagte oppgaver. Midlene medregnes i veksten i de samlede inntektene.</w:t>
      </w:r>
    </w:p>
    <w:p w:rsidR="00557A6F" w:rsidRDefault="00557A6F" w:rsidP="00557A6F">
      <w:r>
        <w:t>Ved pålegg om nye eller utvidede oppgaver for kommunesektoren, avvikling av oppgaver eller regelen</w:t>
      </w:r>
      <w:r>
        <w:t>d</w:t>
      </w:r>
      <w:r>
        <w:t>ringer som har økonomiske konsekvenser, blir kommunesektoren kompensert eller trukket i frie innte</w:t>
      </w:r>
      <w:r>
        <w:t>k</w:t>
      </w:r>
      <w:r>
        <w:t>ter på grunnlag av beregnet endring i økonomisk belastning. Disse endringene holdes utenom den b</w:t>
      </w:r>
      <w:r>
        <w:t>e</w:t>
      </w:r>
      <w:r>
        <w:t>regnede veksten i frie inntekter, men inngår i veksten i samlede inntekter. For 2020 utgjør disse bevil</w:t>
      </w:r>
      <w:r>
        <w:t>g</w:t>
      </w:r>
      <w:r>
        <w:t>ningsendringene samlet sett en økning på knapt 0,1 mrd. kroner. Endringene knytter seg til tiltak inne</w:t>
      </w:r>
      <w:r>
        <w:t>n</w:t>
      </w:r>
      <w:r>
        <w:t>for SFO- og barnehagefeltet.</w:t>
      </w:r>
    </w:p>
    <w:p w:rsidR="00557A6F" w:rsidRDefault="00557A6F" w:rsidP="00557A6F">
      <w:r>
        <w:t>Øremerkede tilskudd øker med netto 1,4 mrd. kroner. Dette må ses i sammenheng med en økning i kollektivsa</w:t>
      </w:r>
      <w:r>
        <w:t>t</w:t>
      </w:r>
      <w:r>
        <w:t>singen og investeringstilskudd til heldøgns omsorgsplasser. I motsatt retning trekker nedgang i inntekter fra op</w:t>
      </w:r>
      <w:r>
        <w:t>p</w:t>
      </w:r>
      <w:r>
        <w:t>drettstillatelser i havbruksnæringen.</w:t>
      </w:r>
    </w:p>
    <w:p w:rsidR="00557A6F" w:rsidRDefault="00557A6F" w:rsidP="00557A6F">
      <w:pPr>
        <w:pStyle w:val="avsnitt-undertittel"/>
      </w:pPr>
      <w:r>
        <w:t xml:space="preserve">Nærmere om realveksten i frie inntekter </w:t>
      </w:r>
    </w:p>
    <w:p w:rsidR="00557A6F" w:rsidRDefault="00557A6F" w:rsidP="00557A6F">
      <w:r>
        <w:t>Den foreslåtte veksten i frie inntekter i 2020 på 1,3 mrd. kroner er regnet fra inntektsnivået i 2019 slik det ble anslått etter stortingsbehandlingen av revidert nasjonalbudsjett for 2019. Oppjust</w:t>
      </w:r>
      <w:r>
        <w:t>e</w:t>
      </w:r>
      <w:r>
        <w:t>ringen av komm</w:t>
      </w:r>
      <w:r>
        <w:t>u</w:t>
      </w:r>
      <w:r>
        <w:t xml:space="preserve">nesektorens skatteinntekter i 2019 med 4,9 mrd. kroner i denne proposisjonen er derfor ikke medregnet ved beregning av veksten. Når veksten i 2020 regnes fra anslått inntektsnivå i 2019 i denne proposisjonen, det vil si at oppjusteringen av skatteinntektene i 2019 medregnes, blir inntektsveksten tilsvarende lavere. Inntektsnivået for kommunesektoren i 2020 påvirkes imidlertid ikke av hvordan veksten beregnes. </w:t>
      </w:r>
    </w:p>
    <w:p w:rsidR="00557A6F" w:rsidRDefault="00557A6F" w:rsidP="00557A6F">
      <w:r>
        <w:t>Tabell 3.3 viser anslag på kommunesektorens frie inntekter i 2019 og 2020 i løpende priser. In</w:t>
      </w:r>
      <w:r>
        <w:t>n</w:t>
      </w:r>
      <w:r>
        <w:t>tektsnivået i 2019 er anslag på regnskap i denne proposisjonen. Det innebærer at oppjusteringen av skatteanslaget på 4,9 mrd. kroner er medregnet. Videre er inntektsnivået for 2019 korrigert for oppgaveendringer, regelendringer og endringer i finansieringen av kommunesektorens oppgaver. Hensikten med å korrigere for oppgaveendringer med videre er å gjøre inntektsnivået i 2019 sa</w:t>
      </w:r>
      <w:r>
        <w:t>m</w:t>
      </w:r>
      <w:r>
        <w:t>menliknbart med inntektsnivået i 2020. Det er redegjort nærmere for korreksjonene i programk</w:t>
      </w:r>
      <w:r>
        <w:t>a</w:t>
      </w:r>
      <w:r>
        <w:t>tegori 13.70, tabell 6.21.</w:t>
      </w:r>
    </w:p>
    <w:p w:rsidR="00557A6F" w:rsidRDefault="00557A6F" w:rsidP="00557A6F">
      <w:r>
        <w:t>Anslaget på kommunesektorens skatteinntekter i 2020 bygger blant annet på en sysselsettingsvekst på 1 pst. og en årslønnsvekst på 3,6 pst. fra 2019 til 2020.</w:t>
      </w:r>
    </w:p>
    <w:p w:rsidR="00557A6F" w:rsidRDefault="00557A6F" w:rsidP="00557A6F">
      <w:r>
        <w:t>I kommuneproposisjonen for 2020 ble det varslet at den kommunale skattøren skal fastsettes ut fra en målsetting om at skatteinntektene skal utgjøre 40 pst. av kommunenes samlede inntekter. Fo</w:t>
      </w:r>
      <w:r>
        <w:t>r</w:t>
      </w:r>
      <w:r>
        <w:t>slag til kommunale og fylke</w:t>
      </w:r>
      <w:r>
        <w:t>s</w:t>
      </w:r>
      <w:r>
        <w:lastRenderedPageBreak/>
        <w:t xml:space="preserve">kommunale skattører for 2020 er fremmet i Prop. 1 LS (2019–2020) </w:t>
      </w:r>
      <w:r>
        <w:rPr>
          <w:rStyle w:val="kursiv"/>
          <w:sz w:val="21"/>
          <w:szCs w:val="21"/>
        </w:rPr>
        <w:t>Skatter, avgifter og toll 2020</w:t>
      </w:r>
      <w:r>
        <w:t>. Det foreslås at den kommunale skattøren reduseres med 0,45 prosentp</w:t>
      </w:r>
      <w:r>
        <w:t>o</w:t>
      </w:r>
      <w:r>
        <w:t>eng til 11,1 pst. Den fylkeskommunale skattøren foreslås redusert med 0,15 prosentpoeng til 2,45 pst. Skatteinntektene anslås etter dette å utgjøre om lag 40 pst. av ko</w:t>
      </w:r>
      <w:r>
        <w:t>m</w:t>
      </w:r>
      <w:r>
        <w:t>munenes samlede inntekter i 2020.</w:t>
      </w:r>
    </w:p>
    <w:p w:rsidR="00557A6F" w:rsidRDefault="00557A6F" w:rsidP="00557A6F">
      <w:pPr>
        <w:pStyle w:val="tabell-tittel"/>
      </w:pPr>
      <w:r>
        <w:t>Kommunenes og fylkeskommunenes frie inntekter</w:t>
      </w:r>
    </w:p>
    <w:p w:rsidR="00557A6F" w:rsidRDefault="00557A6F" w:rsidP="00557A6F">
      <w:pPr>
        <w:pStyle w:val="Tabellnavn"/>
      </w:pPr>
      <w:r>
        <w:t>10J3xt2</w:t>
      </w:r>
    </w:p>
    <w:tbl>
      <w:tblPr>
        <w:tblStyle w:val="StandardTabell"/>
        <w:tblW w:w="0" w:type="auto"/>
        <w:tblLayout w:type="fixed"/>
        <w:tblLook w:val="04A0" w:firstRow="1" w:lastRow="0" w:firstColumn="1" w:lastColumn="0" w:noHBand="0" w:noVBand="1"/>
      </w:tblPr>
      <w:tblGrid>
        <w:gridCol w:w="2180"/>
        <w:gridCol w:w="880"/>
        <w:gridCol w:w="880"/>
        <w:gridCol w:w="680"/>
        <w:gridCol w:w="880"/>
        <w:gridCol w:w="880"/>
        <w:gridCol w:w="680"/>
        <w:gridCol w:w="880"/>
        <w:gridCol w:w="880"/>
        <w:gridCol w:w="680"/>
      </w:tblGrid>
      <w:tr w:rsidR="00557A6F" w:rsidTr="00557A6F">
        <w:trPr>
          <w:trHeight w:val="320"/>
        </w:trPr>
        <w:tc>
          <w:tcPr>
            <w:tcW w:w="9500" w:type="dxa"/>
            <w:gridSpan w:val="10"/>
            <w:shd w:val="clear" w:color="auto" w:fill="FFFFFF"/>
          </w:tcPr>
          <w:p w:rsidR="00557A6F" w:rsidRDefault="00557A6F" w:rsidP="00557A6F">
            <w:pPr>
              <w:jc w:val="right"/>
            </w:pPr>
            <w:r>
              <w:t>Mill. kroner. Nominelle priser</w:t>
            </w:r>
            <w:r>
              <w:rPr>
                <w:rStyle w:val="skrift-hevet"/>
                <w:sz w:val="19"/>
                <w:szCs w:val="19"/>
              </w:rPr>
              <w:t>1</w:t>
            </w:r>
          </w:p>
        </w:tc>
      </w:tr>
      <w:tr w:rsidR="00557A6F" w:rsidTr="00557A6F">
        <w:trPr>
          <w:trHeight w:val="320"/>
        </w:trPr>
        <w:tc>
          <w:tcPr>
            <w:tcW w:w="2180" w:type="dxa"/>
          </w:tcPr>
          <w:p w:rsidR="00557A6F" w:rsidRDefault="00557A6F" w:rsidP="00557A6F"/>
        </w:tc>
        <w:tc>
          <w:tcPr>
            <w:tcW w:w="2440" w:type="dxa"/>
            <w:gridSpan w:val="3"/>
          </w:tcPr>
          <w:p w:rsidR="00557A6F" w:rsidRDefault="00557A6F" w:rsidP="00557A6F">
            <w:pPr>
              <w:jc w:val="center"/>
            </w:pPr>
            <w:r>
              <w:t>Kommunene</w:t>
            </w:r>
            <w:r>
              <w:rPr>
                <w:rStyle w:val="skrift-hevet"/>
                <w:sz w:val="19"/>
                <w:szCs w:val="19"/>
              </w:rPr>
              <w:t>2</w:t>
            </w:r>
          </w:p>
        </w:tc>
        <w:tc>
          <w:tcPr>
            <w:tcW w:w="2440" w:type="dxa"/>
            <w:gridSpan w:val="3"/>
          </w:tcPr>
          <w:p w:rsidR="00557A6F" w:rsidRDefault="00557A6F" w:rsidP="00557A6F">
            <w:pPr>
              <w:jc w:val="center"/>
            </w:pPr>
            <w:r>
              <w:t>Fylkeskommunene</w:t>
            </w:r>
            <w:r>
              <w:rPr>
                <w:rStyle w:val="skrift-hevet"/>
                <w:sz w:val="19"/>
                <w:szCs w:val="19"/>
              </w:rPr>
              <w:t>2</w:t>
            </w:r>
          </w:p>
        </w:tc>
        <w:tc>
          <w:tcPr>
            <w:tcW w:w="2440" w:type="dxa"/>
            <w:gridSpan w:val="3"/>
          </w:tcPr>
          <w:p w:rsidR="00557A6F" w:rsidRDefault="00557A6F" w:rsidP="00557A6F">
            <w:pPr>
              <w:jc w:val="center"/>
            </w:pPr>
            <w:r>
              <w:t>Kommunesektoren i alt</w:t>
            </w:r>
          </w:p>
        </w:tc>
      </w:tr>
      <w:tr w:rsidR="00557A6F" w:rsidTr="00557A6F">
        <w:trPr>
          <w:trHeight w:val="560"/>
        </w:trPr>
        <w:tc>
          <w:tcPr>
            <w:tcW w:w="2180" w:type="dxa"/>
          </w:tcPr>
          <w:p w:rsidR="00557A6F" w:rsidRDefault="00557A6F" w:rsidP="00557A6F"/>
        </w:tc>
        <w:tc>
          <w:tcPr>
            <w:tcW w:w="880" w:type="dxa"/>
          </w:tcPr>
          <w:p w:rsidR="00557A6F" w:rsidRDefault="00557A6F" w:rsidP="00557A6F">
            <w:pPr>
              <w:jc w:val="right"/>
            </w:pPr>
            <w:r>
              <w:t>2019</w:t>
            </w:r>
            <w:r>
              <w:rPr>
                <w:rStyle w:val="skrift-hevet"/>
                <w:sz w:val="19"/>
                <w:szCs w:val="19"/>
              </w:rPr>
              <w:t>3</w:t>
            </w:r>
          </w:p>
        </w:tc>
        <w:tc>
          <w:tcPr>
            <w:tcW w:w="880" w:type="dxa"/>
          </w:tcPr>
          <w:p w:rsidR="00557A6F" w:rsidRDefault="00557A6F" w:rsidP="00557A6F">
            <w:pPr>
              <w:jc w:val="right"/>
            </w:pPr>
            <w:r>
              <w:t>2020</w:t>
            </w:r>
          </w:p>
        </w:tc>
        <w:tc>
          <w:tcPr>
            <w:tcW w:w="680" w:type="dxa"/>
          </w:tcPr>
          <w:p w:rsidR="00557A6F" w:rsidRDefault="00557A6F" w:rsidP="00557A6F">
            <w:pPr>
              <w:jc w:val="right"/>
            </w:pPr>
            <w:r>
              <w:t>Pst. endr.</w:t>
            </w:r>
          </w:p>
        </w:tc>
        <w:tc>
          <w:tcPr>
            <w:tcW w:w="880" w:type="dxa"/>
          </w:tcPr>
          <w:p w:rsidR="00557A6F" w:rsidRDefault="00557A6F" w:rsidP="00557A6F">
            <w:pPr>
              <w:jc w:val="right"/>
            </w:pPr>
            <w:r>
              <w:t>2019</w:t>
            </w:r>
            <w:r>
              <w:rPr>
                <w:rStyle w:val="skrift-hevet"/>
                <w:sz w:val="19"/>
                <w:szCs w:val="19"/>
              </w:rPr>
              <w:t>3</w:t>
            </w:r>
          </w:p>
        </w:tc>
        <w:tc>
          <w:tcPr>
            <w:tcW w:w="880" w:type="dxa"/>
          </w:tcPr>
          <w:p w:rsidR="00557A6F" w:rsidRDefault="00557A6F" w:rsidP="00557A6F">
            <w:pPr>
              <w:jc w:val="right"/>
            </w:pPr>
            <w:r>
              <w:t>2020</w:t>
            </w:r>
          </w:p>
        </w:tc>
        <w:tc>
          <w:tcPr>
            <w:tcW w:w="680" w:type="dxa"/>
          </w:tcPr>
          <w:p w:rsidR="00557A6F" w:rsidRDefault="00557A6F" w:rsidP="00557A6F">
            <w:pPr>
              <w:jc w:val="right"/>
            </w:pPr>
            <w:r>
              <w:t>Pst. endr.</w:t>
            </w:r>
          </w:p>
        </w:tc>
        <w:tc>
          <w:tcPr>
            <w:tcW w:w="880" w:type="dxa"/>
          </w:tcPr>
          <w:p w:rsidR="00557A6F" w:rsidRDefault="00557A6F" w:rsidP="00557A6F">
            <w:pPr>
              <w:jc w:val="right"/>
            </w:pPr>
            <w:r>
              <w:t>2019</w:t>
            </w:r>
            <w:r>
              <w:rPr>
                <w:rStyle w:val="skrift-hevet"/>
                <w:sz w:val="19"/>
                <w:szCs w:val="19"/>
              </w:rPr>
              <w:t>3</w:t>
            </w:r>
          </w:p>
        </w:tc>
        <w:tc>
          <w:tcPr>
            <w:tcW w:w="880" w:type="dxa"/>
          </w:tcPr>
          <w:p w:rsidR="00557A6F" w:rsidRDefault="00557A6F" w:rsidP="00557A6F">
            <w:pPr>
              <w:jc w:val="right"/>
            </w:pPr>
            <w:r>
              <w:t>2020</w:t>
            </w:r>
          </w:p>
        </w:tc>
        <w:tc>
          <w:tcPr>
            <w:tcW w:w="680" w:type="dxa"/>
          </w:tcPr>
          <w:p w:rsidR="00557A6F" w:rsidRDefault="00557A6F" w:rsidP="00557A6F">
            <w:pPr>
              <w:jc w:val="right"/>
            </w:pPr>
            <w:r>
              <w:t>Pst. endr.</w:t>
            </w:r>
          </w:p>
        </w:tc>
      </w:tr>
      <w:tr w:rsidR="00557A6F" w:rsidTr="00557A6F">
        <w:trPr>
          <w:trHeight w:val="340"/>
        </w:trPr>
        <w:tc>
          <w:tcPr>
            <w:tcW w:w="2180" w:type="dxa"/>
          </w:tcPr>
          <w:p w:rsidR="00557A6F" w:rsidRDefault="00557A6F" w:rsidP="00557A6F">
            <w:r>
              <w:t>Skatter i alt</w:t>
            </w:r>
          </w:p>
        </w:tc>
        <w:tc>
          <w:tcPr>
            <w:tcW w:w="880" w:type="dxa"/>
          </w:tcPr>
          <w:p w:rsidR="00557A6F" w:rsidRDefault="00557A6F" w:rsidP="00557A6F">
            <w:pPr>
              <w:jc w:val="right"/>
            </w:pPr>
            <w:r>
              <w:t>183 980</w:t>
            </w:r>
          </w:p>
        </w:tc>
        <w:tc>
          <w:tcPr>
            <w:tcW w:w="880" w:type="dxa"/>
          </w:tcPr>
          <w:p w:rsidR="00557A6F" w:rsidRDefault="00557A6F" w:rsidP="00557A6F">
            <w:pPr>
              <w:jc w:val="right"/>
            </w:pPr>
            <w:r>
              <w:t>187 580</w:t>
            </w:r>
          </w:p>
        </w:tc>
        <w:tc>
          <w:tcPr>
            <w:tcW w:w="680" w:type="dxa"/>
          </w:tcPr>
          <w:p w:rsidR="00557A6F" w:rsidRDefault="00557A6F" w:rsidP="00557A6F">
            <w:pPr>
              <w:jc w:val="right"/>
            </w:pPr>
            <w:r>
              <w:t>2,0</w:t>
            </w:r>
          </w:p>
        </w:tc>
        <w:tc>
          <w:tcPr>
            <w:tcW w:w="880" w:type="dxa"/>
          </w:tcPr>
          <w:p w:rsidR="00557A6F" w:rsidRDefault="00557A6F" w:rsidP="00557A6F">
            <w:pPr>
              <w:jc w:val="right"/>
            </w:pPr>
            <w:r>
              <w:t>34 850</w:t>
            </w:r>
          </w:p>
        </w:tc>
        <w:tc>
          <w:tcPr>
            <w:tcW w:w="880" w:type="dxa"/>
          </w:tcPr>
          <w:p w:rsidR="00557A6F" w:rsidRDefault="00557A6F" w:rsidP="00557A6F">
            <w:pPr>
              <w:jc w:val="right"/>
            </w:pPr>
            <w:r>
              <w:t>35 410</w:t>
            </w:r>
          </w:p>
        </w:tc>
        <w:tc>
          <w:tcPr>
            <w:tcW w:w="680" w:type="dxa"/>
          </w:tcPr>
          <w:p w:rsidR="00557A6F" w:rsidRDefault="00557A6F" w:rsidP="00557A6F">
            <w:pPr>
              <w:jc w:val="right"/>
            </w:pPr>
            <w:r>
              <w:t>1,6</w:t>
            </w:r>
          </w:p>
        </w:tc>
        <w:tc>
          <w:tcPr>
            <w:tcW w:w="880" w:type="dxa"/>
          </w:tcPr>
          <w:p w:rsidR="00557A6F" w:rsidRDefault="00557A6F" w:rsidP="00557A6F">
            <w:pPr>
              <w:jc w:val="right"/>
            </w:pPr>
            <w:r>
              <w:t>218 830</w:t>
            </w:r>
          </w:p>
        </w:tc>
        <w:tc>
          <w:tcPr>
            <w:tcW w:w="880" w:type="dxa"/>
          </w:tcPr>
          <w:p w:rsidR="00557A6F" w:rsidRDefault="00557A6F" w:rsidP="00557A6F">
            <w:pPr>
              <w:jc w:val="right"/>
            </w:pPr>
            <w:r>
              <w:t>222 990</w:t>
            </w:r>
          </w:p>
        </w:tc>
        <w:tc>
          <w:tcPr>
            <w:tcW w:w="680" w:type="dxa"/>
          </w:tcPr>
          <w:p w:rsidR="00557A6F" w:rsidRDefault="00557A6F" w:rsidP="00557A6F">
            <w:pPr>
              <w:jc w:val="right"/>
            </w:pPr>
            <w:r>
              <w:t>1,9</w:t>
            </w:r>
          </w:p>
        </w:tc>
      </w:tr>
      <w:tr w:rsidR="00557A6F" w:rsidTr="00557A6F">
        <w:trPr>
          <w:trHeight w:val="580"/>
        </w:trPr>
        <w:tc>
          <w:tcPr>
            <w:tcW w:w="2180" w:type="dxa"/>
          </w:tcPr>
          <w:p w:rsidR="00557A6F" w:rsidRDefault="00557A6F" w:rsidP="00557A6F">
            <w:r>
              <w:rPr>
                <w:rStyle w:val="kursiv"/>
                <w:sz w:val="21"/>
                <w:szCs w:val="21"/>
              </w:rPr>
              <w:t>Herav skatt på inntekt og formue</w:t>
            </w:r>
          </w:p>
        </w:tc>
        <w:tc>
          <w:tcPr>
            <w:tcW w:w="880" w:type="dxa"/>
          </w:tcPr>
          <w:p w:rsidR="00557A6F" w:rsidRDefault="00557A6F" w:rsidP="00557A6F">
            <w:pPr>
              <w:jc w:val="right"/>
            </w:pPr>
            <w:r>
              <w:rPr>
                <w:rStyle w:val="kursiv"/>
                <w:sz w:val="21"/>
                <w:szCs w:val="21"/>
              </w:rPr>
              <w:t>168 750</w:t>
            </w:r>
          </w:p>
        </w:tc>
        <w:tc>
          <w:tcPr>
            <w:tcW w:w="880" w:type="dxa"/>
          </w:tcPr>
          <w:p w:rsidR="00557A6F" w:rsidRDefault="00557A6F" w:rsidP="00557A6F">
            <w:pPr>
              <w:jc w:val="right"/>
            </w:pPr>
            <w:r>
              <w:rPr>
                <w:rStyle w:val="kursiv"/>
                <w:sz w:val="21"/>
                <w:szCs w:val="21"/>
              </w:rPr>
              <w:t>172 290</w:t>
            </w:r>
          </w:p>
        </w:tc>
        <w:tc>
          <w:tcPr>
            <w:tcW w:w="680" w:type="dxa"/>
          </w:tcPr>
          <w:p w:rsidR="00557A6F" w:rsidRDefault="00557A6F" w:rsidP="00557A6F">
            <w:pPr>
              <w:jc w:val="right"/>
            </w:pPr>
            <w:r>
              <w:rPr>
                <w:rStyle w:val="kursiv"/>
                <w:sz w:val="21"/>
                <w:szCs w:val="21"/>
              </w:rPr>
              <w:t>2,1</w:t>
            </w:r>
          </w:p>
        </w:tc>
        <w:tc>
          <w:tcPr>
            <w:tcW w:w="880" w:type="dxa"/>
          </w:tcPr>
          <w:p w:rsidR="00557A6F" w:rsidRDefault="00557A6F" w:rsidP="00557A6F">
            <w:pPr>
              <w:jc w:val="right"/>
            </w:pPr>
            <w:r>
              <w:rPr>
                <w:rStyle w:val="kursiv"/>
                <w:sz w:val="21"/>
                <w:szCs w:val="21"/>
              </w:rPr>
              <w:t>34 850</w:t>
            </w:r>
          </w:p>
        </w:tc>
        <w:tc>
          <w:tcPr>
            <w:tcW w:w="880" w:type="dxa"/>
          </w:tcPr>
          <w:p w:rsidR="00557A6F" w:rsidRDefault="00557A6F" w:rsidP="00557A6F">
            <w:pPr>
              <w:jc w:val="right"/>
            </w:pPr>
            <w:r>
              <w:rPr>
                <w:rStyle w:val="kursiv"/>
                <w:sz w:val="21"/>
                <w:szCs w:val="21"/>
              </w:rPr>
              <w:t>35 410</w:t>
            </w:r>
          </w:p>
        </w:tc>
        <w:tc>
          <w:tcPr>
            <w:tcW w:w="680" w:type="dxa"/>
          </w:tcPr>
          <w:p w:rsidR="00557A6F" w:rsidRDefault="00557A6F" w:rsidP="00557A6F">
            <w:pPr>
              <w:jc w:val="right"/>
            </w:pPr>
            <w:r>
              <w:rPr>
                <w:rStyle w:val="kursiv"/>
                <w:sz w:val="21"/>
                <w:szCs w:val="21"/>
              </w:rPr>
              <w:t>1,6</w:t>
            </w:r>
          </w:p>
        </w:tc>
        <w:tc>
          <w:tcPr>
            <w:tcW w:w="880" w:type="dxa"/>
          </w:tcPr>
          <w:p w:rsidR="00557A6F" w:rsidRDefault="00557A6F" w:rsidP="00557A6F">
            <w:pPr>
              <w:jc w:val="right"/>
            </w:pPr>
            <w:r>
              <w:rPr>
                <w:rStyle w:val="kursiv"/>
                <w:sz w:val="21"/>
                <w:szCs w:val="21"/>
              </w:rPr>
              <w:t>203 600</w:t>
            </w:r>
          </w:p>
        </w:tc>
        <w:tc>
          <w:tcPr>
            <w:tcW w:w="880" w:type="dxa"/>
          </w:tcPr>
          <w:p w:rsidR="00557A6F" w:rsidRDefault="00557A6F" w:rsidP="00557A6F">
            <w:pPr>
              <w:jc w:val="right"/>
            </w:pPr>
            <w:r>
              <w:rPr>
                <w:rStyle w:val="kursiv"/>
                <w:sz w:val="21"/>
                <w:szCs w:val="21"/>
              </w:rPr>
              <w:t>207 700</w:t>
            </w:r>
          </w:p>
        </w:tc>
        <w:tc>
          <w:tcPr>
            <w:tcW w:w="680" w:type="dxa"/>
          </w:tcPr>
          <w:p w:rsidR="00557A6F" w:rsidRDefault="00557A6F" w:rsidP="00557A6F">
            <w:pPr>
              <w:jc w:val="right"/>
            </w:pPr>
            <w:r>
              <w:rPr>
                <w:rStyle w:val="kursiv"/>
                <w:sz w:val="21"/>
                <w:szCs w:val="21"/>
              </w:rPr>
              <w:t>2,0</w:t>
            </w:r>
          </w:p>
        </w:tc>
      </w:tr>
      <w:tr w:rsidR="00557A6F" w:rsidTr="00557A6F">
        <w:trPr>
          <w:trHeight w:val="340"/>
        </w:trPr>
        <w:tc>
          <w:tcPr>
            <w:tcW w:w="2180" w:type="dxa"/>
          </w:tcPr>
          <w:p w:rsidR="00557A6F" w:rsidRDefault="00557A6F" w:rsidP="00557A6F">
            <w:r>
              <w:t>Rammetilskudd</w:t>
            </w:r>
            <w:r>
              <w:rPr>
                <w:rStyle w:val="skrift-hevet"/>
                <w:sz w:val="21"/>
                <w:szCs w:val="21"/>
              </w:rPr>
              <w:t>4</w:t>
            </w:r>
          </w:p>
        </w:tc>
        <w:tc>
          <w:tcPr>
            <w:tcW w:w="880" w:type="dxa"/>
          </w:tcPr>
          <w:p w:rsidR="00557A6F" w:rsidRDefault="00557A6F" w:rsidP="00557A6F">
            <w:pPr>
              <w:jc w:val="right"/>
            </w:pPr>
            <w:r>
              <w:t>138 719</w:t>
            </w:r>
          </w:p>
        </w:tc>
        <w:tc>
          <w:tcPr>
            <w:tcW w:w="880" w:type="dxa"/>
          </w:tcPr>
          <w:p w:rsidR="00557A6F" w:rsidRDefault="00557A6F" w:rsidP="00557A6F">
            <w:pPr>
              <w:jc w:val="right"/>
            </w:pPr>
            <w:r>
              <w:t>142 107</w:t>
            </w:r>
          </w:p>
        </w:tc>
        <w:tc>
          <w:tcPr>
            <w:tcW w:w="680" w:type="dxa"/>
          </w:tcPr>
          <w:p w:rsidR="00557A6F" w:rsidRDefault="00557A6F" w:rsidP="00557A6F">
            <w:pPr>
              <w:jc w:val="right"/>
            </w:pPr>
            <w:r>
              <w:t>2,4</w:t>
            </w:r>
          </w:p>
        </w:tc>
        <w:tc>
          <w:tcPr>
            <w:tcW w:w="880" w:type="dxa"/>
          </w:tcPr>
          <w:p w:rsidR="00557A6F" w:rsidRDefault="00557A6F" w:rsidP="00557A6F">
            <w:pPr>
              <w:jc w:val="right"/>
            </w:pPr>
            <w:r>
              <w:t>35 955</w:t>
            </w:r>
          </w:p>
        </w:tc>
        <w:tc>
          <w:tcPr>
            <w:tcW w:w="880" w:type="dxa"/>
          </w:tcPr>
          <w:p w:rsidR="00557A6F" w:rsidRDefault="00557A6F" w:rsidP="00557A6F">
            <w:pPr>
              <w:jc w:val="right"/>
            </w:pPr>
            <w:r>
              <w:t>36 841</w:t>
            </w:r>
          </w:p>
        </w:tc>
        <w:tc>
          <w:tcPr>
            <w:tcW w:w="680" w:type="dxa"/>
          </w:tcPr>
          <w:p w:rsidR="00557A6F" w:rsidRDefault="00557A6F" w:rsidP="00557A6F">
            <w:pPr>
              <w:jc w:val="right"/>
            </w:pPr>
            <w:r>
              <w:t>2,5</w:t>
            </w:r>
          </w:p>
        </w:tc>
        <w:tc>
          <w:tcPr>
            <w:tcW w:w="880" w:type="dxa"/>
          </w:tcPr>
          <w:p w:rsidR="00557A6F" w:rsidRDefault="00557A6F" w:rsidP="00557A6F">
            <w:pPr>
              <w:jc w:val="right"/>
            </w:pPr>
            <w:r>
              <w:t>174 674</w:t>
            </w:r>
          </w:p>
        </w:tc>
        <w:tc>
          <w:tcPr>
            <w:tcW w:w="880" w:type="dxa"/>
          </w:tcPr>
          <w:p w:rsidR="00557A6F" w:rsidRDefault="00557A6F" w:rsidP="00557A6F">
            <w:pPr>
              <w:jc w:val="right"/>
            </w:pPr>
            <w:r>
              <w:t>178 948</w:t>
            </w:r>
          </w:p>
        </w:tc>
        <w:tc>
          <w:tcPr>
            <w:tcW w:w="680" w:type="dxa"/>
          </w:tcPr>
          <w:p w:rsidR="00557A6F" w:rsidRDefault="00557A6F" w:rsidP="00557A6F">
            <w:pPr>
              <w:jc w:val="right"/>
            </w:pPr>
            <w:r>
              <w:t>2,4</w:t>
            </w:r>
          </w:p>
        </w:tc>
      </w:tr>
      <w:tr w:rsidR="00557A6F" w:rsidTr="00557A6F">
        <w:trPr>
          <w:trHeight w:val="340"/>
        </w:trPr>
        <w:tc>
          <w:tcPr>
            <w:tcW w:w="2180" w:type="dxa"/>
          </w:tcPr>
          <w:p w:rsidR="00557A6F" w:rsidRDefault="00557A6F" w:rsidP="00557A6F">
            <w:r>
              <w:t>Sum frie inntekter</w:t>
            </w:r>
          </w:p>
        </w:tc>
        <w:tc>
          <w:tcPr>
            <w:tcW w:w="880" w:type="dxa"/>
          </w:tcPr>
          <w:p w:rsidR="00557A6F" w:rsidRDefault="00557A6F" w:rsidP="00557A6F">
            <w:pPr>
              <w:jc w:val="right"/>
            </w:pPr>
            <w:r>
              <w:t>322 699</w:t>
            </w:r>
          </w:p>
        </w:tc>
        <w:tc>
          <w:tcPr>
            <w:tcW w:w="880" w:type="dxa"/>
          </w:tcPr>
          <w:p w:rsidR="00557A6F" w:rsidRDefault="00557A6F" w:rsidP="00557A6F">
            <w:pPr>
              <w:jc w:val="right"/>
            </w:pPr>
            <w:r>
              <w:t>329 687</w:t>
            </w:r>
          </w:p>
        </w:tc>
        <w:tc>
          <w:tcPr>
            <w:tcW w:w="680" w:type="dxa"/>
          </w:tcPr>
          <w:p w:rsidR="00557A6F" w:rsidRDefault="00557A6F" w:rsidP="00557A6F">
            <w:pPr>
              <w:jc w:val="right"/>
            </w:pPr>
            <w:r>
              <w:t>2,2</w:t>
            </w:r>
          </w:p>
        </w:tc>
        <w:tc>
          <w:tcPr>
            <w:tcW w:w="880" w:type="dxa"/>
          </w:tcPr>
          <w:p w:rsidR="00557A6F" w:rsidRDefault="00557A6F" w:rsidP="00557A6F">
            <w:pPr>
              <w:jc w:val="right"/>
            </w:pPr>
            <w:r>
              <w:t>70 805</w:t>
            </w:r>
          </w:p>
        </w:tc>
        <w:tc>
          <w:tcPr>
            <w:tcW w:w="880" w:type="dxa"/>
          </w:tcPr>
          <w:p w:rsidR="00557A6F" w:rsidRDefault="00557A6F" w:rsidP="00557A6F">
            <w:pPr>
              <w:jc w:val="right"/>
            </w:pPr>
            <w:r>
              <w:t>72 251</w:t>
            </w:r>
          </w:p>
        </w:tc>
        <w:tc>
          <w:tcPr>
            <w:tcW w:w="680" w:type="dxa"/>
          </w:tcPr>
          <w:p w:rsidR="00557A6F" w:rsidRDefault="00557A6F" w:rsidP="00557A6F">
            <w:pPr>
              <w:jc w:val="right"/>
            </w:pPr>
            <w:r>
              <w:t>2,0</w:t>
            </w:r>
          </w:p>
        </w:tc>
        <w:tc>
          <w:tcPr>
            <w:tcW w:w="880" w:type="dxa"/>
          </w:tcPr>
          <w:p w:rsidR="00557A6F" w:rsidRDefault="00557A6F" w:rsidP="00557A6F">
            <w:pPr>
              <w:jc w:val="right"/>
            </w:pPr>
            <w:r>
              <w:t>393 504</w:t>
            </w:r>
          </w:p>
        </w:tc>
        <w:tc>
          <w:tcPr>
            <w:tcW w:w="880" w:type="dxa"/>
          </w:tcPr>
          <w:p w:rsidR="00557A6F" w:rsidRDefault="00557A6F" w:rsidP="00557A6F">
            <w:pPr>
              <w:jc w:val="right"/>
            </w:pPr>
            <w:r>
              <w:t>401 938</w:t>
            </w:r>
          </w:p>
        </w:tc>
        <w:tc>
          <w:tcPr>
            <w:tcW w:w="680" w:type="dxa"/>
          </w:tcPr>
          <w:p w:rsidR="00557A6F" w:rsidRDefault="00557A6F" w:rsidP="00557A6F">
            <w:pPr>
              <w:jc w:val="right"/>
            </w:pPr>
            <w:r>
              <w:t>2,1</w:t>
            </w:r>
          </w:p>
        </w:tc>
      </w:tr>
    </w:tbl>
    <w:p w:rsidR="00557A6F" w:rsidRDefault="00557A6F" w:rsidP="00557A6F">
      <w:pPr>
        <w:pStyle w:val="tabell-noter"/>
        <w:rPr>
          <w:rStyle w:val="skrift-hevet"/>
          <w:sz w:val="24"/>
          <w:szCs w:val="24"/>
        </w:rPr>
      </w:pPr>
      <w:r>
        <w:rPr>
          <w:rStyle w:val="skrift-hevet"/>
          <w:sz w:val="17"/>
          <w:szCs w:val="17"/>
        </w:rPr>
        <w:t>1</w:t>
      </w:r>
      <w:r>
        <w:tab/>
        <w:t>Pris- og lønnsveksten i kommunesektoren i 2020 (deflator) er anslått til 3,1 pst.</w:t>
      </w:r>
    </w:p>
    <w:p w:rsidR="00557A6F" w:rsidRDefault="00557A6F" w:rsidP="00557A6F">
      <w:pPr>
        <w:pStyle w:val="tabell-noter"/>
        <w:rPr>
          <w:rStyle w:val="skrift-hevet"/>
          <w:sz w:val="24"/>
          <w:szCs w:val="24"/>
        </w:rPr>
      </w:pPr>
      <w:r>
        <w:rPr>
          <w:rStyle w:val="skrift-hevet"/>
          <w:sz w:val="17"/>
          <w:szCs w:val="17"/>
        </w:rPr>
        <w:t>2</w:t>
      </w:r>
      <w:r>
        <w:tab/>
        <w:t>Oslo er delt i en kommunedel og en fylkeskommunedel.</w:t>
      </w:r>
    </w:p>
    <w:p w:rsidR="00557A6F" w:rsidRDefault="00557A6F" w:rsidP="00557A6F">
      <w:pPr>
        <w:pStyle w:val="tabell-noter"/>
        <w:rPr>
          <w:rStyle w:val="skrift-hevet"/>
          <w:sz w:val="24"/>
          <w:szCs w:val="24"/>
        </w:rPr>
      </w:pPr>
      <w:r>
        <w:rPr>
          <w:rStyle w:val="skrift-hevet"/>
          <w:sz w:val="17"/>
          <w:szCs w:val="17"/>
        </w:rPr>
        <w:t>3</w:t>
      </w:r>
      <w:r>
        <w:tab/>
        <w:t>Anslag på regnskap korrigert for oppgaveendringer, jf. tabell 6.21 under programkategori 13.70.</w:t>
      </w:r>
    </w:p>
    <w:p w:rsidR="00557A6F" w:rsidRDefault="00557A6F" w:rsidP="00557A6F">
      <w:pPr>
        <w:pStyle w:val="tabell-noter"/>
        <w:rPr>
          <w:rFonts w:ascii="UniMyriad Regular" w:hAnsi="UniMyriad Regular" w:cs="UniMyriad Regular"/>
          <w:sz w:val="21"/>
          <w:szCs w:val="21"/>
        </w:rPr>
      </w:pPr>
      <w:r>
        <w:rPr>
          <w:rStyle w:val="skrift-hevet"/>
          <w:sz w:val="17"/>
          <w:szCs w:val="17"/>
        </w:rPr>
        <w:t>4</w:t>
      </w:r>
      <w:r>
        <w:tab/>
        <w:t>Omfatter ikke kap. 571, post 21 Spesielle driftsutgifter.</w:t>
      </w:r>
    </w:p>
    <w:p w:rsidR="00557A6F" w:rsidRDefault="00557A6F" w:rsidP="00557A6F">
      <w:pPr>
        <w:pStyle w:val="tittel-ramme"/>
      </w:pPr>
      <w:r>
        <w:t>Kommunesektorens inntekter i 2020</w:t>
      </w:r>
    </w:p>
    <w:p w:rsidR="00557A6F" w:rsidRDefault="00557A6F" w:rsidP="00557A6F">
      <w:r>
        <w:t>Kommunesektorens samlede inntekter anslås til om lag 556 mrd. kroner i 2019. Tabell 3.4 viser sa</w:t>
      </w:r>
      <w:r>
        <w:t>m</w:t>
      </w:r>
      <w:r>
        <w:t>mensetningen av inntektene i 2020 og nominell endring fra 2019.</w:t>
      </w:r>
    </w:p>
    <w:p w:rsidR="00557A6F" w:rsidRDefault="00557A6F" w:rsidP="00557A6F">
      <w:pPr>
        <w:pStyle w:val="tabell-tittel"/>
      </w:pPr>
      <w:r>
        <w:t>Kommunesektorens inntekter i 2020</w:t>
      </w:r>
    </w:p>
    <w:p w:rsidR="00557A6F" w:rsidRDefault="00557A6F" w:rsidP="00557A6F">
      <w:pPr>
        <w:pStyle w:val="Tabellnavn"/>
      </w:pPr>
      <w:r>
        <w:t>04J1xt2</w:t>
      </w:r>
    </w:p>
    <w:tbl>
      <w:tblPr>
        <w:tblStyle w:val="StandardTabell"/>
        <w:tblW w:w="9100" w:type="dxa"/>
        <w:tblLayout w:type="fixed"/>
        <w:tblLook w:val="04A0" w:firstRow="1" w:lastRow="0" w:firstColumn="1" w:lastColumn="0" w:noHBand="0" w:noVBand="1"/>
      </w:tblPr>
      <w:tblGrid>
        <w:gridCol w:w="3369"/>
        <w:gridCol w:w="1910"/>
        <w:gridCol w:w="1910"/>
        <w:gridCol w:w="1911"/>
      </w:tblGrid>
      <w:tr w:rsidR="00557A6F" w:rsidTr="00557A6F">
        <w:trPr>
          <w:trHeight w:val="300"/>
        </w:trPr>
        <w:tc>
          <w:tcPr>
            <w:tcW w:w="3369" w:type="dxa"/>
            <w:shd w:val="clear" w:color="auto" w:fill="FFFFFF"/>
          </w:tcPr>
          <w:p w:rsidR="00557A6F" w:rsidRDefault="00557A6F" w:rsidP="00557A6F"/>
        </w:tc>
        <w:tc>
          <w:tcPr>
            <w:tcW w:w="1910" w:type="dxa"/>
          </w:tcPr>
          <w:p w:rsidR="00557A6F" w:rsidRDefault="00557A6F" w:rsidP="00557A6F">
            <w:pPr>
              <w:jc w:val="right"/>
            </w:pPr>
            <w:r>
              <w:t>Mrd. kr</w:t>
            </w:r>
            <w:r>
              <w:t>o</w:t>
            </w:r>
            <w:r>
              <w:t>ner</w:t>
            </w:r>
          </w:p>
        </w:tc>
        <w:tc>
          <w:tcPr>
            <w:tcW w:w="1910" w:type="dxa"/>
          </w:tcPr>
          <w:p w:rsidR="00557A6F" w:rsidRDefault="00557A6F" w:rsidP="00557A6F">
            <w:pPr>
              <w:jc w:val="right"/>
            </w:pPr>
            <w:r>
              <w:t>Andel av samlede inntekter (pst.)</w:t>
            </w:r>
          </w:p>
        </w:tc>
        <w:tc>
          <w:tcPr>
            <w:tcW w:w="1911" w:type="dxa"/>
          </w:tcPr>
          <w:p w:rsidR="00557A6F" w:rsidRDefault="00557A6F" w:rsidP="00557A6F">
            <w:pPr>
              <w:jc w:val="right"/>
            </w:pPr>
            <w:r>
              <w:t>Endring fra 2019</w:t>
            </w:r>
            <w:r>
              <w:rPr>
                <w:rStyle w:val="skrift-hevet"/>
                <w:sz w:val="19"/>
                <w:szCs w:val="19"/>
              </w:rPr>
              <w:t>1</w:t>
            </w:r>
            <w:r>
              <w:t xml:space="preserve"> (pst.)</w:t>
            </w:r>
          </w:p>
        </w:tc>
      </w:tr>
      <w:tr w:rsidR="00557A6F" w:rsidTr="00557A6F">
        <w:trPr>
          <w:trHeight w:val="320"/>
        </w:trPr>
        <w:tc>
          <w:tcPr>
            <w:tcW w:w="3369" w:type="dxa"/>
          </w:tcPr>
          <w:p w:rsidR="00557A6F" w:rsidRDefault="00557A6F" w:rsidP="00557A6F">
            <w:r>
              <w:t>Frie inntekter</w:t>
            </w:r>
          </w:p>
        </w:tc>
        <w:tc>
          <w:tcPr>
            <w:tcW w:w="1910" w:type="dxa"/>
          </w:tcPr>
          <w:p w:rsidR="00557A6F" w:rsidRDefault="00557A6F" w:rsidP="00557A6F">
            <w:pPr>
              <w:jc w:val="right"/>
            </w:pPr>
            <w:r>
              <w:t>401,9</w:t>
            </w:r>
          </w:p>
        </w:tc>
        <w:tc>
          <w:tcPr>
            <w:tcW w:w="1910" w:type="dxa"/>
          </w:tcPr>
          <w:p w:rsidR="00557A6F" w:rsidRDefault="00557A6F" w:rsidP="00557A6F">
            <w:pPr>
              <w:jc w:val="right"/>
            </w:pPr>
            <w:r>
              <w:t>72,3</w:t>
            </w:r>
          </w:p>
        </w:tc>
        <w:tc>
          <w:tcPr>
            <w:tcW w:w="1911" w:type="dxa"/>
          </w:tcPr>
          <w:p w:rsidR="00557A6F" w:rsidRDefault="00557A6F" w:rsidP="00557A6F">
            <w:pPr>
              <w:jc w:val="right"/>
            </w:pPr>
            <w:r>
              <w:t>2,1</w:t>
            </w:r>
          </w:p>
        </w:tc>
      </w:tr>
      <w:tr w:rsidR="00557A6F" w:rsidTr="00557A6F">
        <w:trPr>
          <w:trHeight w:val="320"/>
        </w:trPr>
        <w:tc>
          <w:tcPr>
            <w:tcW w:w="3369" w:type="dxa"/>
          </w:tcPr>
          <w:p w:rsidR="00557A6F" w:rsidRDefault="00557A6F" w:rsidP="00557A6F">
            <w:r>
              <w:rPr>
                <w:rStyle w:val="kursiv"/>
                <w:sz w:val="21"/>
                <w:szCs w:val="21"/>
              </w:rPr>
              <w:t xml:space="preserve">    Skatteinntekter</w:t>
            </w:r>
          </w:p>
        </w:tc>
        <w:tc>
          <w:tcPr>
            <w:tcW w:w="1910" w:type="dxa"/>
          </w:tcPr>
          <w:p w:rsidR="00557A6F" w:rsidRDefault="00557A6F" w:rsidP="00557A6F">
            <w:pPr>
              <w:jc w:val="right"/>
            </w:pPr>
            <w:r>
              <w:rPr>
                <w:rStyle w:val="kursiv"/>
                <w:sz w:val="21"/>
                <w:szCs w:val="21"/>
              </w:rPr>
              <w:t>222,9</w:t>
            </w:r>
          </w:p>
        </w:tc>
        <w:tc>
          <w:tcPr>
            <w:tcW w:w="1910" w:type="dxa"/>
          </w:tcPr>
          <w:p w:rsidR="00557A6F" w:rsidRDefault="00557A6F" w:rsidP="00557A6F">
            <w:pPr>
              <w:jc w:val="right"/>
            </w:pPr>
            <w:r>
              <w:rPr>
                <w:rStyle w:val="kursiv"/>
                <w:sz w:val="21"/>
                <w:szCs w:val="21"/>
              </w:rPr>
              <w:t>40,1</w:t>
            </w:r>
          </w:p>
        </w:tc>
        <w:tc>
          <w:tcPr>
            <w:tcW w:w="1911" w:type="dxa"/>
          </w:tcPr>
          <w:p w:rsidR="00557A6F" w:rsidRDefault="00557A6F" w:rsidP="00557A6F">
            <w:pPr>
              <w:jc w:val="right"/>
            </w:pPr>
            <w:r>
              <w:rPr>
                <w:rStyle w:val="kursiv"/>
                <w:sz w:val="21"/>
                <w:szCs w:val="21"/>
              </w:rPr>
              <w:t>1,9</w:t>
            </w:r>
          </w:p>
        </w:tc>
      </w:tr>
      <w:tr w:rsidR="00557A6F" w:rsidTr="00557A6F">
        <w:trPr>
          <w:trHeight w:val="320"/>
        </w:trPr>
        <w:tc>
          <w:tcPr>
            <w:tcW w:w="3369" w:type="dxa"/>
          </w:tcPr>
          <w:p w:rsidR="00557A6F" w:rsidRDefault="00557A6F" w:rsidP="00557A6F">
            <w:r>
              <w:rPr>
                <w:rStyle w:val="kursiv"/>
                <w:sz w:val="21"/>
                <w:szCs w:val="21"/>
              </w:rPr>
              <w:t xml:space="preserve">    Rammetilskudd</w:t>
            </w:r>
          </w:p>
        </w:tc>
        <w:tc>
          <w:tcPr>
            <w:tcW w:w="1910" w:type="dxa"/>
          </w:tcPr>
          <w:p w:rsidR="00557A6F" w:rsidRDefault="00557A6F" w:rsidP="00557A6F">
            <w:pPr>
              <w:jc w:val="right"/>
            </w:pPr>
            <w:r>
              <w:rPr>
                <w:rStyle w:val="kursiv"/>
                <w:sz w:val="21"/>
                <w:szCs w:val="21"/>
              </w:rPr>
              <w:t>178,9</w:t>
            </w:r>
          </w:p>
        </w:tc>
        <w:tc>
          <w:tcPr>
            <w:tcW w:w="1910" w:type="dxa"/>
          </w:tcPr>
          <w:p w:rsidR="00557A6F" w:rsidRDefault="00557A6F" w:rsidP="00557A6F">
            <w:pPr>
              <w:jc w:val="right"/>
            </w:pPr>
            <w:r>
              <w:rPr>
                <w:rStyle w:val="kursiv"/>
                <w:sz w:val="21"/>
                <w:szCs w:val="21"/>
              </w:rPr>
              <w:t>32,2</w:t>
            </w:r>
          </w:p>
        </w:tc>
        <w:tc>
          <w:tcPr>
            <w:tcW w:w="1911" w:type="dxa"/>
          </w:tcPr>
          <w:p w:rsidR="00557A6F" w:rsidRDefault="00557A6F" w:rsidP="00557A6F">
            <w:pPr>
              <w:jc w:val="right"/>
            </w:pPr>
            <w:r>
              <w:rPr>
                <w:rStyle w:val="kursiv"/>
                <w:sz w:val="21"/>
                <w:szCs w:val="21"/>
              </w:rPr>
              <w:t>2,4</w:t>
            </w:r>
          </w:p>
        </w:tc>
      </w:tr>
      <w:tr w:rsidR="00557A6F" w:rsidTr="00557A6F">
        <w:trPr>
          <w:trHeight w:val="320"/>
        </w:trPr>
        <w:tc>
          <w:tcPr>
            <w:tcW w:w="3369" w:type="dxa"/>
          </w:tcPr>
          <w:p w:rsidR="00557A6F" w:rsidRDefault="00557A6F" w:rsidP="00557A6F">
            <w:r>
              <w:t>Øremerkede tilskudd</w:t>
            </w:r>
            <w:r>
              <w:rPr>
                <w:rStyle w:val="skrift-hevet"/>
                <w:sz w:val="21"/>
                <w:szCs w:val="21"/>
              </w:rPr>
              <w:t>2</w:t>
            </w:r>
          </w:p>
        </w:tc>
        <w:tc>
          <w:tcPr>
            <w:tcW w:w="1910" w:type="dxa"/>
          </w:tcPr>
          <w:p w:rsidR="00557A6F" w:rsidRDefault="00557A6F" w:rsidP="00557A6F">
            <w:pPr>
              <w:jc w:val="right"/>
            </w:pPr>
            <w:r>
              <w:t>34,0</w:t>
            </w:r>
          </w:p>
        </w:tc>
        <w:tc>
          <w:tcPr>
            <w:tcW w:w="1910" w:type="dxa"/>
          </w:tcPr>
          <w:p w:rsidR="00557A6F" w:rsidRDefault="00557A6F" w:rsidP="00557A6F">
            <w:pPr>
              <w:jc w:val="right"/>
            </w:pPr>
            <w:r>
              <w:t>6,1</w:t>
            </w:r>
          </w:p>
        </w:tc>
        <w:tc>
          <w:tcPr>
            <w:tcW w:w="1911" w:type="dxa"/>
          </w:tcPr>
          <w:p w:rsidR="00557A6F" w:rsidRDefault="00557A6F" w:rsidP="00557A6F">
            <w:pPr>
              <w:jc w:val="right"/>
            </w:pPr>
            <w:r>
              <w:t>7,4</w:t>
            </w:r>
          </w:p>
        </w:tc>
      </w:tr>
      <w:tr w:rsidR="00557A6F" w:rsidTr="00557A6F">
        <w:trPr>
          <w:trHeight w:val="320"/>
        </w:trPr>
        <w:tc>
          <w:tcPr>
            <w:tcW w:w="3369" w:type="dxa"/>
          </w:tcPr>
          <w:p w:rsidR="00557A6F" w:rsidRDefault="00557A6F" w:rsidP="00557A6F">
            <w:r>
              <w:t xml:space="preserve">Gebyrer </w:t>
            </w:r>
          </w:p>
        </w:tc>
        <w:tc>
          <w:tcPr>
            <w:tcW w:w="1910" w:type="dxa"/>
          </w:tcPr>
          <w:p w:rsidR="00557A6F" w:rsidRDefault="00557A6F" w:rsidP="00557A6F">
            <w:pPr>
              <w:jc w:val="right"/>
            </w:pPr>
            <w:r>
              <w:t>75,5</w:t>
            </w:r>
          </w:p>
        </w:tc>
        <w:tc>
          <w:tcPr>
            <w:tcW w:w="1910" w:type="dxa"/>
          </w:tcPr>
          <w:p w:rsidR="00557A6F" w:rsidRDefault="00557A6F" w:rsidP="00557A6F">
            <w:pPr>
              <w:jc w:val="right"/>
            </w:pPr>
            <w:r>
              <w:t>13,6</w:t>
            </w:r>
          </w:p>
        </w:tc>
        <w:tc>
          <w:tcPr>
            <w:tcW w:w="1911" w:type="dxa"/>
          </w:tcPr>
          <w:p w:rsidR="00557A6F" w:rsidRDefault="00557A6F" w:rsidP="00557A6F">
            <w:pPr>
              <w:jc w:val="right"/>
            </w:pPr>
            <w:r>
              <w:t>3,8</w:t>
            </w:r>
          </w:p>
        </w:tc>
      </w:tr>
      <w:tr w:rsidR="00557A6F" w:rsidTr="00557A6F">
        <w:trPr>
          <w:trHeight w:val="320"/>
        </w:trPr>
        <w:tc>
          <w:tcPr>
            <w:tcW w:w="3369" w:type="dxa"/>
          </w:tcPr>
          <w:p w:rsidR="00557A6F" w:rsidRDefault="00557A6F" w:rsidP="00557A6F">
            <w:r>
              <w:t>Merverdiavgiftskompens</w:t>
            </w:r>
            <w:r>
              <w:t>a</w:t>
            </w:r>
            <w:r>
              <w:t>sjon</w:t>
            </w:r>
          </w:p>
        </w:tc>
        <w:tc>
          <w:tcPr>
            <w:tcW w:w="1910" w:type="dxa"/>
          </w:tcPr>
          <w:p w:rsidR="00557A6F" w:rsidRDefault="00557A6F" w:rsidP="00557A6F">
            <w:pPr>
              <w:jc w:val="right"/>
            </w:pPr>
            <w:r>
              <w:t>27,0</w:t>
            </w:r>
          </w:p>
        </w:tc>
        <w:tc>
          <w:tcPr>
            <w:tcW w:w="1910" w:type="dxa"/>
          </w:tcPr>
          <w:p w:rsidR="00557A6F" w:rsidRDefault="00557A6F" w:rsidP="00557A6F">
            <w:pPr>
              <w:jc w:val="right"/>
            </w:pPr>
            <w:r>
              <w:t>4,9</w:t>
            </w:r>
          </w:p>
        </w:tc>
        <w:tc>
          <w:tcPr>
            <w:tcW w:w="1911" w:type="dxa"/>
          </w:tcPr>
          <w:p w:rsidR="00557A6F" w:rsidRDefault="00557A6F" w:rsidP="00557A6F">
            <w:pPr>
              <w:jc w:val="right"/>
            </w:pPr>
            <w:r>
              <w:t>3,8</w:t>
            </w:r>
          </w:p>
        </w:tc>
      </w:tr>
      <w:tr w:rsidR="00557A6F" w:rsidTr="00557A6F">
        <w:trPr>
          <w:trHeight w:val="320"/>
        </w:trPr>
        <w:tc>
          <w:tcPr>
            <w:tcW w:w="3369" w:type="dxa"/>
          </w:tcPr>
          <w:p w:rsidR="00557A6F" w:rsidRDefault="00557A6F" w:rsidP="00557A6F">
            <w:r>
              <w:t>Andre inntekter</w:t>
            </w:r>
          </w:p>
        </w:tc>
        <w:tc>
          <w:tcPr>
            <w:tcW w:w="1910" w:type="dxa"/>
          </w:tcPr>
          <w:p w:rsidR="00557A6F" w:rsidRDefault="00557A6F" w:rsidP="00557A6F">
            <w:pPr>
              <w:jc w:val="right"/>
            </w:pPr>
            <w:r>
              <w:t>17,3</w:t>
            </w:r>
          </w:p>
        </w:tc>
        <w:tc>
          <w:tcPr>
            <w:tcW w:w="1910" w:type="dxa"/>
          </w:tcPr>
          <w:p w:rsidR="00557A6F" w:rsidRDefault="00557A6F" w:rsidP="00557A6F">
            <w:pPr>
              <w:jc w:val="right"/>
            </w:pPr>
            <w:r>
              <w:t>3,1</w:t>
            </w:r>
          </w:p>
        </w:tc>
        <w:tc>
          <w:tcPr>
            <w:tcW w:w="1911" w:type="dxa"/>
          </w:tcPr>
          <w:p w:rsidR="00557A6F" w:rsidRDefault="00557A6F" w:rsidP="00557A6F">
            <w:pPr>
              <w:jc w:val="right"/>
            </w:pPr>
            <w:r>
              <w:t>3,1</w:t>
            </w:r>
          </w:p>
        </w:tc>
      </w:tr>
      <w:tr w:rsidR="00557A6F" w:rsidTr="00557A6F">
        <w:trPr>
          <w:trHeight w:val="320"/>
        </w:trPr>
        <w:tc>
          <w:tcPr>
            <w:tcW w:w="3369" w:type="dxa"/>
          </w:tcPr>
          <w:p w:rsidR="00557A6F" w:rsidRDefault="00557A6F" w:rsidP="00557A6F">
            <w:r>
              <w:t>Totalt</w:t>
            </w:r>
          </w:p>
        </w:tc>
        <w:tc>
          <w:tcPr>
            <w:tcW w:w="1910" w:type="dxa"/>
          </w:tcPr>
          <w:p w:rsidR="00557A6F" w:rsidRDefault="00557A6F" w:rsidP="00557A6F">
            <w:pPr>
              <w:jc w:val="right"/>
            </w:pPr>
            <w:r>
              <w:t>555,7</w:t>
            </w:r>
          </w:p>
        </w:tc>
        <w:tc>
          <w:tcPr>
            <w:tcW w:w="1910" w:type="dxa"/>
          </w:tcPr>
          <w:p w:rsidR="00557A6F" w:rsidRDefault="00557A6F" w:rsidP="00557A6F">
            <w:pPr>
              <w:jc w:val="right"/>
            </w:pPr>
            <w:r>
              <w:t>100,0</w:t>
            </w:r>
          </w:p>
        </w:tc>
        <w:tc>
          <w:tcPr>
            <w:tcW w:w="1911" w:type="dxa"/>
          </w:tcPr>
          <w:p w:rsidR="00557A6F" w:rsidRDefault="00557A6F" w:rsidP="00557A6F">
            <w:pPr>
              <w:jc w:val="right"/>
            </w:pPr>
            <w:r>
              <w:t>2,7</w:t>
            </w:r>
          </w:p>
        </w:tc>
      </w:tr>
    </w:tbl>
    <w:p w:rsidR="00557A6F" w:rsidRDefault="00557A6F" w:rsidP="00557A6F">
      <w:pPr>
        <w:pStyle w:val="tabell-noter"/>
        <w:rPr>
          <w:rStyle w:val="skrift-hevet"/>
          <w:sz w:val="24"/>
          <w:szCs w:val="24"/>
        </w:rPr>
      </w:pPr>
      <w:r>
        <w:rPr>
          <w:rStyle w:val="skrift-hevet"/>
          <w:sz w:val="17"/>
          <w:szCs w:val="17"/>
        </w:rPr>
        <w:t>1</w:t>
      </w:r>
      <w:r>
        <w:t xml:space="preserve"> </w:t>
      </w:r>
      <w:r>
        <w:tab/>
        <w:t>Nominell endring. Beregningsgrunnlaget er anslag på regnskap for 2019 korrigert for oppgaveendringer og in</w:t>
      </w:r>
      <w:r>
        <w:t>n</w:t>
      </w:r>
      <w:r>
        <w:t>lemminger.</w:t>
      </w:r>
    </w:p>
    <w:p w:rsidR="00557A6F" w:rsidRDefault="00557A6F" w:rsidP="00557A6F">
      <w:pPr>
        <w:pStyle w:val="tabell-noter"/>
        <w:rPr>
          <w:rFonts w:ascii="UniMyriad Regular" w:hAnsi="UniMyriad Regular" w:cs="UniMyriad Regular"/>
          <w:sz w:val="21"/>
          <w:szCs w:val="21"/>
        </w:rPr>
      </w:pPr>
      <w:r>
        <w:rPr>
          <w:rStyle w:val="skrift-hevet"/>
          <w:sz w:val="17"/>
          <w:szCs w:val="17"/>
        </w:rPr>
        <w:t>2</w:t>
      </w:r>
      <w:r>
        <w:t xml:space="preserve"> </w:t>
      </w:r>
      <w:r>
        <w:tab/>
        <w:t>Ekskl. tilskudd til kommunenes arbeid med flyktninger, personer med opphold på humanitært grunnlag og asyls</w:t>
      </w:r>
      <w:r>
        <w:t>ø</w:t>
      </w:r>
      <w:r>
        <w:t>kere.</w:t>
      </w:r>
    </w:p>
    <w:p w:rsidR="00557A6F" w:rsidRDefault="00557A6F" w:rsidP="00557A6F">
      <w:r>
        <w:lastRenderedPageBreak/>
        <w:t>Kommunesektorens skatteinntekter og rammetilskudd er sektorens frie inntekter. De frie inntektene utgjør 72,3 pst. av samlede inntekter. Disse inntektene kan disponeres fritt innenfor rammen av lover og forskrifter, og gir kommunesektoren rom for lokal tilpasning av virksomheten.</w:t>
      </w:r>
    </w:p>
    <w:p w:rsidR="00557A6F" w:rsidRDefault="00557A6F" w:rsidP="00557A6F">
      <w:r>
        <w:t>Skatteinntekter er kommunesektorens andel av skatt på alminnelig inntekt fra personlige skattytere, samt eie</w:t>
      </w:r>
      <w:r>
        <w:t>n</w:t>
      </w:r>
      <w:r>
        <w:t>domsskatt i kommuner som har innført det. Størrelsen på skatteinntektene avhenger blant annet av utviklingen i skattegrunnlagene og av de kommunale og fylkeskommunale skattørene. Rammetilskudd bevilges på Kommunal- og moderniseringsdepartementets budsjett, kap. 571 og kap. 572.</w:t>
      </w:r>
    </w:p>
    <w:p w:rsidR="00557A6F" w:rsidRDefault="00557A6F" w:rsidP="00557A6F">
      <w:r>
        <w:t>Øremerkede tilskudd skal benyttes i tråd med formålet som er angitt for bevilgningen. Andelen øremerkede ti</w:t>
      </w:r>
      <w:r>
        <w:t>l</w:t>
      </w:r>
      <w:r>
        <w:t>skudd utgjør 6,1 pst. av de samlede inntektene.</w:t>
      </w:r>
    </w:p>
    <w:p w:rsidR="00557A6F" w:rsidRDefault="00557A6F" w:rsidP="00557A6F">
      <w:r>
        <w:t>Gebyrinntekter er kommunale avgifter og egenbetaling for tjenester som leveres av kommunen, eksempelvis te</w:t>
      </w:r>
      <w:r>
        <w:t>k</w:t>
      </w:r>
      <w:r>
        <w:t>niske tjenester, helse- og omsorgstjenester og barnehager, og utgjør 13,6 pst. av de samlede inntektene. Merverdiavgiftskompensasjon er refusjon til kommunesektoren for anskaffe</w:t>
      </w:r>
      <w:r>
        <w:t>l</w:t>
      </w:r>
      <w:r>
        <w:t>ser som er merve</w:t>
      </w:r>
      <w:r>
        <w:t>r</w:t>
      </w:r>
      <w:r>
        <w:t>diavgiftspliktige, og utgjør 4,9 pst. av de samlede inntektene.</w:t>
      </w:r>
    </w:p>
    <w:p w:rsidR="00557A6F" w:rsidRDefault="00557A6F" w:rsidP="00557A6F">
      <w:pPr>
        <w:pStyle w:val="Ramme-slutt"/>
      </w:pPr>
      <w:r>
        <w:t>[Boks slutt]</w:t>
      </w:r>
    </w:p>
    <w:p w:rsidR="00557A6F" w:rsidRDefault="00557A6F" w:rsidP="00557A6F">
      <w:pPr>
        <w:pStyle w:val="Overskrift2"/>
      </w:pPr>
      <w:r>
        <w:t>Aktuelle saker av betydning for kommunesektoren</w:t>
      </w:r>
    </w:p>
    <w:p w:rsidR="00557A6F" w:rsidRDefault="00557A6F" w:rsidP="00557A6F">
      <w:pPr>
        <w:pStyle w:val="avsnitt-undertittel"/>
      </w:pPr>
      <w:r>
        <w:t>Regionreformen – overføring av oppgaver og virkemidler</w:t>
      </w:r>
    </w:p>
    <w:p w:rsidR="00557A6F" w:rsidRDefault="00557A6F" w:rsidP="00557A6F">
      <w:r>
        <w:rPr>
          <w:spacing w:val="-1"/>
        </w:rPr>
        <w:t xml:space="preserve">Regjeringen gjennomfører regionreformen. Færre </w:t>
      </w:r>
      <w:r>
        <w:t>fylkeskommuner vil gi grunnlag for sterkere r</w:t>
      </w:r>
      <w:r>
        <w:t>e</w:t>
      </w:r>
      <w:r>
        <w:t>gioner som kan gi bedre tjenester og drive en mer samordnet samfunnsutvikling. Dette legger til rette for utby</w:t>
      </w:r>
      <w:r>
        <w:t>g</w:t>
      </w:r>
      <w:r>
        <w:t>ging av attraktive bo- og næringsområder og gode, miljøvennlige transportløsninger.</w:t>
      </w:r>
    </w:p>
    <w:p w:rsidR="00557A6F" w:rsidRDefault="00557A6F" w:rsidP="00557A6F">
      <w:r>
        <w:t>Fylkeskommunene som er vedtatt slått sammen, er nå i en viktig og krevende fase i sammensl</w:t>
      </w:r>
      <w:r>
        <w:t>å</w:t>
      </w:r>
      <w:r>
        <w:t>ingsarbeidet. Fra 1. januar 2020 har vi elleve fylker i Norge; ti fylkeskommuner samt Oslo ko</w:t>
      </w:r>
      <w:r>
        <w:t>m</w:t>
      </w:r>
      <w:r>
        <w:t>mune med fylkeskommunale op</w:t>
      </w:r>
      <w:r>
        <w:t>p</w:t>
      </w:r>
      <w:r>
        <w:t>gaver. Mens ni fylker i dag har under 200 000 innbyggere, vil det minste fylket i innbyggertall øke fra 76 000 til 240 000 innbyggere i 2020.</w:t>
      </w:r>
    </w:p>
    <w:p w:rsidR="00557A6F" w:rsidRDefault="00557A6F" w:rsidP="00557A6F">
      <w:r>
        <w:t>Når fylkeskommunene blir større, skal de også få flere oppgaver og virkemidler til å utvikle fylk</w:t>
      </w:r>
      <w:r>
        <w:t>e</w:t>
      </w:r>
      <w:r>
        <w:t>ne i tråd med regionale behov og muligheter innenfor områder der fylkeskommunene allerede har ansvar og kompetanse. Fylkeskommunene får fra 2020 nye oppgaver og virkemidler blant annet på områder som samferdsel, komp</w:t>
      </w:r>
      <w:r>
        <w:t>e</w:t>
      </w:r>
      <w:r>
        <w:t>tanse og integrering, folkehelse, klima og miljø, næringsutvikling, landbruk og styrking av Nord-Norge. Dette er viktige områder for utviklingen av samfunnet i det enkelte fylket og er oppgaver som fylkeskommunene har gode forutsetninger for å løse.</w:t>
      </w:r>
    </w:p>
    <w:p w:rsidR="00557A6F" w:rsidRDefault="00557A6F" w:rsidP="00557A6F">
      <w:r>
        <w:t xml:space="preserve">Meld. St. 6 (2018–2019) </w:t>
      </w:r>
      <w:r>
        <w:rPr>
          <w:rStyle w:val="kursiv"/>
          <w:sz w:val="21"/>
          <w:szCs w:val="21"/>
        </w:rPr>
        <w:t>Oppgaver til nye regioner</w:t>
      </w:r>
      <w:r>
        <w:t xml:space="preserve"> ble lagt fram 19. oktober 2018. Stortinget behan</w:t>
      </w:r>
      <w:r>
        <w:t>d</w:t>
      </w:r>
      <w:r>
        <w:t>let meldingen 18. desember 2018 og sluttet seg til forslagene, jf. Innst. 119 S (2018–2019). Sto</w:t>
      </w:r>
      <w:r>
        <w:t>r</w:t>
      </w:r>
      <w:r>
        <w:t>tinget sluttet seg også til å overføre oppgaver til fylkeskommunene ved behandlingen av Prop. 84 S (2016–2017), jf. Innst. 385 S (2016–2017).</w:t>
      </w:r>
    </w:p>
    <w:p w:rsidR="00557A6F" w:rsidRDefault="00557A6F" w:rsidP="00557A6F">
      <w:r>
        <w:t>Oppgaver til de nye fylkeskommunene skal som hovedregel overføres fra 1. januar 2020, men noen oppgaver krever mer tid. Følgende oppgaver overføres fra 2020:</w:t>
      </w:r>
    </w:p>
    <w:p w:rsidR="00557A6F" w:rsidRDefault="00557A6F" w:rsidP="00557A6F">
      <w:pPr>
        <w:pStyle w:val="avsnitt-under-undertittel"/>
        <w:rPr>
          <w:rStyle w:val="kursiv"/>
          <w:i/>
          <w:iCs/>
          <w:sz w:val="21"/>
          <w:szCs w:val="21"/>
        </w:rPr>
      </w:pPr>
      <w:r>
        <w:rPr>
          <w:rStyle w:val="kursiv"/>
          <w:i/>
          <w:iCs/>
          <w:sz w:val="21"/>
          <w:szCs w:val="21"/>
        </w:rPr>
        <w:t>Samferdsel og kommunikasjon</w:t>
      </w:r>
    </w:p>
    <w:p w:rsidR="00557A6F" w:rsidRDefault="00557A6F" w:rsidP="00557A6F">
      <w:pPr>
        <w:pStyle w:val="Liste"/>
      </w:pPr>
      <w:r>
        <w:t>Fylkesdelen av sams vegadministrasjon.</w:t>
      </w:r>
    </w:p>
    <w:p w:rsidR="00557A6F" w:rsidRDefault="00557A6F" w:rsidP="00557A6F">
      <w:pPr>
        <w:pStyle w:val="Liste"/>
      </w:pPr>
      <w:r>
        <w:t>Forvaltning av tilskudd til utbygging av bredbånd.</w:t>
      </w:r>
    </w:p>
    <w:p w:rsidR="00557A6F" w:rsidRDefault="00557A6F" w:rsidP="00557A6F">
      <w:pPr>
        <w:pStyle w:val="Liste"/>
      </w:pPr>
      <w:r>
        <w:t>Eierskap og forvaltningsansvar for fiskerihavneanlegg.</w:t>
      </w:r>
    </w:p>
    <w:p w:rsidR="00557A6F" w:rsidRDefault="00557A6F" w:rsidP="00557A6F">
      <w:pPr>
        <w:pStyle w:val="Liste"/>
      </w:pPr>
      <w:r>
        <w:t>Tilskudd til ikke-statlige lufthavner (Vestfold og Telemark fylkeskommune).</w:t>
      </w:r>
    </w:p>
    <w:p w:rsidR="00557A6F" w:rsidRDefault="00557A6F" w:rsidP="00557A6F">
      <w:pPr>
        <w:pStyle w:val="avsnitt-under-undertittel"/>
        <w:rPr>
          <w:rStyle w:val="kursiv"/>
          <w:i/>
          <w:iCs/>
          <w:sz w:val="21"/>
          <w:szCs w:val="21"/>
        </w:rPr>
      </w:pPr>
      <w:r>
        <w:rPr>
          <w:rStyle w:val="kursiv"/>
          <w:i/>
          <w:iCs/>
          <w:sz w:val="21"/>
          <w:szCs w:val="21"/>
        </w:rPr>
        <w:t>Kompetanse og integrering</w:t>
      </w:r>
    </w:p>
    <w:p w:rsidR="00557A6F" w:rsidRDefault="00557A6F" w:rsidP="00557A6F">
      <w:pPr>
        <w:pStyle w:val="Liste"/>
      </w:pPr>
      <w:r>
        <w:t>Arbeidsmarkedstiltaket bedriftsintern opplæring.</w:t>
      </w:r>
    </w:p>
    <w:p w:rsidR="00557A6F" w:rsidRDefault="00557A6F" w:rsidP="00557A6F">
      <w:pPr>
        <w:pStyle w:val="Liste"/>
      </w:pPr>
      <w:r>
        <w:t>Tilskudd til fylkesvise partnerskap for karriereveiledning og tilhørende karrieresentra.</w:t>
      </w:r>
    </w:p>
    <w:p w:rsidR="00557A6F" w:rsidRDefault="00557A6F" w:rsidP="00557A6F">
      <w:pPr>
        <w:pStyle w:val="Liste"/>
      </w:pPr>
      <w:r>
        <w:t>Bosetting internt i fylkene og annen regional samordning av integreringspolitikken.</w:t>
      </w:r>
    </w:p>
    <w:p w:rsidR="00557A6F" w:rsidRDefault="00557A6F" w:rsidP="00557A6F">
      <w:pPr>
        <w:pStyle w:val="Liste"/>
      </w:pPr>
      <w:r>
        <w:t>Tilskuddsordningen Jobbsjansen del B.</w:t>
      </w:r>
    </w:p>
    <w:p w:rsidR="00557A6F" w:rsidRDefault="00557A6F" w:rsidP="00557A6F">
      <w:pPr>
        <w:pStyle w:val="Liste"/>
      </w:pPr>
      <w:r>
        <w:lastRenderedPageBreak/>
        <w:t>Tilskudd til etablereropplæringen for innvandrere.</w:t>
      </w:r>
    </w:p>
    <w:p w:rsidR="00557A6F" w:rsidRDefault="00557A6F" w:rsidP="00557A6F">
      <w:pPr>
        <w:pStyle w:val="Liste"/>
      </w:pPr>
      <w:r>
        <w:t>Tilskudd til mentor- og traineeordninger.</w:t>
      </w:r>
    </w:p>
    <w:p w:rsidR="00557A6F" w:rsidRDefault="00557A6F" w:rsidP="00557A6F">
      <w:pPr>
        <w:pStyle w:val="avsnitt-under-undertittel"/>
        <w:rPr>
          <w:rStyle w:val="kursiv"/>
          <w:i/>
          <w:iCs/>
          <w:sz w:val="21"/>
          <w:szCs w:val="21"/>
        </w:rPr>
      </w:pPr>
      <w:r>
        <w:rPr>
          <w:rStyle w:val="kursiv"/>
          <w:i/>
          <w:iCs/>
          <w:sz w:val="21"/>
          <w:szCs w:val="21"/>
        </w:rPr>
        <w:t>Folkehelse</w:t>
      </w:r>
    </w:p>
    <w:p w:rsidR="00557A6F" w:rsidRDefault="00557A6F" w:rsidP="00557A6F">
      <w:pPr>
        <w:pStyle w:val="Liste"/>
      </w:pPr>
      <w:r>
        <w:t>Forvaltning av tilskudd til friskliv, læring og mestring.</w:t>
      </w:r>
    </w:p>
    <w:p w:rsidR="00557A6F" w:rsidRDefault="00557A6F" w:rsidP="00557A6F">
      <w:pPr>
        <w:pStyle w:val="Liste"/>
      </w:pPr>
      <w:r>
        <w:t>Midler til tverrfaglig innsats på rusfeltet.</w:t>
      </w:r>
    </w:p>
    <w:p w:rsidR="00557A6F" w:rsidRDefault="00557A6F" w:rsidP="00557A6F">
      <w:pPr>
        <w:pStyle w:val="avsnitt-under-undertittel"/>
        <w:rPr>
          <w:rStyle w:val="kursiv"/>
          <w:i/>
          <w:iCs/>
          <w:sz w:val="21"/>
          <w:szCs w:val="21"/>
        </w:rPr>
      </w:pPr>
      <w:r>
        <w:rPr>
          <w:rStyle w:val="kursiv"/>
          <w:i/>
          <w:iCs/>
          <w:sz w:val="21"/>
          <w:szCs w:val="21"/>
        </w:rPr>
        <w:t>Klima og miljø</w:t>
      </w:r>
    </w:p>
    <w:p w:rsidR="00557A6F" w:rsidRDefault="00557A6F" w:rsidP="00557A6F">
      <w:pPr>
        <w:pStyle w:val="Liste"/>
      </w:pPr>
      <w:r>
        <w:t>Oppgaver innenfor Skjærgårdstjenesten og statlig sikrede friluftsområder.</w:t>
      </w:r>
    </w:p>
    <w:p w:rsidR="00557A6F" w:rsidRDefault="00557A6F" w:rsidP="00557A6F">
      <w:pPr>
        <w:pStyle w:val="Liste"/>
      </w:pPr>
      <w:r>
        <w:t>Oppgaver på kulturminneområder (gradvis overføring i perioden 2020–2022).</w:t>
      </w:r>
    </w:p>
    <w:p w:rsidR="00557A6F" w:rsidRDefault="00557A6F" w:rsidP="00557A6F">
      <w:pPr>
        <w:pStyle w:val="avsnitt-under-undertittel"/>
        <w:rPr>
          <w:rStyle w:val="kursiv"/>
          <w:i/>
          <w:iCs/>
          <w:sz w:val="21"/>
          <w:szCs w:val="21"/>
        </w:rPr>
      </w:pPr>
      <w:r>
        <w:rPr>
          <w:rStyle w:val="kursiv"/>
          <w:i/>
          <w:iCs/>
          <w:sz w:val="21"/>
          <w:szCs w:val="21"/>
        </w:rPr>
        <w:t>Næringsutvikling og landbruk</w:t>
      </w:r>
    </w:p>
    <w:p w:rsidR="00557A6F" w:rsidRDefault="00557A6F" w:rsidP="00557A6F">
      <w:pPr>
        <w:pStyle w:val="Liste"/>
      </w:pPr>
      <w:r>
        <w:t>Oppdragsgiveransvar overfor Siva og Innovasjon Norge for fem næringsrettede ordninger.</w:t>
      </w:r>
    </w:p>
    <w:p w:rsidR="00557A6F" w:rsidRDefault="00557A6F" w:rsidP="00557A6F">
      <w:pPr>
        <w:pStyle w:val="Liste"/>
      </w:pPr>
      <w:r>
        <w:t>Forvaltning av tilskudd til utrednings- og tilretteleggingstiltak i landbruket.</w:t>
      </w:r>
    </w:p>
    <w:p w:rsidR="00557A6F" w:rsidRDefault="00557A6F" w:rsidP="00557A6F">
      <w:pPr>
        <w:pStyle w:val="Liste"/>
      </w:pPr>
      <w:r>
        <w:t>Forvaltning av prosjektmidler til kystskogbruket.</w:t>
      </w:r>
    </w:p>
    <w:p w:rsidR="00557A6F" w:rsidRDefault="00557A6F" w:rsidP="00557A6F">
      <w:pPr>
        <w:pStyle w:val="Liste"/>
      </w:pPr>
      <w:r>
        <w:t>Utarbeidelse av regionalt næringsprogram for landbruket.</w:t>
      </w:r>
    </w:p>
    <w:p w:rsidR="00557A6F" w:rsidRDefault="00557A6F" w:rsidP="00557A6F">
      <w:pPr>
        <w:pStyle w:val="avsnitt-under-undertittel"/>
        <w:rPr>
          <w:rStyle w:val="kursiv"/>
          <w:i/>
          <w:iCs/>
          <w:sz w:val="21"/>
          <w:szCs w:val="21"/>
        </w:rPr>
      </w:pPr>
      <w:r>
        <w:rPr>
          <w:rStyle w:val="kursiv"/>
          <w:i/>
          <w:iCs/>
          <w:sz w:val="21"/>
          <w:szCs w:val="21"/>
        </w:rPr>
        <w:t>Styrking av Nord-Norge</w:t>
      </w:r>
    </w:p>
    <w:p w:rsidR="00557A6F" w:rsidRDefault="00557A6F" w:rsidP="00557A6F">
      <w:pPr>
        <w:pStyle w:val="Liste"/>
      </w:pPr>
      <w:r>
        <w:t>Forvaltning av om lag halvparten av tilskuddsordningen Arktis 2030 overføres til Troms og Finnmark fylkeskommune.</w:t>
      </w:r>
    </w:p>
    <w:p w:rsidR="00557A6F" w:rsidRDefault="00557A6F" w:rsidP="00557A6F">
      <w:pPr>
        <w:pStyle w:val="Liste"/>
      </w:pPr>
      <w:r>
        <w:t>Sekretariat for Regionalt nordområdeforum, lagt til Vadsø.</w:t>
      </w:r>
    </w:p>
    <w:p w:rsidR="00557A6F" w:rsidRDefault="00557A6F" w:rsidP="00557A6F">
      <w:pPr>
        <w:pStyle w:val="Liste"/>
      </w:pPr>
      <w:r>
        <w:t>Forvaltning av tilskudd til kvensk språk og kultur overføres til Troms og Finnmark fylke</w:t>
      </w:r>
      <w:r>
        <w:t>s</w:t>
      </w:r>
      <w:r>
        <w:t>kommune.</w:t>
      </w:r>
    </w:p>
    <w:p w:rsidR="00557A6F" w:rsidRDefault="00557A6F" w:rsidP="00557A6F">
      <w:r>
        <w:t>Oppgaver som ikke er ferdig utredet eller som krever noe mer tid, omfatter:</w:t>
      </w:r>
    </w:p>
    <w:p w:rsidR="00557A6F" w:rsidRDefault="00557A6F" w:rsidP="00557A6F">
      <w:pPr>
        <w:pStyle w:val="Liste"/>
      </w:pPr>
      <w:r>
        <w:t>Kjøp av innenlandske flyruter.</w:t>
      </w:r>
    </w:p>
    <w:p w:rsidR="00557A6F" w:rsidRDefault="00557A6F" w:rsidP="00557A6F">
      <w:pPr>
        <w:pStyle w:val="Liste"/>
      </w:pPr>
      <w:r>
        <w:t>Tilskudd til utvidet TT-ordning.</w:t>
      </w:r>
    </w:p>
    <w:p w:rsidR="00557A6F" w:rsidRDefault="00557A6F" w:rsidP="00557A6F">
      <w:pPr>
        <w:pStyle w:val="Liste"/>
      </w:pPr>
      <w:r>
        <w:t>Kulturoppgaver.</w:t>
      </w:r>
    </w:p>
    <w:p w:rsidR="00557A6F" w:rsidRDefault="00557A6F" w:rsidP="00557A6F">
      <w:pPr>
        <w:pStyle w:val="Liste"/>
      </w:pPr>
      <w:r>
        <w:t>Utvidet og mer helhetlig fylkeskommunalt ansvar for tilrettelegging og forsterket oppl</w:t>
      </w:r>
      <w:r>
        <w:t>æ</w:t>
      </w:r>
      <w:r>
        <w:t>ring for alle i alderen 16 til 24 år.</w:t>
      </w:r>
    </w:p>
    <w:p w:rsidR="00557A6F" w:rsidRDefault="00557A6F" w:rsidP="00557A6F">
      <w:pPr>
        <w:pStyle w:val="Liste"/>
      </w:pPr>
      <w:r>
        <w:t>Spesialpedagogisk støtte til barn.</w:t>
      </w:r>
    </w:p>
    <w:p w:rsidR="00557A6F" w:rsidRDefault="00557A6F" w:rsidP="00557A6F">
      <w:pPr>
        <w:pStyle w:val="Liste"/>
      </w:pPr>
      <w:r>
        <w:t>Tilskuddsmidler i program for folkehelsearbeid i kommunene.</w:t>
      </w:r>
    </w:p>
    <w:p w:rsidR="00557A6F" w:rsidRDefault="00557A6F" w:rsidP="00557A6F">
      <w:pPr>
        <w:pStyle w:val="Liste"/>
      </w:pPr>
      <w:r>
        <w:t>Minoritetsrådgiverordningen.</w:t>
      </w:r>
    </w:p>
    <w:p w:rsidR="00557A6F" w:rsidRDefault="00557A6F" w:rsidP="00557A6F">
      <w:pPr>
        <w:pStyle w:val="Liste"/>
      </w:pPr>
      <w:r>
        <w:t>Ytterligere næringspolitiske oppgaver.</w:t>
      </w:r>
    </w:p>
    <w:p w:rsidR="00557A6F" w:rsidRDefault="00557A6F" w:rsidP="00557A6F">
      <w:pPr>
        <w:pStyle w:val="Liste"/>
      </w:pPr>
      <w:r>
        <w:t>En sterkere kompetansepolitisk rolle.</w:t>
      </w:r>
    </w:p>
    <w:p w:rsidR="00557A6F" w:rsidRDefault="00557A6F" w:rsidP="00557A6F">
      <w:pPr>
        <w:pStyle w:val="Liste"/>
      </w:pPr>
      <w:r>
        <w:t>Bufetats oppgaver i barnevernet.</w:t>
      </w:r>
    </w:p>
    <w:p w:rsidR="00557A6F" w:rsidRDefault="00557A6F" w:rsidP="00557A6F">
      <w:r>
        <w:t>Samferdselsdepartementet tar sikte på å legge fram et tilleggsnummer til statsbudsjettet om overf</w:t>
      </w:r>
      <w:r>
        <w:t>ø</w:t>
      </w:r>
      <w:r>
        <w:t>ring av sams vegadministrasjon høsten 2019.</w:t>
      </w:r>
    </w:p>
    <w:p w:rsidR="00557A6F" w:rsidRDefault="00557A6F" w:rsidP="00557A6F">
      <w:r>
        <w:t>Det overføres midler til de fylkeskommunene som har inngått avtale med Kystverket om å overta fiskerihavn</w:t>
      </w:r>
      <w:r>
        <w:t>e</w:t>
      </w:r>
      <w:r>
        <w:t>anlegg fra og med 1. januar 2020.</w:t>
      </w:r>
    </w:p>
    <w:p w:rsidR="00557A6F" w:rsidRDefault="00557A6F" w:rsidP="00557A6F">
      <w:r>
        <w:t xml:space="preserve">Midler som gjelder drift av Notodden flyplass overføres til Vestfold og Telemark fylkeskommune. De andre fylkeskommunene som fikk tilbudet om </w:t>
      </w:r>
      <w:proofErr w:type="gramStart"/>
      <w:r>
        <w:t>å</w:t>
      </w:r>
      <w:proofErr w:type="gramEnd"/>
      <w:r>
        <w:t xml:space="preserve"> tre inn i avtalene i 2020 (Vestland og Trønd</w:t>
      </w:r>
      <w:r>
        <w:t>e</w:t>
      </w:r>
      <w:r>
        <w:t>lag fylkeskommuner) ønsker at Samferdselsdepartementet forvalter avtalene og midlene ut 2020.</w:t>
      </w:r>
    </w:p>
    <w:p w:rsidR="00557A6F" w:rsidRDefault="00557A6F" w:rsidP="00557A6F">
      <w:r>
        <w:t>For mer informasjon om de enkelte oppgaveoverføringene og budsjettkonsekvenser vises det til Prop. 1 S (2019–2020) for de enkelte departementene. Oppgaver som finansieres over rammeti</w:t>
      </w:r>
      <w:r>
        <w:t>l</w:t>
      </w:r>
      <w:r>
        <w:t>skuddet er også omtalt under programkategori 13.70 Kommunesektoren mv.</w:t>
      </w:r>
    </w:p>
    <w:p w:rsidR="00557A6F" w:rsidRDefault="00557A6F" w:rsidP="00557A6F">
      <w:pPr>
        <w:pStyle w:val="avsnitt-undertittel"/>
      </w:pPr>
      <w:r>
        <w:lastRenderedPageBreak/>
        <w:t>Innlemming av øremerkede tilskudd i rammetilskuddet</w:t>
      </w:r>
    </w:p>
    <w:p w:rsidR="00557A6F" w:rsidRDefault="00557A6F" w:rsidP="00557A6F">
      <w:r>
        <w:t>Rammefinansiering i form av frie inntekter er hovedprinsippet for finansiering av kommunesekt</w:t>
      </w:r>
      <w:r>
        <w:t>o</w:t>
      </w:r>
      <w:r>
        <w:t>ren. Som varslet i kommuneproposisjonen for 2020 foreslår regjeringen å innlemme en rekke ti</w:t>
      </w:r>
      <w:r>
        <w:t>l</w:t>
      </w:r>
      <w:r>
        <w:t>skudd i rammetilskuddet. Innlemming styrker det kommunale selvstyret og fører til mindre byr</w:t>
      </w:r>
      <w:r>
        <w:t>å</w:t>
      </w:r>
      <w:r>
        <w:t>krati i både staten og kommunesektoren. Følgende tilskudd foreslås innlemmet i 2020:</w:t>
      </w:r>
    </w:p>
    <w:p w:rsidR="00557A6F" w:rsidRDefault="00557A6F" w:rsidP="00557A6F">
      <w:pPr>
        <w:pStyle w:val="Liste"/>
      </w:pPr>
      <w:r>
        <w:t xml:space="preserve">Tilskudd til psykologer i de kommunale helse- og omsorgstjenestene. </w:t>
      </w:r>
    </w:p>
    <w:p w:rsidR="00557A6F" w:rsidRDefault="00557A6F" w:rsidP="00557A6F">
      <w:pPr>
        <w:pStyle w:val="Liste"/>
      </w:pPr>
      <w:r>
        <w:t xml:space="preserve">Tilskudd til dagaktivitetstilbud til hjemmeboende personer med demens. </w:t>
      </w:r>
    </w:p>
    <w:p w:rsidR="00557A6F" w:rsidRDefault="00557A6F" w:rsidP="00557A6F">
      <w:pPr>
        <w:pStyle w:val="Liste"/>
      </w:pPr>
      <w:r>
        <w:t>Tilskudd til habilitering og rehabilitering.</w:t>
      </w:r>
    </w:p>
    <w:p w:rsidR="00557A6F" w:rsidRDefault="00557A6F" w:rsidP="00557A6F">
      <w:pPr>
        <w:pStyle w:val="Liste"/>
      </w:pPr>
      <w:r>
        <w:t xml:space="preserve">Tilskudd til samordning av lokale rus- og kriminalitetsforebyggende tiltak. </w:t>
      </w:r>
    </w:p>
    <w:p w:rsidR="00557A6F" w:rsidRDefault="00557A6F" w:rsidP="00557A6F">
      <w:pPr>
        <w:pStyle w:val="Liste"/>
      </w:pPr>
      <w:r>
        <w:t xml:space="preserve">Tilskudd til opplæring av lærlinger, praksisbrevkandidater og lærekandidater med spesielle behov. </w:t>
      </w:r>
    </w:p>
    <w:p w:rsidR="00557A6F" w:rsidRDefault="00557A6F" w:rsidP="00557A6F">
      <w:pPr>
        <w:pStyle w:val="Liste"/>
      </w:pPr>
      <w:r>
        <w:t xml:space="preserve">Tilskudd til fylkesvise partnerskap for karriereveiledning. </w:t>
      </w:r>
    </w:p>
    <w:p w:rsidR="00557A6F" w:rsidRDefault="00557A6F" w:rsidP="00557A6F">
      <w:pPr>
        <w:pStyle w:val="Liste"/>
      </w:pPr>
      <w:r>
        <w:t>Tilskudd til tidlig karriereveiledning for nyankomne innvandrere.</w:t>
      </w:r>
    </w:p>
    <w:p w:rsidR="00557A6F" w:rsidRDefault="00557A6F" w:rsidP="00557A6F">
      <w:pPr>
        <w:pStyle w:val="Liste"/>
      </w:pPr>
      <w:r>
        <w:t xml:space="preserve">Tilskudd til tidlig innsats i skolen gjennom økt lærerinnsats på 1.–10. trinn. </w:t>
      </w:r>
    </w:p>
    <w:p w:rsidR="00557A6F" w:rsidRDefault="00557A6F" w:rsidP="00557A6F">
      <w:pPr>
        <w:pStyle w:val="Liste"/>
      </w:pPr>
      <w:r>
        <w:t>Tilskudd til leirskoleopplæring.</w:t>
      </w:r>
    </w:p>
    <w:p w:rsidR="00557A6F" w:rsidRDefault="00557A6F" w:rsidP="00557A6F">
      <w:pPr>
        <w:pStyle w:val="Liste"/>
      </w:pPr>
      <w:r>
        <w:t xml:space="preserve">Tilskudd til etablering og tilpasning av bolig. </w:t>
      </w:r>
    </w:p>
    <w:p w:rsidR="00557A6F" w:rsidRDefault="00557A6F" w:rsidP="00557A6F">
      <w:pPr>
        <w:pStyle w:val="Liste"/>
      </w:pPr>
      <w:r>
        <w:t xml:space="preserve">Tilskudd til inkluderende og vekstkraftige lokalsamfunn. </w:t>
      </w:r>
    </w:p>
    <w:p w:rsidR="00557A6F" w:rsidRDefault="00557A6F" w:rsidP="00557A6F">
      <w:pPr>
        <w:pStyle w:val="Liste"/>
      </w:pPr>
      <w:r>
        <w:t xml:space="preserve">Tilskudd til regionale tiltak for utvikling av næringsmiljøer og tilgang til kompetanse. </w:t>
      </w:r>
    </w:p>
    <w:p w:rsidR="00557A6F" w:rsidRDefault="00557A6F" w:rsidP="00557A6F">
      <w:pPr>
        <w:pStyle w:val="Liste"/>
      </w:pPr>
      <w:r>
        <w:t xml:space="preserve">Tilskudd til skredsikring av fylkesveier. </w:t>
      </w:r>
    </w:p>
    <w:p w:rsidR="00557A6F" w:rsidRDefault="00557A6F" w:rsidP="00557A6F">
      <w:pPr>
        <w:pStyle w:val="Liste"/>
      </w:pPr>
      <w:r>
        <w:t xml:space="preserve">Tilskudd til gang- og sykkelveier. </w:t>
      </w:r>
    </w:p>
    <w:p w:rsidR="00557A6F" w:rsidRDefault="00557A6F" w:rsidP="00557A6F">
      <w:r>
        <w:t>Se også omtale under programkategori 13.70 og i Prop. 1 S (2019–2020) for de enkelte depart</w:t>
      </w:r>
      <w:r>
        <w:t>e</w:t>
      </w:r>
      <w:r>
        <w:t>mentene.</w:t>
      </w:r>
    </w:p>
    <w:p w:rsidR="00557A6F" w:rsidRDefault="00557A6F" w:rsidP="00557A6F">
      <w:r>
        <w:t>I kommuneproposisjonen ble det varslet at tilskuddet til klinisk veterinærvakt ville bli foreslått innlemmet i rammetilskuddet. Etter en helhetlig vurdering foreslår imidlertid Landbruks- og ma</w:t>
      </w:r>
      <w:r>
        <w:t>t</w:t>
      </w:r>
      <w:r>
        <w:t>departementet å videreføre ti</w:t>
      </w:r>
      <w:r>
        <w:t>l</w:t>
      </w:r>
      <w:r>
        <w:t>skuddet på sitt budsjett. Se nærmere omtale i Prop. 1 S (2019–2020) for Landbruks- og matdepartementet.</w:t>
      </w:r>
    </w:p>
    <w:p w:rsidR="00557A6F" w:rsidRDefault="00557A6F" w:rsidP="00557A6F">
      <w:pPr>
        <w:pStyle w:val="avsnitt-undertittel"/>
      </w:pPr>
      <w:r>
        <w:t>Tidlig innsats</w:t>
      </w:r>
    </w:p>
    <w:p w:rsidR="00557A6F" w:rsidRDefault="00557A6F" w:rsidP="00557A6F">
      <w:r>
        <w:t>Høsten 2018 og i 2019 var kompensasjonen til kommunene for innføringen av lærernormen ør</w:t>
      </w:r>
      <w:r>
        <w:t>e</w:t>
      </w:r>
      <w:r>
        <w:t>merket. I 2020 legger regjeringen opp til at midler til tidlig innsats i skolen gjennom økt lærerin</w:t>
      </w:r>
      <w:r>
        <w:t>n</w:t>
      </w:r>
      <w:r>
        <w:t xml:space="preserve">sats på 1.–10. trinn, innlemmes i rammetilskuddet til kommunene, slik det ble varslet i Prop. 113 S (2018–2019) </w:t>
      </w:r>
      <w:r>
        <w:rPr>
          <w:rStyle w:val="kursiv"/>
          <w:spacing w:val="2"/>
          <w:sz w:val="21"/>
          <w:szCs w:val="21"/>
        </w:rPr>
        <w:t>Kommuneproposisjonen 2020</w:t>
      </w:r>
      <w:r>
        <w:t>. Det innebærer at det blir overført 1 316,8 mill. kroner fra kap. 226, post 63 på Kunnskapsdepartementets budsjett. Midlene blir i 2020 fordelt særskilt (tabell c) for å ta hensyn både til kommuner med et relativt og med et absolutt behov for lærerårsverk. I tillegg er 400 mill. kroner av veksten i de frie inntektene til kommunene begrunnet med tidlig in</w:t>
      </w:r>
      <w:r>
        <w:t>n</w:t>
      </w:r>
      <w:r>
        <w:t>sats i skolen. Disse mi</w:t>
      </w:r>
      <w:r>
        <w:t>d</w:t>
      </w:r>
      <w:r>
        <w:t>lene må sees i sammenheng. Samlet sett innebærer dette at midler som kan benyttes til flere lærerår</w:t>
      </w:r>
      <w:r>
        <w:t>s</w:t>
      </w:r>
      <w:r>
        <w:t>verk som følge av lærernormen videreføres på om lag på samme nivå i 2020 som i 2019, og at lære</w:t>
      </w:r>
      <w:r>
        <w:t>r</w:t>
      </w:r>
      <w:r>
        <w:t>normen er mer enn fullt ut finansiert når behovet for kompensasjon blir beregnet på kommunenivå. Fra 2021 vil midlene som blir innlemmet i rammetilskuddet bli fordelt etter de ordinære kriteriene i in</w:t>
      </w:r>
      <w:r>
        <w:t>n</w:t>
      </w:r>
      <w:r>
        <w:t>tektssystemet. Se nærmere omtale i Prop. 1 S (2019–2020) for Kunnskapsdepartementet.</w:t>
      </w:r>
    </w:p>
    <w:p w:rsidR="00557A6F" w:rsidRDefault="00557A6F" w:rsidP="00557A6F">
      <w:pPr>
        <w:pStyle w:val="avsnitt-undertittel"/>
      </w:pPr>
      <w:r>
        <w:t>Opptrappingsplanen for rusfeltet</w:t>
      </w:r>
    </w:p>
    <w:p w:rsidR="00557A6F" w:rsidRDefault="00557A6F" w:rsidP="00557A6F">
      <w:r>
        <w:t xml:space="preserve">Regjeringen har satt som mål å øke bevilgningene til rusfeltet med 2,4 mrd. kroner, i tråd med langsiktige mål og tiltak i Prop. 15 S (2015–2016) </w:t>
      </w:r>
      <w:r>
        <w:rPr>
          <w:rStyle w:val="kursiv"/>
          <w:sz w:val="21"/>
          <w:szCs w:val="21"/>
        </w:rPr>
        <w:t>Opptrappingsplanen for rusfeltet (2016–2020)</w:t>
      </w:r>
      <w:r>
        <w:t>. Ra</w:t>
      </w:r>
      <w:r>
        <w:t>p</w:t>
      </w:r>
      <w:r>
        <w:t>porteringen viser at regjeringens innsats med opptrappingsplanen har gitt resultater i økt tjenest</w:t>
      </w:r>
      <w:r>
        <w:t>e</w:t>
      </w:r>
      <w:r>
        <w:t>yting og flere årsverk. For 2020 er 150 mill. kroner av veksten i kommunenes frie inntekter b</w:t>
      </w:r>
      <w:r>
        <w:t>e</w:t>
      </w:r>
      <w:r>
        <w:t>grunnet med behovet for å fullføre den flerårige satsingen på å styrke tjenestene på rusfeltet. Planen vil med dette være oppfylt med 2,45 mrd. kroner. Se nærmere omtale i Prop. 1 S (2019–2020) for Helse- og omsorgsdepartementet.</w:t>
      </w:r>
    </w:p>
    <w:p w:rsidR="00557A6F" w:rsidRDefault="00557A6F" w:rsidP="00557A6F">
      <w:pPr>
        <w:pStyle w:val="avsnitt-undertittel"/>
      </w:pPr>
      <w:r>
        <w:t>Investeringstilskudd til heldøgns omsorgsplasser</w:t>
      </w:r>
    </w:p>
    <w:p w:rsidR="00557A6F" w:rsidRDefault="00557A6F" w:rsidP="00557A6F">
      <w:r>
        <w:t>Investeringstilskuddet til heldøgns omsorgsplasser har i perioden 2014–2019 økt betydelig for å gi kommunene bedre muligheter til å fornye og øke tilbudet av omsorgsplasser for personer med b</w:t>
      </w:r>
      <w:r>
        <w:t>e</w:t>
      </w:r>
      <w:r>
        <w:t>hov for heldøgns helse- og omsorgstjenester, uavhengig av alder, diagnose eller funksjonsnedse</w:t>
      </w:r>
      <w:r>
        <w:t>t</w:t>
      </w:r>
      <w:r>
        <w:t xml:space="preserve">telse. Stortinget </w:t>
      </w:r>
      <w:r>
        <w:lastRenderedPageBreak/>
        <w:t>vedtok ved behandlingen av statsbudsjettet for 2019, jf. Innst. 11 S (2018–2019), at investeringstilskuddet fordeles på to poster og at 50 pst. av den samlede tilsagnsrammen nyttes til ren netto tilvekst av heldøgns plasser. Den resterende andelen av tilsagnsrammen nyttes til rehab</w:t>
      </w:r>
      <w:r>
        <w:t>i</w:t>
      </w:r>
      <w:r>
        <w:t>litering/modernisering, utskifting av eksisterende plasser og tiltak som ikke innebærer netto ti</w:t>
      </w:r>
      <w:r>
        <w:t>l</w:t>
      </w:r>
      <w:r>
        <w:t>vekst. I budsjettforslaget for 2020 foreslås det en samlet tilsagnsramme på 3 595 mill. kroner. Rammen gir rom for tilsagn om tilskudd til om lag 2 000 heldøgns omsorgsplasser. Se nærmere omtale i Prop. 1 S (2019–2020) for Helse- og omsorgsdepart</w:t>
      </w:r>
      <w:r>
        <w:t>e</w:t>
      </w:r>
      <w:r>
        <w:t>mentet.</w:t>
      </w:r>
    </w:p>
    <w:p w:rsidR="00557A6F" w:rsidRDefault="00557A6F" w:rsidP="00557A6F">
      <w:pPr>
        <w:pStyle w:val="avsnitt-undertittel"/>
      </w:pPr>
      <w:r>
        <w:t>Kompensasjon for endringer i regelverket for arbeidsavklaringspenger</w:t>
      </w:r>
    </w:p>
    <w:p w:rsidR="00557A6F" w:rsidRDefault="00557A6F" w:rsidP="00557A6F">
      <w:r>
        <w:t>Med virkning fra 1. januar 2018 ble det gjennomført endringer i regelverket for arbeidsavklaring</w:t>
      </w:r>
      <w:r>
        <w:t>s</w:t>
      </w:r>
      <w:r>
        <w:t>penger. I revidert nasjonalbudsjett for 2019 ble kommunene kompensert gjennom en økning i rammetilskuddet på 90 mill. kroner for anslåtte merutgifter som følge av disse endringene. Ko</w:t>
      </w:r>
      <w:r>
        <w:t>m</w:t>
      </w:r>
      <w:r>
        <w:t>pensasjonen videreføres i 2020. Se nærmere omtale i Prop. 1 S (2019–2020) for Arbeids- og s</w:t>
      </w:r>
      <w:r>
        <w:t>o</w:t>
      </w:r>
      <w:r>
        <w:t xml:space="preserve">sialdepartementet. </w:t>
      </w:r>
    </w:p>
    <w:p w:rsidR="00557A6F" w:rsidRDefault="00557A6F" w:rsidP="00557A6F">
      <w:pPr>
        <w:pStyle w:val="avsnitt-undertittel"/>
      </w:pPr>
      <w:r>
        <w:t>Frivilligsentraler</w:t>
      </w:r>
    </w:p>
    <w:p w:rsidR="00557A6F" w:rsidRDefault="00557A6F" w:rsidP="00557A6F">
      <w:r>
        <w:t>De øremerkede midlene til frivilligsentraler ble overført fra Kulturdepartementets budsjett til ra</w:t>
      </w:r>
      <w:r>
        <w:t>m</w:t>
      </w:r>
      <w:r>
        <w:t>metilskuddet til kommunene i 2017. Det ble varslet at midlene skulle gis en særskilt fordeling i fire år. Bevil</w:t>
      </w:r>
      <w:r>
        <w:t>g</w:t>
      </w:r>
      <w:r>
        <w:t>ningen ble økt i forbindelse med innlemmingen i 2017, og den er ytterligere økt i 2018 og 2019. Det for</w:t>
      </w:r>
      <w:r>
        <w:t>e</w:t>
      </w:r>
      <w:r>
        <w:t>slås en økning på 12,8 mill. kroner i 2020 til nyetablerte sentraler. Totalt fordeles det 200,2 mill. kroner i 2020. Den kommunevise fordelingen går fram av tabell c-K i Berekningste</w:t>
      </w:r>
      <w:r>
        <w:t>k</w:t>
      </w:r>
      <w:r>
        <w:t>nisk dokumentasjon til Prop. 1 S (2019–2020) Grønt hefte. Fra 2021 vil midlene bli fordelt etter ordinære kriterier i inntektssystemet. Se også omtale i Prop. 1 S (2019–2020) for Kulturdepart</w:t>
      </w:r>
      <w:r>
        <w:t>e</w:t>
      </w:r>
      <w:r>
        <w:t>mentet.</w:t>
      </w:r>
    </w:p>
    <w:p w:rsidR="00557A6F" w:rsidRDefault="00557A6F" w:rsidP="00557A6F">
      <w:pPr>
        <w:pStyle w:val="avsnitt-undertittel"/>
      </w:pPr>
      <w:r>
        <w:t>Grønn skipsfart</w:t>
      </w:r>
    </w:p>
    <w:p w:rsidR="00557A6F" w:rsidRDefault="00557A6F" w:rsidP="00557A6F">
      <w:r>
        <w:t>Regjeringen la i juni 2019 fram en handlingsplan for grønn skipsfart. Ambisjonene i planen er å halvere u</w:t>
      </w:r>
      <w:r>
        <w:t>t</w:t>
      </w:r>
      <w:r>
        <w:t>slippene fra innenriks skipsfart og fiske innen 2030 og stimulere til utvikling av null- og lavutslippsløsninger i alle fartøyskategorier. I revidert nasjonalbudsjett for 2019 ble det bevilget 25 mill. kroner til en øremerket, midlertidig satsing for utvikling av hurtigbåter med null- eller la</w:t>
      </w:r>
      <w:r>
        <w:t>v</w:t>
      </w:r>
      <w:r>
        <w:t>utslippsløsninger. Midlene forvaltes gje</w:t>
      </w:r>
      <w:r>
        <w:t>n</w:t>
      </w:r>
      <w:r>
        <w:t>nom Miljødirektoratets Klimasatsordning. I statsbudsjettet for 2020 foreslår regjeringen at det settes av 80 mill. kroner til å utvide den midlertidige satsingen på utslippsfrie hurtigbåter.</w:t>
      </w:r>
    </w:p>
    <w:p w:rsidR="00557A6F" w:rsidRDefault="00557A6F" w:rsidP="00557A6F">
      <w:pPr>
        <w:pStyle w:val="avsnitt-undertittel"/>
      </w:pPr>
      <w:r>
        <w:t>Tilskudd til fylkesvei</w:t>
      </w:r>
    </w:p>
    <w:p w:rsidR="00557A6F" w:rsidRDefault="00557A6F" w:rsidP="00557A6F">
      <w:r>
        <w:t>Det opprettes en tilskuddsordning for fylkesveier som er viktige for næringstransport på Samfer</w:t>
      </w:r>
      <w:r>
        <w:t>d</w:t>
      </w:r>
      <w:r>
        <w:t xml:space="preserve">selsdepartementets budsjett. Det foreslås en bevilgning på 100 mill. kroner i 2020. Se nærmere omtale i Prop. 1 S (2019–2020) for Samferdselsdepartementet. </w:t>
      </w:r>
    </w:p>
    <w:p w:rsidR="00557A6F" w:rsidRDefault="00557A6F" w:rsidP="00557A6F">
      <w:pPr>
        <w:pStyle w:val="Overskrift1"/>
      </w:pPr>
      <w:r>
        <w:t>Oppfølging av anmodnings- og utredningsvedtak</w:t>
      </w:r>
    </w:p>
    <w:p w:rsidR="00557A6F" w:rsidRDefault="00557A6F" w:rsidP="00557A6F">
      <w:pPr>
        <w:pStyle w:val="Overskrift2"/>
      </w:pPr>
      <w:r>
        <w:t>Anmodningsvedtak under Kommunal- og moderniseringsdepartementet</w:t>
      </w:r>
    </w:p>
    <w:p w:rsidR="00557A6F" w:rsidRDefault="00557A6F" w:rsidP="00557A6F">
      <w:r>
        <w:t>Nedenfor gis en oversikt over oppfølging av anmodnings- og utredningsvedtak under Kommunal- og moderniseringsdepartementet. Oversikten inkluderer alle vedtak fra stortingssesjonen 2018–2019 og alle vedtak fra tidligere stortingssesjoner hvor rapporteringen ikke ble varslet a</w:t>
      </w:r>
      <w:r>
        <w:t>v</w:t>
      </w:r>
      <w:r>
        <w:t>sluttet i Prop. 1 S (2018–2019), samt de vedtakene som kontroll- og konstitusjonskomiteen i Innst. 291 S (2018–2019) mente ikke var utkvittert. I enkelte tilfeller kan oppfølgingen av vedt</w:t>
      </w:r>
      <w:r>
        <w:t>a</w:t>
      </w:r>
      <w:r>
        <w:t>kene være mer omfattende beskrevet under aktuelle programkategorier i proposisjonen. Det vil i disse tilfellene være en henvisning til hvor denne teksten finnes.</w:t>
      </w:r>
    </w:p>
    <w:p w:rsidR="00557A6F" w:rsidRDefault="00557A6F" w:rsidP="00557A6F">
      <w:r>
        <w:t>I kolonne 4 i tabellen under angis det hvorvidt departementet planlegger at rapporteringen knyttet til anmo</w:t>
      </w:r>
      <w:r>
        <w:t>d</w:t>
      </w:r>
      <w:r>
        <w:t>ningsvedtaket nå avsluttes, eller om departementet vil rapportere konkret på vedtaket også i neste års budsjettproposisjon. Rapporteringen på vedtak som innebærer at departementet skal legge fram en konkret sak for Sto</w:t>
      </w:r>
      <w:r>
        <w:t>r</w:t>
      </w:r>
      <w:r>
        <w:lastRenderedPageBreak/>
        <w:t>tinget, for eksempel proposisjon, stortingsmelding, utredning eller lignende, vil no</w:t>
      </w:r>
      <w:r>
        <w:t>r</w:t>
      </w:r>
      <w:r>
        <w:t>malt avsluttes først når saken er lagt fram for Stortinget.</w:t>
      </w:r>
    </w:p>
    <w:p w:rsidR="00557A6F" w:rsidRDefault="00557A6F" w:rsidP="00557A6F">
      <w:r>
        <w:t>Selv om det i tabellen angis at rapporteringen avsluttes, vil det i en del tilfeller kunne være slik at oppfølgingen av alle sider av vedtaket ikke er endelig avsluttet. Dette kan for eksempel gjelde ve</w:t>
      </w:r>
      <w:r>
        <w:t>d</w:t>
      </w:r>
      <w:r>
        <w:t>tak med anmodning til regj</w:t>
      </w:r>
      <w:r>
        <w:t>e</w:t>
      </w:r>
      <w:r>
        <w:t>ringen om å ivareta særlige hensyn i politikkutformingen på et område, der oppfølgingen vil kunne gå over mange år. Stortinget vil i disse tilfellene holdes orientert om den videre oppfølgingen på ordinær måte, gjennom omtale av det relevante politikkområdet i bu</w:t>
      </w:r>
      <w:r>
        <w:t>d</w:t>
      </w:r>
      <w:r>
        <w:t>sjettproposisjoner og andre dokumenter.</w:t>
      </w:r>
    </w:p>
    <w:p w:rsidR="00557A6F" w:rsidRDefault="00557A6F" w:rsidP="00557A6F">
      <w:pPr>
        <w:pStyle w:val="tabell-tittel"/>
      </w:pPr>
      <w:r>
        <w:t>Oversikt over anmodningsvedtak, ordnet etter sesjon og nummer</w:t>
      </w:r>
    </w:p>
    <w:p w:rsidR="00557A6F" w:rsidRDefault="00557A6F" w:rsidP="00557A6F">
      <w:pPr>
        <w:pStyle w:val="Tabellnavn"/>
      </w:pPr>
      <w:r>
        <w:t>04J1xx2</w:t>
      </w:r>
    </w:p>
    <w:tbl>
      <w:tblPr>
        <w:tblStyle w:val="StandardTabell"/>
        <w:tblW w:w="9200" w:type="dxa"/>
        <w:tblLayout w:type="fixed"/>
        <w:tblLook w:val="04A0" w:firstRow="1" w:lastRow="0" w:firstColumn="1" w:lastColumn="0" w:noHBand="0" w:noVBand="1"/>
      </w:tblPr>
      <w:tblGrid>
        <w:gridCol w:w="1526"/>
        <w:gridCol w:w="1276"/>
        <w:gridCol w:w="4098"/>
        <w:gridCol w:w="2300"/>
      </w:tblGrid>
      <w:tr w:rsidR="00557A6F" w:rsidTr="00557A6F">
        <w:trPr>
          <w:trHeight w:val="860"/>
        </w:trPr>
        <w:tc>
          <w:tcPr>
            <w:tcW w:w="1526" w:type="dxa"/>
            <w:shd w:val="clear" w:color="auto" w:fill="FFFFFF"/>
          </w:tcPr>
          <w:p w:rsidR="00557A6F" w:rsidRDefault="00557A6F" w:rsidP="00557A6F">
            <w:r>
              <w:t>Sesjon</w:t>
            </w:r>
          </w:p>
        </w:tc>
        <w:tc>
          <w:tcPr>
            <w:tcW w:w="1276" w:type="dxa"/>
          </w:tcPr>
          <w:p w:rsidR="00557A6F" w:rsidRDefault="00557A6F" w:rsidP="00557A6F">
            <w:r>
              <w:t>Vedtak nr.</w:t>
            </w:r>
          </w:p>
        </w:tc>
        <w:tc>
          <w:tcPr>
            <w:tcW w:w="4098" w:type="dxa"/>
          </w:tcPr>
          <w:p w:rsidR="00557A6F" w:rsidRDefault="00557A6F" w:rsidP="00557A6F">
            <w:r>
              <w:t>Stikkord</w:t>
            </w:r>
          </w:p>
        </w:tc>
        <w:tc>
          <w:tcPr>
            <w:tcW w:w="2300" w:type="dxa"/>
          </w:tcPr>
          <w:p w:rsidR="00557A6F" w:rsidRDefault="00557A6F" w:rsidP="00557A6F">
            <w:pPr>
              <w:jc w:val="right"/>
            </w:pPr>
            <w:r>
              <w:t xml:space="preserve">Rapportering avsluttes </w:t>
            </w:r>
            <w:r>
              <w:br/>
              <w:t>(Ja/Nei)</w:t>
            </w:r>
          </w:p>
        </w:tc>
      </w:tr>
      <w:tr w:rsidR="00557A6F" w:rsidTr="00557A6F">
        <w:trPr>
          <w:trHeight w:val="380"/>
        </w:trPr>
        <w:tc>
          <w:tcPr>
            <w:tcW w:w="1526" w:type="dxa"/>
          </w:tcPr>
          <w:p w:rsidR="00557A6F" w:rsidRDefault="00557A6F" w:rsidP="00557A6F">
            <w:r>
              <w:t>2018–2019</w:t>
            </w:r>
          </w:p>
        </w:tc>
        <w:tc>
          <w:tcPr>
            <w:tcW w:w="1276" w:type="dxa"/>
          </w:tcPr>
          <w:p w:rsidR="00557A6F" w:rsidRDefault="00557A6F" w:rsidP="00557A6F">
            <w:r>
              <w:t>55</w:t>
            </w:r>
          </w:p>
        </w:tc>
        <w:tc>
          <w:tcPr>
            <w:tcW w:w="4098" w:type="dxa"/>
          </w:tcPr>
          <w:p w:rsidR="00557A6F" w:rsidRDefault="00557A6F" w:rsidP="00557A6F">
            <w:r>
              <w:t>Opplysningsplikt for statsråder og statsse</w:t>
            </w:r>
            <w:r>
              <w:t>k</w:t>
            </w:r>
            <w:r>
              <w:t>retærer</w:t>
            </w:r>
          </w:p>
        </w:tc>
        <w:tc>
          <w:tcPr>
            <w:tcW w:w="2300" w:type="dxa"/>
          </w:tcPr>
          <w:p w:rsidR="00557A6F" w:rsidRDefault="00557A6F" w:rsidP="00557A6F">
            <w:pPr>
              <w:jc w:val="right"/>
            </w:pPr>
            <w:r>
              <w:t>Nei</w:t>
            </w:r>
          </w:p>
        </w:tc>
      </w:tr>
      <w:tr w:rsidR="00557A6F" w:rsidTr="00557A6F">
        <w:trPr>
          <w:trHeight w:val="380"/>
        </w:trPr>
        <w:tc>
          <w:tcPr>
            <w:tcW w:w="1526" w:type="dxa"/>
          </w:tcPr>
          <w:p w:rsidR="00557A6F" w:rsidRDefault="00557A6F" w:rsidP="00557A6F">
            <w:r>
              <w:t>2018–2019</w:t>
            </w:r>
          </w:p>
        </w:tc>
        <w:tc>
          <w:tcPr>
            <w:tcW w:w="1276" w:type="dxa"/>
          </w:tcPr>
          <w:p w:rsidR="00557A6F" w:rsidRDefault="00557A6F" w:rsidP="00557A6F">
            <w:r>
              <w:t>72</w:t>
            </w:r>
          </w:p>
        </w:tc>
        <w:tc>
          <w:tcPr>
            <w:tcW w:w="4098" w:type="dxa"/>
          </w:tcPr>
          <w:p w:rsidR="00557A6F" w:rsidRDefault="00557A6F" w:rsidP="00557A6F">
            <w:r>
              <w:t>Skader på kommunal og fylkeskommunal infrastruktur</w:t>
            </w:r>
          </w:p>
        </w:tc>
        <w:tc>
          <w:tcPr>
            <w:tcW w:w="2300" w:type="dxa"/>
          </w:tcPr>
          <w:p w:rsidR="00557A6F" w:rsidRDefault="00557A6F" w:rsidP="00557A6F">
            <w:pPr>
              <w:jc w:val="right"/>
            </w:pPr>
            <w:r>
              <w:t>Ja</w:t>
            </w:r>
          </w:p>
        </w:tc>
      </w:tr>
      <w:tr w:rsidR="00557A6F" w:rsidTr="00557A6F">
        <w:trPr>
          <w:trHeight w:val="380"/>
        </w:trPr>
        <w:tc>
          <w:tcPr>
            <w:tcW w:w="1526" w:type="dxa"/>
          </w:tcPr>
          <w:p w:rsidR="00557A6F" w:rsidRDefault="00557A6F" w:rsidP="00557A6F">
            <w:r>
              <w:t>2018–2019</w:t>
            </w:r>
          </w:p>
        </w:tc>
        <w:tc>
          <w:tcPr>
            <w:tcW w:w="1276" w:type="dxa"/>
          </w:tcPr>
          <w:p w:rsidR="00557A6F" w:rsidRDefault="00557A6F" w:rsidP="00557A6F">
            <w:r>
              <w:t>81</w:t>
            </w:r>
          </w:p>
        </w:tc>
        <w:tc>
          <w:tcPr>
            <w:tcW w:w="4098" w:type="dxa"/>
          </w:tcPr>
          <w:p w:rsidR="00557A6F" w:rsidRDefault="00557A6F" w:rsidP="00557A6F">
            <w:r>
              <w:t>Kompensasjonsor</w:t>
            </w:r>
            <w:r>
              <w:t>d</w:t>
            </w:r>
            <w:r>
              <w:t>ningen for bortfall av eiendom</w:t>
            </w:r>
            <w:r>
              <w:t>s</w:t>
            </w:r>
            <w:r>
              <w:t>skatt</w:t>
            </w:r>
          </w:p>
        </w:tc>
        <w:tc>
          <w:tcPr>
            <w:tcW w:w="2300" w:type="dxa"/>
          </w:tcPr>
          <w:p w:rsidR="00557A6F" w:rsidRDefault="00557A6F" w:rsidP="00557A6F">
            <w:pPr>
              <w:jc w:val="right"/>
            </w:pPr>
            <w:r>
              <w:t>Ja</w:t>
            </w:r>
          </w:p>
        </w:tc>
      </w:tr>
      <w:tr w:rsidR="00557A6F" w:rsidTr="00557A6F">
        <w:trPr>
          <w:trHeight w:val="380"/>
        </w:trPr>
        <w:tc>
          <w:tcPr>
            <w:tcW w:w="1526" w:type="dxa"/>
          </w:tcPr>
          <w:p w:rsidR="00557A6F" w:rsidRDefault="00557A6F" w:rsidP="00557A6F">
            <w:r>
              <w:t>2018–2019</w:t>
            </w:r>
          </w:p>
        </w:tc>
        <w:tc>
          <w:tcPr>
            <w:tcW w:w="1276" w:type="dxa"/>
          </w:tcPr>
          <w:p w:rsidR="00557A6F" w:rsidRDefault="00557A6F" w:rsidP="00557A6F">
            <w:r>
              <w:t>88</w:t>
            </w:r>
          </w:p>
        </w:tc>
        <w:tc>
          <w:tcPr>
            <w:tcW w:w="4098" w:type="dxa"/>
          </w:tcPr>
          <w:p w:rsidR="00557A6F" w:rsidRDefault="00557A6F" w:rsidP="00557A6F">
            <w:r>
              <w:t>Ferjeavløsningsor</w:t>
            </w:r>
            <w:r>
              <w:t>d</w:t>
            </w:r>
            <w:r>
              <w:t>ningen</w:t>
            </w:r>
          </w:p>
        </w:tc>
        <w:tc>
          <w:tcPr>
            <w:tcW w:w="2300" w:type="dxa"/>
          </w:tcPr>
          <w:p w:rsidR="00557A6F" w:rsidRDefault="00557A6F" w:rsidP="00557A6F">
            <w:pPr>
              <w:jc w:val="right"/>
            </w:pPr>
            <w:r>
              <w:t>Ja</w:t>
            </w:r>
          </w:p>
        </w:tc>
      </w:tr>
      <w:tr w:rsidR="00557A6F" w:rsidTr="00557A6F">
        <w:trPr>
          <w:trHeight w:val="380"/>
        </w:trPr>
        <w:tc>
          <w:tcPr>
            <w:tcW w:w="1526" w:type="dxa"/>
          </w:tcPr>
          <w:p w:rsidR="00557A6F" w:rsidRDefault="00557A6F" w:rsidP="00557A6F">
            <w:r>
              <w:t>2018–2019</w:t>
            </w:r>
          </w:p>
        </w:tc>
        <w:tc>
          <w:tcPr>
            <w:tcW w:w="1276" w:type="dxa"/>
          </w:tcPr>
          <w:p w:rsidR="00557A6F" w:rsidRDefault="00557A6F" w:rsidP="00557A6F">
            <w:r>
              <w:t>274</w:t>
            </w:r>
          </w:p>
        </w:tc>
        <w:tc>
          <w:tcPr>
            <w:tcW w:w="4098" w:type="dxa"/>
          </w:tcPr>
          <w:p w:rsidR="00557A6F" w:rsidRDefault="00557A6F" w:rsidP="00557A6F">
            <w:r>
              <w:t>Regionsentertilskudd</w:t>
            </w:r>
          </w:p>
        </w:tc>
        <w:tc>
          <w:tcPr>
            <w:tcW w:w="2300" w:type="dxa"/>
          </w:tcPr>
          <w:p w:rsidR="00557A6F" w:rsidRDefault="00557A6F" w:rsidP="00557A6F">
            <w:pPr>
              <w:jc w:val="right"/>
            </w:pPr>
            <w:r>
              <w:t>Ja</w:t>
            </w:r>
          </w:p>
        </w:tc>
      </w:tr>
      <w:tr w:rsidR="00557A6F" w:rsidTr="00557A6F">
        <w:trPr>
          <w:trHeight w:val="380"/>
        </w:trPr>
        <w:tc>
          <w:tcPr>
            <w:tcW w:w="1526" w:type="dxa"/>
          </w:tcPr>
          <w:p w:rsidR="00557A6F" w:rsidRDefault="00557A6F" w:rsidP="00557A6F">
            <w:r>
              <w:t>2018–2019</w:t>
            </w:r>
          </w:p>
        </w:tc>
        <w:tc>
          <w:tcPr>
            <w:tcW w:w="1276" w:type="dxa"/>
          </w:tcPr>
          <w:p w:rsidR="00557A6F" w:rsidRDefault="00557A6F" w:rsidP="00557A6F">
            <w:r>
              <w:t>508</w:t>
            </w:r>
          </w:p>
        </w:tc>
        <w:tc>
          <w:tcPr>
            <w:tcW w:w="4098" w:type="dxa"/>
          </w:tcPr>
          <w:p w:rsidR="00557A6F" w:rsidRDefault="00557A6F" w:rsidP="00557A6F">
            <w:r>
              <w:t>Sameloven</w:t>
            </w:r>
          </w:p>
        </w:tc>
        <w:tc>
          <w:tcPr>
            <w:tcW w:w="2300" w:type="dxa"/>
          </w:tcPr>
          <w:p w:rsidR="00557A6F" w:rsidRDefault="00557A6F" w:rsidP="00557A6F">
            <w:pPr>
              <w:jc w:val="right"/>
            </w:pPr>
            <w:r>
              <w:t>Nei</w:t>
            </w:r>
          </w:p>
        </w:tc>
      </w:tr>
      <w:tr w:rsidR="00557A6F" w:rsidTr="00557A6F">
        <w:trPr>
          <w:trHeight w:val="380"/>
        </w:trPr>
        <w:tc>
          <w:tcPr>
            <w:tcW w:w="1526" w:type="dxa"/>
          </w:tcPr>
          <w:p w:rsidR="00557A6F" w:rsidRDefault="00557A6F" w:rsidP="00557A6F">
            <w:r>
              <w:t>2018–2019</w:t>
            </w:r>
          </w:p>
        </w:tc>
        <w:tc>
          <w:tcPr>
            <w:tcW w:w="1276" w:type="dxa"/>
          </w:tcPr>
          <w:p w:rsidR="00557A6F" w:rsidRDefault="00557A6F" w:rsidP="00557A6F">
            <w:r>
              <w:t>609</w:t>
            </w:r>
          </w:p>
        </w:tc>
        <w:tc>
          <w:tcPr>
            <w:tcW w:w="4098" w:type="dxa"/>
          </w:tcPr>
          <w:p w:rsidR="00557A6F" w:rsidRDefault="00557A6F" w:rsidP="00557A6F">
            <w:r>
              <w:t>22. juli-senteret</w:t>
            </w:r>
          </w:p>
        </w:tc>
        <w:tc>
          <w:tcPr>
            <w:tcW w:w="2300" w:type="dxa"/>
          </w:tcPr>
          <w:p w:rsidR="00557A6F" w:rsidRDefault="00557A6F" w:rsidP="00557A6F">
            <w:pPr>
              <w:jc w:val="right"/>
            </w:pPr>
            <w:r>
              <w:t>Nei</w:t>
            </w:r>
          </w:p>
        </w:tc>
      </w:tr>
      <w:tr w:rsidR="00557A6F" w:rsidTr="00557A6F">
        <w:trPr>
          <w:trHeight w:val="380"/>
        </w:trPr>
        <w:tc>
          <w:tcPr>
            <w:tcW w:w="1526" w:type="dxa"/>
          </w:tcPr>
          <w:p w:rsidR="00557A6F" w:rsidRDefault="00557A6F" w:rsidP="00557A6F">
            <w:r>
              <w:t>2017–2018</w:t>
            </w:r>
          </w:p>
        </w:tc>
        <w:tc>
          <w:tcPr>
            <w:tcW w:w="1276" w:type="dxa"/>
          </w:tcPr>
          <w:p w:rsidR="00557A6F" w:rsidRDefault="00557A6F" w:rsidP="00557A6F">
            <w:r>
              <w:t>65</w:t>
            </w:r>
          </w:p>
        </w:tc>
        <w:tc>
          <w:tcPr>
            <w:tcW w:w="4098" w:type="dxa"/>
          </w:tcPr>
          <w:p w:rsidR="00557A6F" w:rsidRDefault="00557A6F" w:rsidP="00557A6F">
            <w:r>
              <w:t>Redusert sårbarhet i elektronisk kommun</w:t>
            </w:r>
            <w:r>
              <w:t>i</w:t>
            </w:r>
            <w:r>
              <w:t>kasjon</w:t>
            </w:r>
          </w:p>
        </w:tc>
        <w:tc>
          <w:tcPr>
            <w:tcW w:w="2300" w:type="dxa"/>
          </w:tcPr>
          <w:p w:rsidR="00557A6F" w:rsidRDefault="00557A6F" w:rsidP="00557A6F">
            <w:pPr>
              <w:jc w:val="right"/>
            </w:pPr>
            <w:r>
              <w:t>Nei</w:t>
            </w:r>
          </w:p>
        </w:tc>
      </w:tr>
      <w:tr w:rsidR="00557A6F" w:rsidTr="00557A6F">
        <w:trPr>
          <w:trHeight w:val="380"/>
        </w:trPr>
        <w:tc>
          <w:tcPr>
            <w:tcW w:w="1526" w:type="dxa"/>
          </w:tcPr>
          <w:p w:rsidR="00557A6F" w:rsidRDefault="00557A6F" w:rsidP="00557A6F">
            <w:r>
              <w:t>2017–2018</w:t>
            </w:r>
          </w:p>
        </w:tc>
        <w:tc>
          <w:tcPr>
            <w:tcW w:w="1276" w:type="dxa"/>
          </w:tcPr>
          <w:p w:rsidR="00557A6F" w:rsidRDefault="00557A6F" w:rsidP="00557A6F">
            <w:r>
              <w:t>351</w:t>
            </w:r>
          </w:p>
        </w:tc>
        <w:tc>
          <w:tcPr>
            <w:tcW w:w="4098" w:type="dxa"/>
          </w:tcPr>
          <w:p w:rsidR="00557A6F" w:rsidRDefault="00557A6F" w:rsidP="00557A6F">
            <w:r>
              <w:t>Krav til energiforsyning i byggteknisk fo</w:t>
            </w:r>
            <w:r>
              <w:t>r</w:t>
            </w:r>
            <w:r>
              <w:t>skrift</w:t>
            </w:r>
          </w:p>
        </w:tc>
        <w:tc>
          <w:tcPr>
            <w:tcW w:w="2300" w:type="dxa"/>
          </w:tcPr>
          <w:p w:rsidR="00557A6F" w:rsidRDefault="00557A6F" w:rsidP="00557A6F">
            <w:pPr>
              <w:jc w:val="right"/>
            </w:pPr>
            <w:r>
              <w:t>Ja</w:t>
            </w:r>
          </w:p>
        </w:tc>
      </w:tr>
      <w:tr w:rsidR="00557A6F" w:rsidTr="00557A6F">
        <w:trPr>
          <w:trHeight w:val="380"/>
        </w:trPr>
        <w:tc>
          <w:tcPr>
            <w:tcW w:w="1526" w:type="dxa"/>
          </w:tcPr>
          <w:p w:rsidR="00557A6F" w:rsidRDefault="00557A6F" w:rsidP="00557A6F">
            <w:r>
              <w:t>2017–2018</w:t>
            </w:r>
          </w:p>
        </w:tc>
        <w:tc>
          <w:tcPr>
            <w:tcW w:w="1276" w:type="dxa"/>
          </w:tcPr>
          <w:p w:rsidR="00557A6F" w:rsidRDefault="00557A6F" w:rsidP="00557A6F">
            <w:r>
              <w:t>648</w:t>
            </w:r>
          </w:p>
        </w:tc>
        <w:tc>
          <w:tcPr>
            <w:tcW w:w="4098" w:type="dxa"/>
          </w:tcPr>
          <w:p w:rsidR="00557A6F" w:rsidRDefault="00557A6F" w:rsidP="00557A6F">
            <w:r>
              <w:t>Habilitetsregler og bevisstgjøring om do</w:t>
            </w:r>
            <w:r>
              <w:t>b</w:t>
            </w:r>
            <w:r>
              <w:t>beltroller</w:t>
            </w:r>
          </w:p>
        </w:tc>
        <w:tc>
          <w:tcPr>
            <w:tcW w:w="2300" w:type="dxa"/>
          </w:tcPr>
          <w:p w:rsidR="00557A6F" w:rsidRDefault="00557A6F" w:rsidP="00557A6F">
            <w:pPr>
              <w:jc w:val="right"/>
            </w:pPr>
            <w:r>
              <w:t>Nei</w:t>
            </w:r>
          </w:p>
        </w:tc>
      </w:tr>
      <w:tr w:rsidR="00557A6F" w:rsidTr="00557A6F">
        <w:trPr>
          <w:trHeight w:val="380"/>
        </w:trPr>
        <w:tc>
          <w:tcPr>
            <w:tcW w:w="1526" w:type="dxa"/>
          </w:tcPr>
          <w:p w:rsidR="00557A6F" w:rsidRDefault="00557A6F" w:rsidP="00557A6F">
            <w:r>
              <w:t>2017–2018</w:t>
            </w:r>
          </w:p>
        </w:tc>
        <w:tc>
          <w:tcPr>
            <w:tcW w:w="1276" w:type="dxa"/>
          </w:tcPr>
          <w:p w:rsidR="00557A6F" w:rsidRDefault="00557A6F" w:rsidP="00557A6F">
            <w:r>
              <w:t>705</w:t>
            </w:r>
          </w:p>
        </w:tc>
        <w:tc>
          <w:tcPr>
            <w:tcW w:w="4098" w:type="dxa"/>
          </w:tcPr>
          <w:p w:rsidR="00557A6F" w:rsidRDefault="00557A6F" w:rsidP="00557A6F">
            <w:r>
              <w:t>Nytt regjeringskvartal (I)</w:t>
            </w:r>
          </w:p>
        </w:tc>
        <w:tc>
          <w:tcPr>
            <w:tcW w:w="2300" w:type="dxa"/>
          </w:tcPr>
          <w:p w:rsidR="00557A6F" w:rsidRDefault="00557A6F" w:rsidP="00557A6F">
            <w:pPr>
              <w:jc w:val="right"/>
            </w:pPr>
            <w:r>
              <w:t xml:space="preserve">Nei </w:t>
            </w:r>
          </w:p>
        </w:tc>
      </w:tr>
      <w:tr w:rsidR="00557A6F" w:rsidTr="00557A6F">
        <w:trPr>
          <w:trHeight w:val="380"/>
        </w:trPr>
        <w:tc>
          <w:tcPr>
            <w:tcW w:w="1526" w:type="dxa"/>
          </w:tcPr>
          <w:p w:rsidR="00557A6F" w:rsidRDefault="00557A6F" w:rsidP="00557A6F">
            <w:r>
              <w:t>2017–2018</w:t>
            </w:r>
          </w:p>
        </w:tc>
        <w:tc>
          <w:tcPr>
            <w:tcW w:w="1276" w:type="dxa"/>
          </w:tcPr>
          <w:p w:rsidR="00557A6F" w:rsidRDefault="00557A6F" w:rsidP="00557A6F">
            <w:r>
              <w:t>706</w:t>
            </w:r>
          </w:p>
        </w:tc>
        <w:tc>
          <w:tcPr>
            <w:tcW w:w="4098" w:type="dxa"/>
          </w:tcPr>
          <w:p w:rsidR="00557A6F" w:rsidRDefault="00557A6F" w:rsidP="00557A6F">
            <w:r>
              <w:t>Nytt regjeringskvartal (II)</w:t>
            </w:r>
          </w:p>
        </w:tc>
        <w:tc>
          <w:tcPr>
            <w:tcW w:w="2300" w:type="dxa"/>
          </w:tcPr>
          <w:p w:rsidR="00557A6F" w:rsidRDefault="00557A6F" w:rsidP="00557A6F">
            <w:pPr>
              <w:jc w:val="right"/>
            </w:pPr>
            <w:r>
              <w:t>Nei</w:t>
            </w:r>
          </w:p>
        </w:tc>
      </w:tr>
      <w:tr w:rsidR="00557A6F" w:rsidTr="00557A6F">
        <w:trPr>
          <w:trHeight w:val="380"/>
        </w:trPr>
        <w:tc>
          <w:tcPr>
            <w:tcW w:w="1526" w:type="dxa"/>
          </w:tcPr>
          <w:p w:rsidR="00557A6F" w:rsidRDefault="00557A6F" w:rsidP="00557A6F">
            <w:r>
              <w:t>2017–2018</w:t>
            </w:r>
          </w:p>
        </w:tc>
        <w:tc>
          <w:tcPr>
            <w:tcW w:w="1276" w:type="dxa"/>
          </w:tcPr>
          <w:p w:rsidR="00557A6F" w:rsidRDefault="00557A6F" w:rsidP="00557A6F">
            <w:r>
              <w:t>707</w:t>
            </w:r>
          </w:p>
        </w:tc>
        <w:tc>
          <w:tcPr>
            <w:tcW w:w="4098" w:type="dxa"/>
          </w:tcPr>
          <w:p w:rsidR="00557A6F" w:rsidRDefault="00557A6F" w:rsidP="00557A6F">
            <w:r>
              <w:t>Nytt regjeringskvartal (III)</w:t>
            </w:r>
          </w:p>
        </w:tc>
        <w:tc>
          <w:tcPr>
            <w:tcW w:w="2300" w:type="dxa"/>
          </w:tcPr>
          <w:p w:rsidR="00557A6F" w:rsidRDefault="00557A6F" w:rsidP="00557A6F">
            <w:pPr>
              <w:jc w:val="right"/>
            </w:pPr>
            <w:r>
              <w:t>Nei</w:t>
            </w:r>
          </w:p>
        </w:tc>
      </w:tr>
      <w:tr w:rsidR="00557A6F" w:rsidTr="00557A6F">
        <w:trPr>
          <w:trHeight w:val="380"/>
        </w:trPr>
        <w:tc>
          <w:tcPr>
            <w:tcW w:w="1526" w:type="dxa"/>
          </w:tcPr>
          <w:p w:rsidR="00557A6F" w:rsidRDefault="00557A6F" w:rsidP="00557A6F">
            <w:r>
              <w:t>2017–2018</w:t>
            </w:r>
          </w:p>
        </w:tc>
        <w:tc>
          <w:tcPr>
            <w:tcW w:w="1276" w:type="dxa"/>
          </w:tcPr>
          <w:p w:rsidR="00557A6F" w:rsidRDefault="00557A6F" w:rsidP="00557A6F">
            <w:r>
              <w:t>708</w:t>
            </w:r>
          </w:p>
        </w:tc>
        <w:tc>
          <w:tcPr>
            <w:tcW w:w="4098" w:type="dxa"/>
          </w:tcPr>
          <w:p w:rsidR="00557A6F" w:rsidRDefault="00557A6F" w:rsidP="00557A6F">
            <w:r>
              <w:t>Nytt regjeringskvartal (IV)</w:t>
            </w:r>
          </w:p>
        </w:tc>
        <w:tc>
          <w:tcPr>
            <w:tcW w:w="2300" w:type="dxa"/>
          </w:tcPr>
          <w:p w:rsidR="00557A6F" w:rsidRDefault="00557A6F" w:rsidP="00557A6F">
            <w:pPr>
              <w:jc w:val="right"/>
            </w:pPr>
            <w:r>
              <w:t>Nei</w:t>
            </w:r>
          </w:p>
        </w:tc>
      </w:tr>
      <w:tr w:rsidR="00557A6F" w:rsidTr="00557A6F">
        <w:trPr>
          <w:trHeight w:val="380"/>
        </w:trPr>
        <w:tc>
          <w:tcPr>
            <w:tcW w:w="1526" w:type="dxa"/>
          </w:tcPr>
          <w:p w:rsidR="00557A6F" w:rsidRDefault="00557A6F" w:rsidP="00557A6F">
            <w:r>
              <w:t>2017–2018</w:t>
            </w:r>
          </w:p>
        </w:tc>
        <w:tc>
          <w:tcPr>
            <w:tcW w:w="1276" w:type="dxa"/>
          </w:tcPr>
          <w:p w:rsidR="00557A6F" w:rsidRDefault="00557A6F" w:rsidP="00557A6F">
            <w:r>
              <w:t>709</w:t>
            </w:r>
          </w:p>
        </w:tc>
        <w:tc>
          <w:tcPr>
            <w:tcW w:w="4098" w:type="dxa"/>
          </w:tcPr>
          <w:p w:rsidR="00557A6F" w:rsidRDefault="00557A6F" w:rsidP="00557A6F">
            <w:r>
              <w:t>Nytt regjeringskvartal (V)</w:t>
            </w:r>
          </w:p>
        </w:tc>
        <w:tc>
          <w:tcPr>
            <w:tcW w:w="2300" w:type="dxa"/>
          </w:tcPr>
          <w:p w:rsidR="00557A6F" w:rsidRDefault="00557A6F" w:rsidP="00557A6F">
            <w:pPr>
              <w:jc w:val="right"/>
            </w:pPr>
            <w:r>
              <w:t>Nei</w:t>
            </w:r>
          </w:p>
        </w:tc>
      </w:tr>
      <w:tr w:rsidR="00557A6F" w:rsidTr="00557A6F">
        <w:trPr>
          <w:trHeight w:val="380"/>
        </w:trPr>
        <w:tc>
          <w:tcPr>
            <w:tcW w:w="1526" w:type="dxa"/>
          </w:tcPr>
          <w:p w:rsidR="00557A6F" w:rsidRDefault="00557A6F" w:rsidP="00557A6F">
            <w:r>
              <w:t>2017–2018</w:t>
            </w:r>
          </w:p>
        </w:tc>
        <w:tc>
          <w:tcPr>
            <w:tcW w:w="1276" w:type="dxa"/>
          </w:tcPr>
          <w:p w:rsidR="00557A6F" w:rsidRDefault="00557A6F" w:rsidP="00557A6F">
            <w:r>
              <w:t>846</w:t>
            </w:r>
          </w:p>
        </w:tc>
        <w:tc>
          <w:tcPr>
            <w:tcW w:w="4098" w:type="dxa"/>
          </w:tcPr>
          <w:p w:rsidR="00557A6F" w:rsidRDefault="00557A6F" w:rsidP="00557A6F">
            <w:r>
              <w:t>Egnede boliger til personer med ruspr</w:t>
            </w:r>
            <w:r>
              <w:t>o</w:t>
            </w:r>
            <w:r>
              <w:t>blemer</w:t>
            </w:r>
          </w:p>
        </w:tc>
        <w:tc>
          <w:tcPr>
            <w:tcW w:w="2300" w:type="dxa"/>
          </w:tcPr>
          <w:p w:rsidR="00557A6F" w:rsidRDefault="00557A6F" w:rsidP="00557A6F">
            <w:pPr>
              <w:jc w:val="right"/>
            </w:pPr>
            <w:r>
              <w:t>Ja</w:t>
            </w:r>
          </w:p>
        </w:tc>
      </w:tr>
      <w:tr w:rsidR="00557A6F" w:rsidTr="00557A6F">
        <w:trPr>
          <w:trHeight w:val="640"/>
        </w:trPr>
        <w:tc>
          <w:tcPr>
            <w:tcW w:w="1526" w:type="dxa"/>
          </w:tcPr>
          <w:p w:rsidR="00557A6F" w:rsidRDefault="00557A6F" w:rsidP="00557A6F">
            <w:r>
              <w:t>2017–2018</w:t>
            </w:r>
          </w:p>
        </w:tc>
        <w:tc>
          <w:tcPr>
            <w:tcW w:w="1276" w:type="dxa"/>
          </w:tcPr>
          <w:p w:rsidR="00557A6F" w:rsidRDefault="00557A6F" w:rsidP="00557A6F">
            <w:r>
              <w:t>857</w:t>
            </w:r>
          </w:p>
        </w:tc>
        <w:tc>
          <w:tcPr>
            <w:tcW w:w="4098" w:type="dxa"/>
          </w:tcPr>
          <w:p w:rsidR="00557A6F" w:rsidRDefault="00557A6F" w:rsidP="00557A6F">
            <w:r>
              <w:t>Kommunesektorens plikt til å gi universelt utformet i</w:t>
            </w:r>
            <w:r>
              <w:t>n</w:t>
            </w:r>
            <w:r>
              <w:t>formasjon</w:t>
            </w:r>
          </w:p>
        </w:tc>
        <w:tc>
          <w:tcPr>
            <w:tcW w:w="2300" w:type="dxa"/>
          </w:tcPr>
          <w:p w:rsidR="00557A6F" w:rsidRDefault="00557A6F" w:rsidP="00557A6F">
            <w:pPr>
              <w:jc w:val="right"/>
            </w:pPr>
            <w:r>
              <w:t>Nei</w:t>
            </w:r>
          </w:p>
        </w:tc>
      </w:tr>
      <w:tr w:rsidR="00557A6F" w:rsidTr="00557A6F">
        <w:trPr>
          <w:trHeight w:val="380"/>
        </w:trPr>
        <w:tc>
          <w:tcPr>
            <w:tcW w:w="1526" w:type="dxa"/>
          </w:tcPr>
          <w:p w:rsidR="00557A6F" w:rsidRDefault="00557A6F" w:rsidP="00557A6F">
            <w:r>
              <w:t>2017–2018</w:t>
            </w:r>
          </w:p>
        </w:tc>
        <w:tc>
          <w:tcPr>
            <w:tcW w:w="1276" w:type="dxa"/>
          </w:tcPr>
          <w:p w:rsidR="00557A6F" w:rsidRDefault="00557A6F" w:rsidP="00557A6F">
            <w:r>
              <w:t>929</w:t>
            </w:r>
          </w:p>
        </w:tc>
        <w:tc>
          <w:tcPr>
            <w:tcW w:w="4098" w:type="dxa"/>
          </w:tcPr>
          <w:p w:rsidR="00557A6F" w:rsidRDefault="00557A6F" w:rsidP="00557A6F">
            <w:r>
              <w:t>Kompensasjon for sammenslåtte komm</w:t>
            </w:r>
            <w:r>
              <w:t>u</w:t>
            </w:r>
            <w:r>
              <w:t>ner</w:t>
            </w:r>
          </w:p>
        </w:tc>
        <w:tc>
          <w:tcPr>
            <w:tcW w:w="2300" w:type="dxa"/>
          </w:tcPr>
          <w:p w:rsidR="00557A6F" w:rsidRDefault="00557A6F" w:rsidP="00557A6F">
            <w:pPr>
              <w:jc w:val="right"/>
            </w:pPr>
            <w:r>
              <w:t>Ja</w:t>
            </w:r>
          </w:p>
        </w:tc>
      </w:tr>
      <w:tr w:rsidR="00557A6F" w:rsidTr="00557A6F">
        <w:trPr>
          <w:trHeight w:val="380"/>
        </w:trPr>
        <w:tc>
          <w:tcPr>
            <w:tcW w:w="1526" w:type="dxa"/>
          </w:tcPr>
          <w:p w:rsidR="00557A6F" w:rsidRDefault="00557A6F" w:rsidP="00557A6F">
            <w:r>
              <w:lastRenderedPageBreak/>
              <w:t>2017–2018</w:t>
            </w:r>
          </w:p>
        </w:tc>
        <w:tc>
          <w:tcPr>
            <w:tcW w:w="1276" w:type="dxa"/>
          </w:tcPr>
          <w:p w:rsidR="00557A6F" w:rsidRDefault="00557A6F" w:rsidP="00557A6F">
            <w:r>
              <w:t>930</w:t>
            </w:r>
          </w:p>
        </w:tc>
        <w:tc>
          <w:tcPr>
            <w:tcW w:w="4098" w:type="dxa"/>
          </w:tcPr>
          <w:p w:rsidR="00557A6F" w:rsidRDefault="00557A6F" w:rsidP="00557A6F">
            <w:r>
              <w:t>Oppgaveoverføring til fylkeskommunene</w:t>
            </w:r>
          </w:p>
        </w:tc>
        <w:tc>
          <w:tcPr>
            <w:tcW w:w="2300" w:type="dxa"/>
          </w:tcPr>
          <w:p w:rsidR="00557A6F" w:rsidRDefault="00557A6F" w:rsidP="00557A6F">
            <w:pPr>
              <w:jc w:val="right"/>
            </w:pPr>
            <w:r>
              <w:t>Ja</w:t>
            </w:r>
          </w:p>
        </w:tc>
      </w:tr>
      <w:tr w:rsidR="00557A6F" w:rsidTr="00557A6F">
        <w:trPr>
          <w:trHeight w:val="380"/>
        </w:trPr>
        <w:tc>
          <w:tcPr>
            <w:tcW w:w="1526" w:type="dxa"/>
          </w:tcPr>
          <w:p w:rsidR="00557A6F" w:rsidRDefault="00557A6F" w:rsidP="00557A6F">
            <w:r>
              <w:t>2017–2018</w:t>
            </w:r>
          </w:p>
        </w:tc>
        <w:tc>
          <w:tcPr>
            <w:tcW w:w="1276" w:type="dxa"/>
          </w:tcPr>
          <w:p w:rsidR="00557A6F" w:rsidRDefault="00557A6F" w:rsidP="00557A6F">
            <w:r>
              <w:t>932</w:t>
            </w:r>
          </w:p>
        </w:tc>
        <w:tc>
          <w:tcPr>
            <w:tcW w:w="4098" w:type="dxa"/>
          </w:tcPr>
          <w:p w:rsidR="00557A6F" w:rsidRDefault="00557A6F" w:rsidP="00557A6F">
            <w:r>
              <w:t>Gjennomgang av kommunenes inntekt</w:t>
            </w:r>
            <w:r>
              <w:t>s</w:t>
            </w:r>
            <w:r>
              <w:t>system</w:t>
            </w:r>
          </w:p>
        </w:tc>
        <w:tc>
          <w:tcPr>
            <w:tcW w:w="2300" w:type="dxa"/>
          </w:tcPr>
          <w:p w:rsidR="00557A6F" w:rsidRDefault="00557A6F" w:rsidP="00557A6F">
            <w:pPr>
              <w:jc w:val="right"/>
            </w:pPr>
            <w:r>
              <w:t>Nei</w:t>
            </w:r>
          </w:p>
        </w:tc>
      </w:tr>
      <w:tr w:rsidR="00557A6F" w:rsidTr="00557A6F">
        <w:trPr>
          <w:trHeight w:val="380"/>
        </w:trPr>
        <w:tc>
          <w:tcPr>
            <w:tcW w:w="1526" w:type="dxa"/>
          </w:tcPr>
          <w:p w:rsidR="00557A6F" w:rsidRDefault="00557A6F" w:rsidP="00557A6F">
            <w:r>
              <w:t>2016–2017</w:t>
            </w:r>
          </w:p>
        </w:tc>
        <w:tc>
          <w:tcPr>
            <w:tcW w:w="1276" w:type="dxa"/>
          </w:tcPr>
          <w:p w:rsidR="00557A6F" w:rsidRDefault="00557A6F" w:rsidP="00557A6F">
            <w:r>
              <w:t>700</w:t>
            </w:r>
          </w:p>
        </w:tc>
        <w:tc>
          <w:tcPr>
            <w:tcW w:w="4098" w:type="dxa"/>
          </w:tcPr>
          <w:p w:rsidR="00557A6F" w:rsidRDefault="00557A6F" w:rsidP="00557A6F">
            <w:r>
              <w:t>Stryke listekandidater</w:t>
            </w:r>
          </w:p>
        </w:tc>
        <w:tc>
          <w:tcPr>
            <w:tcW w:w="2300" w:type="dxa"/>
          </w:tcPr>
          <w:p w:rsidR="00557A6F" w:rsidRDefault="00557A6F" w:rsidP="00557A6F">
            <w:pPr>
              <w:jc w:val="right"/>
            </w:pPr>
            <w:r>
              <w:t>Nei</w:t>
            </w:r>
          </w:p>
        </w:tc>
      </w:tr>
      <w:tr w:rsidR="00557A6F" w:rsidTr="00557A6F">
        <w:trPr>
          <w:trHeight w:val="380"/>
        </w:trPr>
        <w:tc>
          <w:tcPr>
            <w:tcW w:w="1526" w:type="dxa"/>
          </w:tcPr>
          <w:p w:rsidR="00557A6F" w:rsidRDefault="00557A6F" w:rsidP="00557A6F">
            <w:r>
              <w:t>2016–2017</w:t>
            </w:r>
          </w:p>
        </w:tc>
        <w:tc>
          <w:tcPr>
            <w:tcW w:w="1276" w:type="dxa"/>
          </w:tcPr>
          <w:p w:rsidR="00557A6F" w:rsidRDefault="00557A6F" w:rsidP="00557A6F">
            <w:r>
              <w:t>705</w:t>
            </w:r>
          </w:p>
        </w:tc>
        <w:tc>
          <w:tcPr>
            <w:tcW w:w="4098" w:type="dxa"/>
          </w:tcPr>
          <w:p w:rsidR="00557A6F" w:rsidRDefault="00557A6F" w:rsidP="00557A6F">
            <w:r>
              <w:t>Hyblifisering</w:t>
            </w:r>
          </w:p>
        </w:tc>
        <w:tc>
          <w:tcPr>
            <w:tcW w:w="2300" w:type="dxa"/>
          </w:tcPr>
          <w:p w:rsidR="00557A6F" w:rsidRDefault="00557A6F" w:rsidP="00557A6F">
            <w:pPr>
              <w:jc w:val="right"/>
            </w:pPr>
            <w:r>
              <w:t>Nei</w:t>
            </w:r>
          </w:p>
        </w:tc>
      </w:tr>
      <w:tr w:rsidR="00557A6F" w:rsidTr="00557A6F">
        <w:trPr>
          <w:trHeight w:val="380"/>
        </w:trPr>
        <w:tc>
          <w:tcPr>
            <w:tcW w:w="1526" w:type="dxa"/>
          </w:tcPr>
          <w:p w:rsidR="00557A6F" w:rsidRDefault="00557A6F" w:rsidP="00557A6F">
            <w:r>
              <w:t>2016–2017</w:t>
            </w:r>
          </w:p>
        </w:tc>
        <w:tc>
          <w:tcPr>
            <w:tcW w:w="1276" w:type="dxa"/>
          </w:tcPr>
          <w:p w:rsidR="00557A6F" w:rsidRDefault="00557A6F" w:rsidP="00557A6F">
            <w:r>
              <w:t>706</w:t>
            </w:r>
          </w:p>
        </w:tc>
        <w:tc>
          <w:tcPr>
            <w:tcW w:w="4098" w:type="dxa"/>
          </w:tcPr>
          <w:p w:rsidR="00557A6F" w:rsidRDefault="00557A6F" w:rsidP="00557A6F">
            <w:r>
              <w:t>Korttidsutleie av b</w:t>
            </w:r>
            <w:r>
              <w:t>o</w:t>
            </w:r>
            <w:r>
              <w:t>ligseksjoner</w:t>
            </w:r>
          </w:p>
        </w:tc>
        <w:tc>
          <w:tcPr>
            <w:tcW w:w="2300" w:type="dxa"/>
          </w:tcPr>
          <w:p w:rsidR="00557A6F" w:rsidRDefault="00557A6F" w:rsidP="00557A6F">
            <w:pPr>
              <w:jc w:val="right"/>
            </w:pPr>
            <w:r>
              <w:t>Ja</w:t>
            </w:r>
          </w:p>
        </w:tc>
      </w:tr>
      <w:tr w:rsidR="00557A6F" w:rsidTr="00557A6F">
        <w:trPr>
          <w:trHeight w:val="380"/>
        </w:trPr>
        <w:tc>
          <w:tcPr>
            <w:tcW w:w="1526" w:type="dxa"/>
          </w:tcPr>
          <w:p w:rsidR="00557A6F" w:rsidRDefault="00557A6F" w:rsidP="00557A6F">
            <w:r>
              <w:t>2016–2017</w:t>
            </w:r>
          </w:p>
        </w:tc>
        <w:tc>
          <w:tcPr>
            <w:tcW w:w="1276" w:type="dxa"/>
          </w:tcPr>
          <w:p w:rsidR="00557A6F" w:rsidRDefault="00557A6F" w:rsidP="00557A6F">
            <w:r>
              <w:t>707</w:t>
            </w:r>
          </w:p>
        </w:tc>
        <w:tc>
          <w:tcPr>
            <w:tcW w:w="4098" w:type="dxa"/>
          </w:tcPr>
          <w:p w:rsidR="00557A6F" w:rsidRDefault="00557A6F" w:rsidP="00557A6F">
            <w:r>
              <w:t>Ervervsbegrensning i boligsameier</w:t>
            </w:r>
          </w:p>
        </w:tc>
        <w:tc>
          <w:tcPr>
            <w:tcW w:w="2300" w:type="dxa"/>
          </w:tcPr>
          <w:p w:rsidR="00557A6F" w:rsidRDefault="00557A6F" w:rsidP="00557A6F">
            <w:pPr>
              <w:jc w:val="right"/>
            </w:pPr>
            <w:r>
              <w:t>Ja</w:t>
            </w:r>
          </w:p>
        </w:tc>
      </w:tr>
      <w:tr w:rsidR="00557A6F" w:rsidTr="00557A6F">
        <w:trPr>
          <w:trHeight w:val="380"/>
        </w:trPr>
        <w:tc>
          <w:tcPr>
            <w:tcW w:w="1526" w:type="dxa"/>
          </w:tcPr>
          <w:p w:rsidR="00557A6F" w:rsidRDefault="00557A6F" w:rsidP="00557A6F">
            <w:r>
              <w:t>2016–2017</w:t>
            </w:r>
          </w:p>
        </w:tc>
        <w:tc>
          <w:tcPr>
            <w:tcW w:w="1276" w:type="dxa"/>
          </w:tcPr>
          <w:p w:rsidR="00557A6F" w:rsidRDefault="00557A6F" w:rsidP="00557A6F">
            <w:r>
              <w:t>716</w:t>
            </w:r>
          </w:p>
        </w:tc>
        <w:tc>
          <w:tcPr>
            <w:tcW w:w="4098" w:type="dxa"/>
          </w:tcPr>
          <w:p w:rsidR="00557A6F" w:rsidRDefault="00557A6F" w:rsidP="00557A6F">
            <w:r>
              <w:t>Ladepunkt i borettslag og sameier</w:t>
            </w:r>
          </w:p>
        </w:tc>
        <w:tc>
          <w:tcPr>
            <w:tcW w:w="2300" w:type="dxa"/>
          </w:tcPr>
          <w:p w:rsidR="00557A6F" w:rsidRDefault="00557A6F" w:rsidP="00557A6F">
            <w:pPr>
              <w:jc w:val="right"/>
            </w:pPr>
            <w:r>
              <w:t>Nei</w:t>
            </w:r>
          </w:p>
        </w:tc>
      </w:tr>
      <w:tr w:rsidR="00557A6F" w:rsidTr="00557A6F">
        <w:trPr>
          <w:trHeight w:val="380"/>
        </w:trPr>
        <w:tc>
          <w:tcPr>
            <w:tcW w:w="1526" w:type="dxa"/>
          </w:tcPr>
          <w:p w:rsidR="00557A6F" w:rsidRDefault="00557A6F" w:rsidP="00557A6F">
            <w:r>
              <w:t>2016–2017</w:t>
            </w:r>
          </w:p>
        </w:tc>
        <w:tc>
          <w:tcPr>
            <w:tcW w:w="1276" w:type="dxa"/>
          </w:tcPr>
          <w:p w:rsidR="00557A6F" w:rsidRDefault="00557A6F" w:rsidP="00557A6F">
            <w:r>
              <w:t>717</w:t>
            </w:r>
          </w:p>
        </w:tc>
        <w:tc>
          <w:tcPr>
            <w:tcW w:w="4098" w:type="dxa"/>
          </w:tcPr>
          <w:p w:rsidR="00557A6F" w:rsidRDefault="00557A6F" w:rsidP="00557A6F">
            <w:r>
              <w:t>Ladeklare bygg</w:t>
            </w:r>
          </w:p>
        </w:tc>
        <w:tc>
          <w:tcPr>
            <w:tcW w:w="2300" w:type="dxa"/>
          </w:tcPr>
          <w:p w:rsidR="00557A6F" w:rsidRDefault="00557A6F" w:rsidP="00557A6F">
            <w:pPr>
              <w:jc w:val="right"/>
            </w:pPr>
            <w:r>
              <w:t>Nei</w:t>
            </w:r>
          </w:p>
        </w:tc>
      </w:tr>
      <w:tr w:rsidR="00557A6F" w:rsidTr="00557A6F">
        <w:trPr>
          <w:trHeight w:val="380"/>
        </w:trPr>
        <w:tc>
          <w:tcPr>
            <w:tcW w:w="1526" w:type="dxa"/>
          </w:tcPr>
          <w:p w:rsidR="00557A6F" w:rsidRDefault="00557A6F" w:rsidP="00557A6F">
            <w:r>
              <w:t>2016–2017</w:t>
            </w:r>
          </w:p>
        </w:tc>
        <w:tc>
          <w:tcPr>
            <w:tcW w:w="1276" w:type="dxa"/>
          </w:tcPr>
          <w:p w:rsidR="00557A6F" w:rsidRDefault="00557A6F" w:rsidP="00557A6F">
            <w:r>
              <w:t>845</w:t>
            </w:r>
          </w:p>
        </w:tc>
        <w:tc>
          <w:tcPr>
            <w:tcW w:w="4098" w:type="dxa"/>
          </w:tcPr>
          <w:p w:rsidR="00557A6F" w:rsidRDefault="00557A6F" w:rsidP="00557A6F">
            <w:r>
              <w:t>Sørsamisk språk</w:t>
            </w:r>
          </w:p>
        </w:tc>
        <w:tc>
          <w:tcPr>
            <w:tcW w:w="2300" w:type="dxa"/>
          </w:tcPr>
          <w:p w:rsidR="00557A6F" w:rsidRDefault="00557A6F" w:rsidP="00557A6F">
            <w:pPr>
              <w:jc w:val="right"/>
            </w:pPr>
            <w:r>
              <w:t>Nei</w:t>
            </w:r>
          </w:p>
        </w:tc>
      </w:tr>
      <w:tr w:rsidR="00557A6F" w:rsidTr="00557A6F">
        <w:trPr>
          <w:trHeight w:val="380"/>
        </w:trPr>
        <w:tc>
          <w:tcPr>
            <w:tcW w:w="1526" w:type="dxa"/>
          </w:tcPr>
          <w:p w:rsidR="00557A6F" w:rsidRDefault="00557A6F" w:rsidP="00557A6F">
            <w:r>
              <w:t>2016–2017</w:t>
            </w:r>
          </w:p>
        </w:tc>
        <w:tc>
          <w:tcPr>
            <w:tcW w:w="1276" w:type="dxa"/>
          </w:tcPr>
          <w:p w:rsidR="00557A6F" w:rsidRDefault="00557A6F" w:rsidP="00557A6F">
            <w:r>
              <w:t>872</w:t>
            </w:r>
          </w:p>
        </w:tc>
        <w:tc>
          <w:tcPr>
            <w:tcW w:w="4098" w:type="dxa"/>
          </w:tcPr>
          <w:p w:rsidR="00557A6F" w:rsidRDefault="00557A6F" w:rsidP="00557A6F">
            <w:r>
              <w:t>Midlertidige ansettelser i staten</w:t>
            </w:r>
          </w:p>
        </w:tc>
        <w:tc>
          <w:tcPr>
            <w:tcW w:w="2300" w:type="dxa"/>
          </w:tcPr>
          <w:p w:rsidR="00557A6F" w:rsidRDefault="00557A6F" w:rsidP="00557A6F">
            <w:pPr>
              <w:jc w:val="right"/>
            </w:pPr>
            <w:r>
              <w:t>Ja</w:t>
            </w:r>
          </w:p>
        </w:tc>
      </w:tr>
      <w:tr w:rsidR="00557A6F" w:rsidTr="00557A6F">
        <w:trPr>
          <w:trHeight w:val="380"/>
        </w:trPr>
        <w:tc>
          <w:tcPr>
            <w:tcW w:w="1526" w:type="dxa"/>
          </w:tcPr>
          <w:p w:rsidR="00557A6F" w:rsidRDefault="00557A6F" w:rsidP="00557A6F">
            <w:r>
              <w:t>2016–2017</w:t>
            </w:r>
          </w:p>
        </w:tc>
        <w:tc>
          <w:tcPr>
            <w:tcW w:w="1276" w:type="dxa"/>
          </w:tcPr>
          <w:p w:rsidR="00557A6F" w:rsidRDefault="00557A6F" w:rsidP="00557A6F">
            <w:r>
              <w:t>1004</w:t>
            </w:r>
          </w:p>
        </w:tc>
        <w:tc>
          <w:tcPr>
            <w:tcW w:w="4098" w:type="dxa"/>
          </w:tcPr>
          <w:p w:rsidR="00557A6F" w:rsidRDefault="00557A6F" w:rsidP="00557A6F">
            <w:r>
              <w:t>Samarbeid mellom staten og private akt</w:t>
            </w:r>
            <w:r>
              <w:t>ø</w:t>
            </w:r>
            <w:r>
              <w:t>rer</w:t>
            </w:r>
          </w:p>
        </w:tc>
        <w:tc>
          <w:tcPr>
            <w:tcW w:w="2300" w:type="dxa"/>
          </w:tcPr>
          <w:p w:rsidR="00557A6F" w:rsidRDefault="00557A6F" w:rsidP="00557A6F">
            <w:pPr>
              <w:jc w:val="right"/>
            </w:pPr>
            <w:r>
              <w:t>Ja</w:t>
            </w:r>
          </w:p>
        </w:tc>
      </w:tr>
      <w:tr w:rsidR="00557A6F" w:rsidTr="00557A6F">
        <w:trPr>
          <w:trHeight w:val="380"/>
        </w:trPr>
        <w:tc>
          <w:tcPr>
            <w:tcW w:w="1526" w:type="dxa"/>
          </w:tcPr>
          <w:p w:rsidR="00557A6F" w:rsidRDefault="00557A6F" w:rsidP="00557A6F">
            <w:r>
              <w:t>2016–2017</w:t>
            </w:r>
          </w:p>
        </w:tc>
        <w:tc>
          <w:tcPr>
            <w:tcW w:w="1276" w:type="dxa"/>
          </w:tcPr>
          <w:p w:rsidR="00557A6F" w:rsidRDefault="00557A6F" w:rsidP="00557A6F">
            <w:r>
              <w:t>1108</w:t>
            </w:r>
          </w:p>
        </w:tc>
        <w:tc>
          <w:tcPr>
            <w:tcW w:w="4098" w:type="dxa"/>
          </w:tcPr>
          <w:p w:rsidR="00557A6F" w:rsidRDefault="00557A6F" w:rsidP="00557A6F">
            <w:r>
              <w:t>Overføring av eiendom</w:t>
            </w:r>
          </w:p>
        </w:tc>
        <w:tc>
          <w:tcPr>
            <w:tcW w:w="2300" w:type="dxa"/>
          </w:tcPr>
          <w:p w:rsidR="00557A6F" w:rsidRDefault="00557A6F" w:rsidP="00557A6F">
            <w:pPr>
              <w:jc w:val="right"/>
            </w:pPr>
            <w:r>
              <w:t>Ja</w:t>
            </w:r>
          </w:p>
        </w:tc>
      </w:tr>
      <w:tr w:rsidR="00557A6F" w:rsidTr="00557A6F">
        <w:trPr>
          <w:trHeight w:val="640"/>
        </w:trPr>
        <w:tc>
          <w:tcPr>
            <w:tcW w:w="1526" w:type="dxa"/>
          </w:tcPr>
          <w:p w:rsidR="00557A6F" w:rsidRDefault="00557A6F" w:rsidP="00557A6F">
            <w:r>
              <w:t>2015–2016</w:t>
            </w:r>
          </w:p>
        </w:tc>
        <w:tc>
          <w:tcPr>
            <w:tcW w:w="1276" w:type="dxa"/>
          </w:tcPr>
          <w:p w:rsidR="00557A6F" w:rsidRDefault="00557A6F" w:rsidP="00557A6F">
            <w:r>
              <w:t>590</w:t>
            </w:r>
          </w:p>
        </w:tc>
        <w:tc>
          <w:tcPr>
            <w:tcW w:w="4098" w:type="dxa"/>
          </w:tcPr>
          <w:p w:rsidR="00557A6F" w:rsidRDefault="00557A6F" w:rsidP="00557A6F">
            <w:r>
              <w:t>Registrering av øk</w:t>
            </w:r>
            <w:r>
              <w:t>o</w:t>
            </w:r>
            <w:r>
              <w:t>nomiske interesser for departement</w:t>
            </w:r>
            <w:r>
              <w:t>s</w:t>
            </w:r>
            <w:r>
              <w:t>råder</w:t>
            </w:r>
          </w:p>
        </w:tc>
        <w:tc>
          <w:tcPr>
            <w:tcW w:w="2300" w:type="dxa"/>
          </w:tcPr>
          <w:p w:rsidR="00557A6F" w:rsidRDefault="00557A6F" w:rsidP="00557A6F">
            <w:pPr>
              <w:jc w:val="right"/>
            </w:pPr>
            <w:r>
              <w:t>Nei</w:t>
            </w:r>
          </w:p>
        </w:tc>
      </w:tr>
      <w:tr w:rsidR="00557A6F" w:rsidTr="00557A6F">
        <w:trPr>
          <w:trHeight w:val="380"/>
        </w:trPr>
        <w:tc>
          <w:tcPr>
            <w:tcW w:w="1526" w:type="dxa"/>
          </w:tcPr>
          <w:p w:rsidR="00557A6F" w:rsidRDefault="00557A6F" w:rsidP="00557A6F">
            <w:r>
              <w:t>2015–2016</w:t>
            </w:r>
          </w:p>
        </w:tc>
        <w:tc>
          <w:tcPr>
            <w:tcW w:w="1276" w:type="dxa"/>
          </w:tcPr>
          <w:p w:rsidR="00557A6F" w:rsidRDefault="00557A6F" w:rsidP="00557A6F">
            <w:r>
              <w:t>642</w:t>
            </w:r>
          </w:p>
        </w:tc>
        <w:tc>
          <w:tcPr>
            <w:tcW w:w="4098" w:type="dxa"/>
          </w:tcPr>
          <w:p w:rsidR="00557A6F" w:rsidRDefault="00557A6F" w:rsidP="00557A6F">
            <w:r>
              <w:t>Fjernvarmeanlegg i nye bygninger</w:t>
            </w:r>
          </w:p>
        </w:tc>
        <w:tc>
          <w:tcPr>
            <w:tcW w:w="2300" w:type="dxa"/>
          </w:tcPr>
          <w:p w:rsidR="00557A6F" w:rsidRDefault="00557A6F" w:rsidP="00557A6F">
            <w:pPr>
              <w:jc w:val="right"/>
            </w:pPr>
            <w:r>
              <w:t>Ja</w:t>
            </w:r>
          </w:p>
        </w:tc>
      </w:tr>
      <w:tr w:rsidR="00557A6F" w:rsidTr="00557A6F">
        <w:trPr>
          <w:trHeight w:val="380"/>
        </w:trPr>
        <w:tc>
          <w:tcPr>
            <w:tcW w:w="1526" w:type="dxa"/>
          </w:tcPr>
          <w:p w:rsidR="00557A6F" w:rsidRDefault="00557A6F" w:rsidP="00557A6F">
            <w:r>
              <w:t>2015–2016</w:t>
            </w:r>
          </w:p>
        </w:tc>
        <w:tc>
          <w:tcPr>
            <w:tcW w:w="1276" w:type="dxa"/>
          </w:tcPr>
          <w:p w:rsidR="00557A6F" w:rsidRDefault="00557A6F" w:rsidP="00557A6F">
            <w:r>
              <w:t>644</w:t>
            </w:r>
          </w:p>
        </w:tc>
        <w:tc>
          <w:tcPr>
            <w:tcW w:w="4098" w:type="dxa"/>
          </w:tcPr>
          <w:p w:rsidR="00557A6F" w:rsidRDefault="00557A6F" w:rsidP="00557A6F">
            <w:r>
              <w:t>Energiforsyning i store bygg</w:t>
            </w:r>
          </w:p>
        </w:tc>
        <w:tc>
          <w:tcPr>
            <w:tcW w:w="2300" w:type="dxa"/>
          </w:tcPr>
          <w:p w:rsidR="00557A6F" w:rsidRDefault="00557A6F" w:rsidP="00557A6F">
            <w:pPr>
              <w:jc w:val="right"/>
            </w:pPr>
            <w:r>
              <w:t>Ja</w:t>
            </w:r>
          </w:p>
        </w:tc>
      </w:tr>
      <w:tr w:rsidR="00557A6F" w:rsidTr="00557A6F">
        <w:trPr>
          <w:trHeight w:val="640"/>
        </w:trPr>
        <w:tc>
          <w:tcPr>
            <w:tcW w:w="1526" w:type="dxa"/>
          </w:tcPr>
          <w:p w:rsidR="00557A6F" w:rsidRDefault="00557A6F" w:rsidP="00557A6F">
            <w:r>
              <w:t>2015–2016</w:t>
            </w:r>
          </w:p>
        </w:tc>
        <w:tc>
          <w:tcPr>
            <w:tcW w:w="1276" w:type="dxa"/>
          </w:tcPr>
          <w:p w:rsidR="00557A6F" w:rsidRDefault="00557A6F" w:rsidP="00557A6F">
            <w:r>
              <w:t>646</w:t>
            </w:r>
          </w:p>
        </w:tc>
        <w:tc>
          <w:tcPr>
            <w:tcW w:w="4098" w:type="dxa"/>
          </w:tcPr>
          <w:p w:rsidR="00557A6F" w:rsidRDefault="00557A6F" w:rsidP="00557A6F">
            <w:r>
              <w:t>Fravikelse av plan- og bygningsloven og grannelova ved nasjonal flyk</w:t>
            </w:r>
            <w:r>
              <w:t>t</w:t>
            </w:r>
            <w:r>
              <w:t>ningkrise</w:t>
            </w:r>
          </w:p>
        </w:tc>
        <w:tc>
          <w:tcPr>
            <w:tcW w:w="2300" w:type="dxa"/>
          </w:tcPr>
          <w:p w:rsidR="00557A6F" w:rsidRDefault="00557A6F" w:rsidP="00557A6F">
            <w:pPr>
              <w:jc w:val="right"/>
            </w:pPr>
            <w:r>
              <w:t>Nei</w:t>
            </w:r>
          </w:p>
        </w:tc>
      </w:tr>
      <w:tr w:rsidR="00557A6F" w:rsidTr="00557A6F">
        <w:trPr>
          <w:trHeight w:val="380"/>
        </w:trPr>
        <w:tc>
          <w:tcPr>
            <w:tcW w:w="1526" w:type="dxa"/>
          </w:tcPr>
          <w:p w:rsidR="00557A6F" w:rsidRDefault="00557A6F" w:rsidP="00557A6F">
            <w:r>
              <w:t>2015–2016</w:t>
            </w:r>
          </w:p>
        </w:tc>
        <w:tc>
          <w:tcPr>
            <w:tcW w:w="1276" w:type="dxa"/>
          </w:tcPr>
          <w:p w:rsidR="00557A6F" w:rsidRDefault="00557A6F" w:rsidP="00557A6F">
            <w:r>
              <w:t>861</w:t>
            </w:r>
          </w:p>
        </w:tc>
        <w:tc>
          <w:tcPr>
            <w:tcW w:w="4098" w:type="dxa"/>
          </w:tcPr>
          <w:p w:rsidR="00557A6F" w:rsidRDefault="00557A6F" w:rsidP="00557A6F">
            <w:r>
              <w:t>Endringer i valgloven</w:t>
            </w:r>
          </w:p>
        </w:tc>
        <w:tc>
          <w:tcPr>
            <w:tcW w:w="2300" w:type="dxa"/>
          </w:tcPr>
          <w:p w:rsidR="00557A6F" w:rsidRDefault="00557A6F" w:rsidP="00557A6F">
            <w:pPr>
              <w:jc w:val="right"/>
            </w:pPr>
            <w:r>
              <w:t>Nei</w:t>
            </w:r>
          </w:p>
        </w:tc>
      </w:tr>
    </w:tbl>
    <w:p w:rsidR="00557A6F" w:rsidRDefault="00557A6F" w:rsidP="00557A6F">
      <w:pPr>
        <w:pStyle w:val="avsnitt-tittel"/>
      </w:pPr>
      <w:r>
        <w:t>Stortingssesjon 2018–2019</w:t>
      </w:r>
    </w:p>
    <w:p w:rsidR="00557A6F" w:rsidRDefault="00557A6F" w:rsidP="00557A6F">
      <w:pPr>
        <w:pStyle w:val="avsnitt-tittel"/>
      </w:pPr>
      <w:r>
        <w:t>Opplysningsplikt for statsråder og statssekretærer</w:t>
      </w:r>
    </w:p>
    <w:p w:rsidR="00557A6F" w:rsidRDefault="00557A6F" w:rsidP="00557A6F">
      <w:pPr>
        <w:pStyle w:val="avsnitt-undertittel"/>
      </w:pPr>
      <w:r>
        <w:t>Vedtak nr. 55, 27. november 2018</w:t>
      </w:r>
    </w:p>
    <w:p w:rsidR="00557A6F" w:rsidRDefault="00557A6F" w:rsidP="00557A6F">
      <w:pPr>
        <w:pStyle w:val="blokksit"/>
      </w:pPr>
      <w:r>
        <w:t>«Stortinget ber regjeringen utrede og sende på høring forslag om endring i lov om registrering av regjeringsmedlemmers verv og økonomiske interesserer. Herunder opplysningsplikt for statsr</w:t>
      </w:r>
      <w:r>
        <w:t>å</w:t>
      </w:r>
      <w:r>
        <w:t>der og statssekretærer til å registrere sine tidligere oppdragsgivere og oppdragenes innhold der vedkommende, de siste to år før tiltredelse, har arbeidet med å fremme politiske eller næring</w:t>
      </w:r>
      <w:r>
        <w:t>s</w:t>
      </w:r>
      <w:r>
        <w:t>messige interesser.»</w:t>
      </w:r>
    </w:p>
    <w:p w:rsidR="00557A6F" w:rsidRDefault="00557A6F" w:rsidP="00557A6F">
      <w:r>
        <w:lastRenderedPageBreak/>
        <w:t>Dokumentene som ligger til grunn for vedtaket er representantforslag fra stortingsrepresentantene Karin Andersen, Torgeir Knag Fylkesnes, Kari Elisabeth Kaski, Gina Barstad og Marius Meisfjord Jøsevold om opplysningsplikt for statsråder og statssekretærer, jf. Dokument 8:108 LS (2017–2018) og Innst. 54 L (2018–2019).</w:t>
      </w:r>
    </w:p>
    <w:p w:rsidR="00557A6F" w:rsidRDefault="00557A6F" w:rsidP="00557A6F">
      <w:r>
        <w:t>Kommunal- og moderniseringsdepartementet vil sette ned en arbeidsgruppe for å utrede forslaget. Arbeidsgruppen vil bli ledet av Regjeringsadvokaten og ha medlemmer fra Lovavdelingen og Kommunal- og moderniseringsdepartementet. Arbeidsgruppen gis en frist på inntil ett år på arbe</w:t>
      </w:r>
      <w:r>
        <w:t>i</w:t>
      </w:r>
      <w:r>
        <w:t>det. Departementet vil komme tilbake til Stortinget med saken på egnet måte.</w:t>
      </w:r>
    </w:p>
    <w:p w:rsidR="00557A6F" w:rsidRDefault="00557A6F" w:rsidP="00557A6F">
      <w:pPr>
        <w:pStyle w:val="avsnitt-tittel"/>
      </w:pPr>
      <w:r>
        <w:t>Skader på kommunal og fylkeskommunal infrastruktur</w:t>
      </w:r>
    </w:p>
    <w:p w:rsidR="00557A6F" w:rsidRDefault="00557A6F" w:rsidP="00557A6F">
      <w:pPr>
        <w:pStyle w:val="avsnitt-undertittel"/>
      </w:pPr>
      <w:r>
        <w:t>Vedtak nr. 72, 3. desember 2018</w:t>
      </w:r>
    </w:p>
    <w:p w:rsidR="00557A6F" w:rsidRDefault="00557A6F" w:rsidP="00557A6F">
      <w:pPr>
        <w:pStyle w:val="blokksit"/>
      </w:pPr>
      <w:r>
        <w:t>«Stortinget ber regjeringen gjennomgå dagens statlige ordninger for forebygging og reparasjon av skader på kommunal og fylkeskommunal infrastruktur i lys av økt forekomst av flom og ras.»</w:t>
      </w:r>
    </w:p>
    <w:p w:rsidR="00557A6F" w:rsidRDefault="00557A6F" w:rsidP="00557A6F">
      <w:r>
        <w:t>Dokumentene som ligger til grunn for vedtaket er Prop. 1 S Tillegg 3 (2018–2019) og Innst. 2 S (2018–2019).</w:t>
      </w:r>
    </w:p>
    <w:p w:rsidR="00557A6F" w:rsidRDefault="00557A6F" w:rsidP="00557A6F">
      <w:r>
        <w:t xml:space="preserve">Anmodningsvedtaket er ivaretatt gjennom Stortingets behandling av Prop. 113 S (2018–2019) </w:t>
      </w:r>
      <w:r>
        <w:rPr>
          <w:rStyle w:val="kursiv"/>
          <w:sz w:val="21"/>
          <w:szCs w:val="21"/>
        </w:rPr>
        <w:t>Kommuneproposisjonen 2020</w:t>
      </w:r>
      <w:r>
        <w:t>, jf. Innst. 405 S (2018–2019). Departementet anser med dette at anmo</w:t>
      </w:r>
      <w:r>
        <w:t>d</w:t>
      </w:r>
      <w:r>
        <w:t>ningsvedtaket er fulgt opp.</w:t>
      </w:r>
    </w:p>
    <w:p w:rsidR="00557A6F" w:rsidRDefault="00557A6F" w:rsidP="00557A6F">
      <w:pPr>
        <w:pStyle w:val="avsnitt-tittel"/>
      </w:pPr>
      <w:r>
        <w:t>Kompensasjonsordningen for bortfall av eiendomsskatt</w:t>
      </w:r>
    </w:p>
    <w:p w:rsidR="00557A6F" w:rsidRDefault="00557A6F" w:rsidP="00557A6F">
      <w:pPr>
        <w:pStyle w:val="avsnitt-undertittel"/>
      </w:pPr>
      <w:r>
        <w:t>Vedtak nr. 81, 3. desember 2018</w:t>
      </w:r>
    </w:p>
    <w:p w:rsidR="00557A6F" w:rsidRDefault="00557A6F" w:rsidP="00557A6F">
      <w:pPr>
        <w:pStyle w:val="blokksit"/>
      </w:pPr>
      <w:r>
        <w:t>«Stortinget ber regjeringen komme tilbake i forbindelse med revidert nasjonalbudsjett for 2019 med en ny vurdering av størrelsen på kompensasjonsordningen for bortfall av eiendomsskatt på produksjonsutstyr og installasjoner, basert på resultatet av kommunenes retaksering.»</w:t>
      </w:r>
    </w:p>
    <w:p w:rsidR="00557A6F" w:rsidRDefault="00557A6F" w:rsidP="00557A6F">
      <w:r>
        <w:t>Dokumentene som ligger til grunn for vedtaket er Prop. 1 S Tillegg 3 (2018–2019) og Innst. 2 S (2018–2019).</w:t>
      </w:r>
    </w:p>
    <w:p w:rsidR="00557A6F" w:rsidRDefault="00557A6F" w:rsidP="00557A6F">
      <w:r>
        <w:t xml:space="preserve">Anmodningsvedtaket er ivaretatt gjennom Stortingets behandling av Prop. 114 S (2018–2019) </w:t>
      </w:r>
      <w:r>
        <w:rPr>
          <w:rStyle w:val="kursiv"/>
          <w:sz w:val="21"/>
          <w:szCs w:val="21"/>
        </w:rPr>
        <w:t>Ti</w:t>
      </w:r>
      <w:r>
        <w:rPr>
          <w:rStyle w:val="kursiv"/>
          <w:sz w:val="21"/>
          <w:szCs w:val="21"/>
        </w:rPr>
        <w:t>l</w:t>
      </w:r>
      <w:r>
        <w:rPr>
          <w:rStyle w:val="kursiv"/>
          <w:sz w:val="21"/>
          <w:szCs w:val="21"/>
        </w:rPr>
        <w:t>leggsbevil</w:t>
      </w:r>
      <w:r>
        <w:rPr>
          <w:rStyle w:val="kursiv"/>
          <w:sz w:val="21"/>
          <w:szCs w:val="21"/>
        </w:rPr>
        <w:t>g</w:t>
      </w:r>
      <w:r>
        <w:rPr>
          <w:rStyle w:val="kursiv"/>
          <w:sz w:val="21"/>
          <w:szCs w:val="21"/>
        </w:rPr>
        <w:t>ninger og omprioriteringer i statsbudsjettet 2019,</w:t>
      </w:r>
      <w:r>
        <w:t xml:space="preserve"> jf. Innst. 391 S (2018–2019). Departementet anser med dette at anmodningsvedtaket er fulgt opp.</w:t>
      </w:r>
    </w:p>
    <w:p w:rsidR="00557A6F" w:rsidRDefault="00557A6F" w:rsidP="00557A6F">
      <w:pPr>
        <w:pStyle w:val="avsnitt-tittel"/>
      </w:pPr>
      <w:r>
        <w:t>Ferjeavløsningsordningen</w:t>
      </w:r>
    </w:p>
    <w:p w:rsidR="00557A6F" w:rsidRDefault="00557A6F" w:rsidP="00557A6F">
      <w:pPr>
        <w:pStyle w:val="avsnitt-undertittel"/>
      </w:pPr>
      <w:r>
        <w:t>Vedtak nr. 88, 3. desember 2018</w:t>
      </w:r>
    </w:p>
    <w:p w:rsidR="00557A6F" w:rsidRDefault="00557A6F" w:rsidP="00557A6F">
      <w:pPr>
        <w:pStyle w:val="blokksit"/>
      </w:pPr>
      <w:r>
        <w:t>«Stortinget ber regjeringen foreslå mulige endringer av fergeavløsningsordningen slik at kapita</w:t>
      </w:r>
      <w:r>
        <w:t>l</w:t>
      </w:r>
      <w:r>
        <w:t>kostnader i mer fleksibel grad enn i dag kan dekkes av staten for fylkesveisamband.»</w:t>
      </w:r>
    </w:p>
    <w:p w:rsidR="00557A6F" w:rsidRDefault="00557A6F" w:rsidP="00557A6F">
      <w:r>
        <w:t>Dokumentene som ligger til grunn for vedtaket er Prop. 1 S (2018–2019) og Innst. 2 S (2018–2019).</w:t>
      </w:r>
    </w:p>
    <w:p w:rsidR="00557A6F" w:rsidRDefault="00557A6F" w:rsidP="00557A6F">
      <w:r>
        <w:t>Departementet foreslår at inntil 50 pst. av beregnede rentekostnader knyttet til samlede byggekos</w:t>
      </w:r>
      <w:r>
        <w:t>t</w:t>
      </w:r>
      <w:r>
        <w:t>nader dekkes innenfor ferjeavløsningsordningen. Utvidelsen av ordningen gjøres ved å øke lengden på utbetalingsperioden for hvert ferjeavløsningsprosjekt. Utbetalingstiden for ferjeavløsningsmidler økes til maksimalt 45 år. Se nærmere omtale av vedtaket under kap. 572, post 60.</w:t>
      </w:r>
    </w:p>
    <w:p w:rsidR="00557A6F" w:rsidRDefault="00557A6F" w:rsidP="00557A6F">
      <w:r>
        <w:t>Departementet anser med dette at anmodningsvedtaket er fulgt opp.</w:t>
      </w:r>
    </w:p>
    <w:p w:rsidR="00557A6F" w:rsidRDefault="00557A6F" w:rsidP="00557A6F">
      <w:pPr>
        <w:pStyle w:val="avsnitt-tittel"/>
      </w:pPr>
      <w:r>
        <w:lastRenderedPageBreak/>
        <w:t>Regionsentertilskudd</w:t>
      </w:r>
    </w:p>
    <w:p w:rsidR="00557A6F" w:rsidRDefault="00557A6F" w:rsidP="00557A6F">
      <w:pPr>
        <w:pStyle w:val="avsnitt-undertittel"/>
      </w:pPr>
      <w:r>
        <w:t>Vedtak nr. 274, 14. desember 2018</w:t>
      </w:r>
    </w:p>
    <w:p w:rsidR="00557A6F" w:rsidRDefault="00557A6F" w:rsidP="00557A6F">
      <w:pPr>
        <w:pStyle w:val="blokksit"/>
      </w:pPr>
      <w:r>
        <w:t>«Stortinget ber regjeringen opprettholde regionsentertilskuddet som et økonomisk virkemiddel også ved framtidige kommunesammenslåinger. Regionsentertilskuddet går til kommuner som slår seg sammen og dermed utgjør et sterkere tyngdepunkt i sin region. Tilskuddet utbetales som i dag etter et nasjonalt vedtak om sammenslåing. Det legges til grunn at økt regionsentertilskudd finansieres innenfor kommunerammen med en reduksjon i innbyggertilskuddet.»</w:t>
      </w:r>
    </w:p>
    <w:p w:rsidR="00557A6F" w:rsidRDefault="00557A6F" w:rsidP="00557A6F">
      <w:r>
        <w:t>Dokumentene som ligger til grunn for vedtaket er Prop. 1 S (2018–2019) og Innst. 16 S (2018–2019).</w:t>
      </w:r>
    </w:p>
    <w:p w:rsidR="00557A6F" w:rsidRDefault="00557A6F" w:rsidP="00557A6F">
      <w:r>
        <w:t xml:space="preserve">Anmodningsvedtaket er ivaretatt gjennom Stortingets behandling av Prop. 113 S (2018–2019) </w:t>
      </w:r>
      <w:r>
        <w:rPr>
          <w:rStyle w:val="kursiv"/>
          <w:sz w:val="21"/>
          <w:szCs w:val="21"/>
        </w:rPr>
        <w:t>Kommuneproposisjonen 2020</w:t>
      </w:r>
      <w:r>
        <w:t>, jf. Innst. 405 S (2018–2019). Departementet anser med dette at anmo</w:t>
      </w:r>
      <w:r>
        <w:t>d</w:t>
      </w:r>
      <w:r>
        <w:t>ningsvedtaket er fulgt opp.</w:t>
      </w:r>
    </w:p>
    <w:p w:rsidR="00557A6F" w:rsidRDefault="00557A6F" w:rsidP="00557A6F">
      <w:pPr>
        <w:pStyle w:val="avsnitt-tittel"/>
      </w:pPr>
      <w:r>
        <w:t>Sameloven</w:t>
      </w:r>
    </w:p>
    <w:p w:rsidR="00557A6F" w:rsidRDefault="00557A6F" w:rsidP="00557A6F">
      <w:pPr>
        <w:pStyle w:val="avsnitt-undertittel"/>
      </w:pPr>
      <w:r>
        <w:t>Vedtak nr. 508, 9. mai 2019</w:t>
      </w:r>
    </w:p>
    <w:p w:rsidR="00557A6F" w:rsidRDefault="00557A6F" w:rsidP="00557A6F">
      <w:pPr>
        <w:pStyle w:val="blokksit"/>
      </w:pPr>
      <w:r>
        <w:t>«Stortinget ber regjeringen sende forslaget til endringer i sameloven, jf. Prop. 116 L (2017–2018), ut på alminnelig høring før saken fremmes for Stortinget til ny behandling.»</w:t>
      </w:r>
    </w:p>
    <w:p w:rsidR="00557A6F" w:rsidRDefault="00557A6F" w:rsidP="00557A6F">
      <w:r>
        <w:t xml:space="preserve">Dokumentene som ligger til grunn for vedtaket er Prop. 116 L (2017–2018) </w:t>
      </w:r>
      <w:r>
        <w:rPr>
          <w:rStyle w:val="kursiv"/>
          <w:sz w:val="21"/>
          <w:szCs w:val="21"/>
        </w:rPr>
        <w:t xml:space="preserve">Endringer i sameloven mv. (konsultasjoner) </w:t>
      </w:r>
      <w:r>
        <w:t>og Innst. 253 L (2018–2019).</w:t>
      </w:r>
    </w:p>
    <w:p w:rsidR="00557A6F" w:rsidRDefault="00557A6F" w:rsidP="00557A6F">
      <w:r>
        <w:t>Kommunal- og moderniseringsdepartementet følger opp Stortingets vedtak, og det tas sikte på at forslag til en</w:t>
      </w:r>
      <w:r>
        <w:t>d</w:t>
      </w:r>
      <w:r>
        <w:t>ringer i sameloven sendes på høring høsten 2019. Departementet arbeider også med utkast til veileder om ko</w:t>
      </w:r>
      <w:r>
        <w:t>n</w:t>
      </w:r>
      <w:r>
        <w:t>sultasjoner for kommuner og fylkeskommuner. Utkastet til veileder vil bli sendt på høring sammen med lovfo</w:t>
      </w:r>
      <w:r>
        <w:t>r</w:t>
      </w:r>
      <w:r>
        <w:t>slaget, slik kommunal- og forvaltningskomiteen la til grunn i innstillingen om saken.</w:t>
      </w:r>
    </w:p>
    <w:p w:rsidR="00557A6F" w:rsidRDefault="00557A6F" w:rsidP="00557A6F">
      <w:pPr>
        <w:pStyle w:val="avsnitt-tittel"/>
      </w:pPr>
      <w:r>
        <w:t>22. juli-senteret</w:t>
      </w:r>
    </w:p>
    <w:p w:rsidR="00557A6F" w:rsidRDefault="00557A6F" w:rsidP="00557A6F">
      <w:pPr>
        <w:pStyle w:val="avsnitt-undertittel"/>
      </w:pPr>
      <w:r>
        <w:t>Vedtak nr. 609, 18. juni 2019</w:t>
      </w:r>
    </w:p>
    <w:p w:rsidR="00557A6F" w:rsidRDefault="00557A6F" w:rsidP="00557A6F">
      <w:pPr>
        <w:pStyle w:val="blokksit"/>
      </w:pPr>
      <w:r>
        <w:t>«Stortinget ber regjeringen sørge for at så mye som mulig av 22. juli-senteret slik det står i dag, bør bev</w:t>
      </w:r>
      <w:r>
        <w:t>a</w:t>
      </w:r>
      <w:r>
        <w:t>res og bli et viktig element i det nye regjeringskvartalet.»</w:t>
      </w:r>
    </w:p>
    <w:p w:rsidR="00557A6F" w:rsidRDefault="00557A6F" w:rsidP="00557A6F">
      <w:r>
        <w:t xml:space="preserve">Dokumentene som ligger til grunn for vedtaket er Meld. St. 21 (2018–2019) </w:t>
      </w:r>
      <w:r>
        <w:rPr>
          <w:rStyle w:val="kursiv"/>
          <w:sz w:val="21"/>
          <w:szCs w:val="21"/>
        </w:rPr>
        <w:t>Nytt regjeringskvartal</w:t>
      </w:r>
      <w:r>
        <w:t xml:space="preserve"> og Innst. 382 S (2018–2019). </w:t>
      </w:r>
    </w:p>
    <w:p w:rsidR="00557A6F" w:rsidRDefault="00557A6F" w:rsidP="00557A6F">
      <w:r>
        <w:t xml:space="preserve">Betydningen av å ta vare på spor og minner etter 22. juli-terroren i regjeringskvartalet er beskrevet i Meld. St. 21 (2018–2019) </w:t>
      </w:r>
      <w:r>
        <w:rPr>
          <w:rStyle w:val="kursiv"/>
          <w:sz w:val="21"/>
          <w:szCs w:val="21"/>
        </w:rPr>
        <w:t>Nytt regjeringskvartal</w:t>
      </w:r>
      <w:r>
        <w:t>. Regjeringen har gjort sikkerhetsfaglige og fun</w:t>
      </w:r>
      <w:r>
        <w:t>k</w:t>
      </w:r>
      <w:r>
        <w:t>sjonelle vurderinger for å avklare om et 22. juli-senter lar seg forene med at Statsministerens ko</w:t>
      </w:r>
      <w:r>
        <w:t>n</w:t>
      </w:r>
      <w:r>
        <w:t>tor flytter tilbake til Høyblokka. I tillegg har regjeringen lagt vekt på å ivareta den opprinnelige arkitekturen, herunder Høyblokkas østre paviljong. Det er konkludert med at det dessverre ikke er mulig å finne en løsning som ivaretar både sikkerhetsfaglige, funksjonelle og arkitektoniske he</w:t>
      </w:r>
      <w:r>
        <w:t>n</w:t>
      </w:r>
      <w:r>
        <w:t>syn. Regjeringen har derfor måttet avveie to viktige symboler: At Statsministerens kontor flytter tilbake til Høyblokka, og at 22. juli-senteret fortsatt skal kunne vise verden hva 22. juli innebar – der an</w:t>
      </w:r>
      <w:r>
        <w:t>g</w:t>
      </w:r>
      <w:r>
        <w:t>repet startet. Regjeringen har konkludert med at Statsministerens kontor ikke flytter tilbake til Høyblokka.</w:t>
      </w:r>
    </w:p>
    <w:p w:rsidR="00557A6F" w:rsidRDefault="00557A6F" w:rsidP="00557A6F">
      <w:r>
        <w:t>Selv om Statsministerens kontor ikke lenger skal være i Høyblokka, vil det fortsatt være utfor</w:t>
      </w:r>
      <w:r>
        <w:t>d</w:t>
      </w:r>
      <w:r>
        <w:t>ringer knyttet til å plassere 22. juli-senteret tett inntil Høyblokka hvor departementer skal være l</w:t>
      </w:r>
      <w:r>
        <w:t>o</w:t>
      </w:r>
      <w:r>
        <w:t>kalisert. Nø</w:t>
      </w:r>
      <w:r>
        <w:t>d</w:t>
      </w:r>
      <w:r>
        <w:t>vendig sikkerhet blant annet for de departementsansatte i Høyblokka skal ivaretas, og det betyr at det permanente senteret ikke vil kunne benytte like mye areal i østre paviljong som senteret midlertidig har gjort i den tiden det ikke har vært skjermingsverdige departementsfunksj</w:t>
      </w:r>
      <w:r>
        <w:t>o</w:t>
      </w:r>
      <w:r>
        <w:t xml:space="preserve">ner i Høyblokka. Av sikkerhetsmessige årsaker er det heller ikke aktuelt med </w:t>
      </w:r>
      <w:r>
        <w:lastRenderedPageBreak/>
        <w:t>bruk av rom i Hø</w:t>
      </w:r>
      <w:r>
        <w:t>y</w:t>
      </w:r>
      <w:r>
        <w:t>blokkas bygningskropp. Regj</w:t>
      </w:r>
      <w:r>
        <w:t>e</w:t>
      </w:r>
      <w:r>
        <w:t>ringen vil imidlertid sørge for at så mye som mulig av dagens 22. juli-senter bevares og blir et viktig el</w:t>
      </w:r>
      <w:r>
        <w:t>e</w:t>
      </w:r>
      <w:r>
        <w:t>ment i det nye regjeringskvartalet, slik også Stortinget har anmodet om.</w:t>
      </w:r>
    </w:p>
    <w:p w:rsidR="00557A6F" w:rsidRDefault="00557A6F" w:rsidP="00557A6F">
      <w:r>
        <w:t>Avklaring av senterets plassering har tatt tid, men det har vært nødvendig å ha en grundig prosess for å få avklart hva som er funksjonelt og sikkerhetsfaglig mulig. Kommunal- og modernisering</w:t>
      </w:r>
      <w:r>
        <w:t>s</w:t>
      </w:r>
      <w:r>
        <w:t>departementet legger opp til at berørte aktører involveres i den videre prosessen for å utvikle en god løsning for 22. juli-senteret, innenfor de rammene som krav til sikkerhet i det nye kvartalet setter. Stortinget vil bli holdt orientert på egnet måte.</w:t>
      </w:r>
    </w:p>
    <w:p w:rsidR="00557A6F" w:rsidRDefault="00557A6F" w:rsidP="00557A6F">
      <w:pPr>
        <w:pStyle w:val="avsnitt-tittel"/>
      </w:pPr>
      <w:r>
        <w:t>Stortingssesjon 2017–2018</w:t>
      </w:r>
    </w:p>
    <w:p w:rsidR="00557A6F" w:rsidRDefault="00557A6F" w:rsidP="00557A6F">
      <w:pPr>
        <w:pStyle w:val="avsnitt-tittel"/>
      </w:pPr>
      <w:r>
        <w:t>Redusert sårbarhet i elektronisk kommunikasjon</w:t>
      </w:r>
    </w:p>
    <w:p w:rsidR="00557A6F" w:rsidRDefault="00557A6F" w:rsidP="00557A6F">
      <w:pPr>
        <w:pStyle w:val="avsnitt-undertittel"/>
      </w:pPr>
      <w:r>
        <w:t>Vedtak nr. 65, 4. desember 2017</w:t>
      </w:r>
    </w:p>
    <w:p w:rsidR="00557A6F" w:rsidRDefault="00557A6F" w:rsidP="00557A6F">
      <w:pPr>
        <w:pStyle w:val="blokksit"/>
      </w:pPr>
      <w:r>
        <w:t>«Stortinget ber regjeringen evaluere arbeidet med redusert sårbarhet både i den elektroniske kommunikasjonen mot utlandet og i telenettverkene i Norge etter at tiltak initiert i 2018 er påb</w:t>
      </w:r>
      <w:r>
        <w:t>e</w:t>
      </w:r>
      <w:r>
        <w:t>gynt, og deretter vurdere eventuelt videre merbehov og komme tilbake til Stortinget på egnet måte.»</w:t>
      </w:r>
    </w:p>
    <w:p w:rsidR="00557A6F" w:rsidRDefault="00557A6F" w:rsidP="00557A6F">
      <w:r>
        <w:t xml:space="preserve">Dokumentene som ligger til grunn for vedtaket er Meld. St. 1 og Innst. 2 S (2017–2018). </w:t>
      </w:r>
    </w:p>
    <w:p w:rsidR="00557A6F" w:rsidRDefault="00557A6F" w:rsidP="00557A6F">
      <w:r>
        <w:t>I statsbudsjettet for 2018 og 2019 er det bevilget til sammen 80 mill. kroner til en pilot for altern</w:t>
      </w:r>
      <w:r>
        <w:t>a</w:t>
      </w:r>
      <w:r>
        <w:t>tivt kjernenett. Det er også bevilget til sammen 80 mill. kroner, samt gitt en tilhørende tilsagn</w:t>
      </w:r>
      <w:r>
        <w:t>s</w:t>
      </w:r>
      <w:r>
        <w:t>fullmakt på 20 mill. kroner, for å legge til rette for fiberkabler til utlandet. Som omtalt i Prop. 1 S (2017–2018) for Samferdselsdepartementet, skal tiltakene bidra til å redusere identifiserte sårba</w:t>
      </w:r>
      <w:r>
        <w:t>r</w:t>
      </w:r>
      <w:r>
        <w:t>heter i den elektroni</w:t>
      </w:r>
      <w:r>
        <w:t>s</w:t>
      </w:r>
      <w:r>
        <w:t xml:space="preserve">ke kommunikasjonen i Norge og mot utlandet. </w:t>
      </w:r>
    </w:p>
    <w:p w:rsidR="00557A6F" w:rsidRDefault="00557A6F" w:rsidP="00557A6F">
      <w:r>
        <w:t>Departementet har for begge tiltakene bedt Nasjonal kommunikasjonsmyndighet forberede utly</w:t>
      </w:r>
      <w:r>
        <w:t>s</w:t>
      </w:r>
      <w:r>
        <w:t>ninger av midl</w:t>
      </w:r>
      <w:r>
        <w:t>e</w:t>
      </w:r>
      <w:r>
        <w:t>ne. Nasjonal kommunikasjonsmyndighet gjør nå nødvendige forberedelser, blant annet avklaringer vedrørende statsstøtteregelverket og utarbeidelse av konkurransegrunnlag, som skal for</w:t>
      </w:r>
      <w:r>
        <w:t>e</w:t>
      </w:r>
      <w:r>
        <w:t xml:space="preserve">legges departementet før utlysning. </w:t>
      </w:r>
    </w:p>
    <w:p w:rsidR="00557A6F" w:rsidRDefault="00557A6F" w:rsidP="00557A6F">
      <w:r>
        <w:t>Det er for tidlig å evaluere arbeidet eller vurdere eventuelle merbehov. Kommunal- og modernis</w:t>
      </w:r>
      <w:r>
        <w:t>e</w:t>
      </w:r>
      <w:r>
        <w:t>ringsdepart</w:t>
      </w:r>
      <w:r>
        <w:t>e</w:t>
      </w:r>
      <w:r>
        <w:t>mentet vil komme tilbake til Stortinget om saken på egnet måte.</w:t>
      </w:r>
    </w:p>
    <w:p w:rsidR="00557A6F" w:rsidRDefault="00557A6F" w:rsidP="00557A6F">
      <w:pPr>
        <w:pStyle w:val="avsnitt-tittel"/>
      </w:pPr>
      <w:r>
        <w:t>Krav til energiforsyning i byggteknisk forskrift</w:t>
      </w:r>
    </w:p>
    <w:p w:rsidR="00557A6F" w:rsidRDefault="00557A6F" w:rsidP="00557A6F">
      <w:pPr>
        <w:pStyle w:val="avsnitt-undertittel"/>
      </w:pPr>
      <w:r>
        <w:t xml:space="preserve">Vedtak nr. 351 (2017–2018), 18. desember 2017 </w:t>
      </w:r>
    </w:p>
    <w:p w:rsidR="00557A6F" w:rsidRDefault="00557A6F" w:rsidP="00557A6F">
      <w:pPr>
        <w:pStyle w:val="blokksit"/>
      </w:pPr>
      <w:r>
        <w:t xml:space="preserve">«Stortinget ber regjeringen uten unødvendig opphold følge opp Stortingets vedtak 642 og 644, 10. mai 2016, om innføring av krav og bestemmelser i Byggteknisk forskrift.» </w:t>
      </w:r>
    </w:p>
    <w:p w:rsidR="00557A6F" w:rsidRDefault="00557A6F" w:rsidP="00557A6F">
      <w:r>
        <w:t xml:space="preserve">Dokumentene som ligger til grunn for vedtaket er Prop. 1 S og Innst. 16 S (2017–2018). </w:t>
      </w:r>
    </w:p>
    <w:p w:rsidR="00557A6F" w:rsidRDefault="00557A6F" w:rsidP="00557A6F">
      <w:r>
        <w:t xml:space="preserve">Stortinget har gitt tilslutning til at anmodningsvedtaket ikke følges opp, jf. Prop. 114 S (2018–2019) </w:t>
      </w:r>
      <w:r>
        <w:rPr>
          <w:rStyle w:val="kursiv"/>
          <w:sz w:val="21"/>
          <w:szCs w:val="21"/>
        </w:rPr>
        <w:t>Tilleggsb</w:t>
      </w:r>
      <w:r>
        <w:rPr>
          <w:rStyle w:val="kursiv"/>
          <w:sz w:val="21"/>
          <w:szCs w:val="21"/>
        </w:rPr>
        <w:t>e</w:t>
      </w:r>
      <w:r>
        <w:rPr>
          <w:rStyle w:val="kursiv"/>
          <w:sz w:val="21"/>
          <w:szCs w:val="21"/>
        </w:rPr>
        <w:t>vilgninger og omprioriteringer i statsbudsjettet 2019</w:t>
      </w:r>
      <w:r>
        <w:t xml:space="preserve"> og Innst. 391 S (2018–2019). </w:t>
      </w:r>
    </w:p>
    <w:p w:rsidR="00557A6F" w:rsidRDefault="00557A6F" w:rsidP="00557A6F">
      <w:pPr>
        <w:pStyle w:val="avsnitt-tittel"/>
      </w:pPr>
      <w:r>
        <w:t>Habilitetsregler og bevisstgjøring om dobbeltroller</w:t>
      </w:r>
    </w:p>
    <w:p w:rsidR="00557A6F" w:rsidRDefault="00557A6F" w:rsidP="00557A6F">
      <w:pPr>
        <w:pStyle w:val="avsnitt-undertittel"/>
      </w:pPr>
      <w:r>
        <w:t>Vedtak nr. 648, 24. april 2018</w:t>
      </w:r>
    </w:p>
    <w:p w:rsidR="00557A6F" w:rsidRDefault="00557A6F" w:rsidP="00557A6F">
      <w:pPr>
        <w:pStyle w:val="blokksit"/>
      </w:pPr>
      <w:r>
        <w:t>«Stortinget ber regjeringen styrke kunnskapen om habilitetsreglene og bevisstgjøre arbeidsgivere og a</w:t>
      </w:r>
      <w:r>
        <w:t>r</w:t>
      </w:r>
      <w:r>
        <w:t>beidstakere i offentlig sektor om dobbeltroller.»</w:t>
      </w:r>
    </w:p>
    <w:p w:rsidR="00557A6F" w:rsidRDefault="00557A6F" w:rsidP="00557A6F">
      <w:r>
        <w:t>Dokumentene som ligger til grunn for forslaget er representantforslag fra stortingsrepresentantene Freddy André Øvstegård, Petter Eide og Karin Andersen om granskning og tiltak for å forhindre do</w:t>
      </w:r>
      <w:r>
        <w:t>b</w:t>
      </w:r>
      <w:r>
        <w:t>beltroller i offentlig barnevern, jf. Dokument 8:111 S og Innst. 209 S (2017–2018).</w:t>
      </w:r>
    </w:p>
    <w:p w:rsidR="00557A6F" w:rsidRDefault="00557A6F" w:rsidP="00557A6F">
      <w:r>
        <w:lastRenderedPageBreak/>
        <w:t>For å sikre tilliten til statsforvaltningen, arbeides det med forslag til sentrale retningslinjer for r</w:t>
      </w:r>
      <w:r>
        <w:t>e</w:t>
      </w:r>
      <w:r>
        <w:t>gistrering av ansattes økonomiske interesser, som kan gi et rammeverk for opprettelse av eventue</w:t>
      </w:r>
      <w:r>
        <w:t>l</w:t>
      </w:r>
      <w:r>
        <w:t>le registre i den enkelte statlige virksomhet. Slike sentrale retningslinjer vil også styrke kunnskapen om habilitetsreglene, og bevisstgjøre arbeidsgivere og arbeidstakere i offentlig sektor om dobbel</w:t>
      </w:r>
      <w:r>
        <w:t>t</w:t>
      </w:r>
      <w:r>
        <w:t>roller. Anmodningsvedtaket følges derfor opp sammen med anmodningsvedtak nr. 590, 12. april 2016 om registrering av økonomiske interesser for depart</w:t>
      </w:r>
      <w:r>
        <w:t>e</w:t>
      </w:r>
      <w:r>
        <w:t>mentsråder.</w:t>
      </w:r>
    </w:p>
    <w:p w:rsidR="00557A6F" w:rsidRDefault="00557A6F" w:rsidP="00557A6F">
      <w:pPr>
        <w:pStyle w:val="avsnitt-tittel"/>
      </w:pPr>
      <w:r>
        <w:t>Nytt regjeringskvartal (I)</w:t>
      </w:r>
    </w:p>
    <w:p w:rsidR="00557A6F" w:rsidRDefault="00557A6F" w:rsidP="00557A6F">
      <w:pPr>
        <w:pStyle w:val="avsnitt-undertittel"/>
      </w:pPr>
      <w:r>
        <w:t>Vedtak nr. 705, 14. mai 2018</w:t>
      </w:r>
    </w:p>
    <w:p w:rsidR="00557A6F" w:rsidRDefault="00557A6F" w:rsidP="00557A6F">
      <w:pPr>
        <w:pStyle w:val="blokksit"/>
      </w:pPr>
      <w:r>
        <w:t>«Stortinget ber regjeringen legge til rette for at bygging av regjeringskvartalet skal bidra til i</w:t>
      </w:r>
      <w:r>
        <w:t>n</w:t>
      </w:r>
      <w:r>
        <w:t>novasjon og utvikling hos norske leverandører i tråd med målene for Nasjonalt program for l</w:t>
      </w:r>
      <w:r>
        <w:t>e</w:t>
      </w:r>
      <w:r>
        <w:t>verandørutvikling.»</w:t>
      </w:r>
    </w:p>
    <w:p w:rsidR="00557A6F" w:rsidRDefault="00557A6F" w:rsidP="00557A6F">
      <w:r>
        <w:t>Dokumentene som ligger til grunn for forslaget er representantforslag fra stortingsrepresentantene Knut Arild Hareide, Kari Elisabeth Kaski, Jonas Gahr Støre og Trygve Slagsvold Vedum om at tre skal være et hovedelement i det nye regjeringskvartalet, jf. Dokument 8:103 S og Innst. 274 S (2017–2018).</w:t>
      </w:r>
    </w:p>
    <w:p w:rsidR="00557A6F" w:rsidRDefault="00557A6F" w:rsidP="00557A6F">
      <w:r>
        <w:t>Statsbygg har utarbeidet en innovasjonsstrategi for å legge planmessig til rette for innovasjonsti</w:t>
      </w:r>
      <w:r>
        <w:t>l</w:t>
      </w:r>
      <w:r>
        <w:t>tak. Det er også valgt en innovativ kontraktsstrategi med tidlig involvering av entreprenørene. Når forslag til kostnadsramme for prosjekt nytt regjeringskvartal fremlegges for Stortinget, vil det bli redegjort nærmere for hvordan Stortingets vedtak er fulgt opp i forprosjektfasen og for hvordan det kan følges opp i gje</w:t>
      </w:r>
      <w:r>
        <w:t>n</w:t>
      </w:r>
      <w:r>
        <w:t xml:space="preserve">nomføringsfasen. </w:t>
      </w:r>
    </w:p>
    <w:p w:rsidR="00557A6F" w:rsidRDefault="00557A6F" w:rsidP="00557A6F">
      <w:pPr>
        <w:pStyle w:val="avsnitt-tittel"/>
      </w:pPr>
      <w:r>
        <w:t>Nytt regjeringskvartal (II)</w:t>
      </w:r>
    </w:p>
    <w:p w:rsidR="00557A6F" w:rsidRDefault="00557A6F" w:rsidP="00557A6F">
      <w:pPr>
        <w:pStyle w:val="avsnitt-undertittel"/>
      </w:pPr>
      <w:r>
        <w:t>Vedtak nr. 706, 14. mai 2018</w:t>
      </w:r>
    </w:p>
    <w:p w:rsidR="00557A6F" w:rsidRDefault="00557A6F" w:rsidP="00557A6F">
      <w:pPr>
        <w:pStyle w:val="blokksit"/>
      </w:pPr>
      <w:r>
        <w:t>«Stortinget ber regjeringen sørge for at regjeringskvartalet blir et ledende eksempel på reduksjon av skad</w:t>
      </w:r>
      <w:r>
        <w:t>e</w:t>
      </w:r>
      <w:r>
        <w:t>lig miljøpåvirkning og fremme av klimavennlige løsninger i offentlig byggevirksomhet, med strenge sikkerhetskrav, i tråd med § 5 i lov om offentlige anskaffelser, hvor et livsløpspe</w:t>
      </w:r>
      <w:r>
        <w:t>r</w:t>
      </w:r>
      <w:r>
        <w:t>spektiv legges til grunn.»</w:t>
      </w:r>
    </w:p>
    <w:p w:rsidR="00557A6F" w:rsidRDefault="00557A6F" w:rsidP="00557A6F">
      <w:r>
        <w:t>Dokumentene som ligger til grunn for forslaget er representantforslag fra stortingsrepresentantene Knut Arild Hareide, Kari Elisabeth Kaski, Jonas Gahr Støre og Trygve Slagsvold Vedum om at tre skal være et hovedelement i det nye regjeringskvartalet, jf. Dokument 8:103 S og Innst. 274 S (2017–2018).</w:t>
      </w:r>
    </w:p>
    <w:p w:rsidR="00557A6F" w:rsidRDefault="00557A6F" w:rsidP="00557A6F">
      <w:r>
        <w:t>Regjeringen har høye miljøambisjoner i prosjekt nytt regjeringskvartal. Det skal blant annet eta</w:t>
      </w:r>
      <w:r>
        <w:t>b</w:t>
      </w:r>
      <w:r>
        <w:t>leres en sjøvannsbasert varme- og kjøleløsning. Prosjektet skal sertifiseres etter BR</w:t>
      </w:r>
      <w:r>
        <w:t>E</w:t>
      </w:r>
      <w:r>
        <w:t>EAM-manualen (Building Research Establishment's Environmental Assessment Method). Milj</w:t>
      </w:r>
      <w:r>
        <w:t>ø</w:t>
      </w:r>
      <w:r>
        <w:t>tiltakene, knyttet til både reguleringsplanens milj</w:t>
      </w:r>
      <w:r>
        <w:t>ø</w:t>
      </w:r>
      <w:r>
        <w:t>program og BREEAM-manualen, skal reflektere beste praksis i et livsløpsperspektiv. Departementet vil komme tilbake til miljøpåvirkning og kl</w:t>
      </w:r>
      <w:r>
        <w:t>i</w:t>
      </w:r>
      <w:r>
        <w:t>mavennlige løsninger for nytt regjeringskvartal når forslag til kostnadsramme for prosjekt nytt r</w:t>
      </w:r>
      <w:r>
        <w:t>e</w:t>
      </w:r>
      <w:r>
        <w:t xml:space="preserve">gjeringskvartal fremlegges for Stortinget. </w:t>
      </w:r>
    </w:p>
    <w:p w:rsidR="00557A6F" w:rsidRDefault="00557A6F" w:rsidP="00557A6F">
      <w:pPr>
        <w:pStyle w:val="avsnitt-tittel"/>
      </w:pPr>
      <w:r>
        <w:t>Nytt regjeringskvartal (III)</w:t>
      </w:r>
    </w:p>
    <w:p w:rsidR="00557A6F" w:rsidRDefault="00557A6F" w:rsidP="00557A6F">
      <w:pPr>
        <w:pStyle w:val="avsnitt-undertittel"/>
      </w:pPr>
      <w:r>
        <w:t>Vedtak nr. 707, 14. mai 2018</w:t>
      </w:r>
    </w:p>
    <w:p w:rsidR="00557A6F" w:rsidRDefault="00557A6F" w:rsidP="00557A6F">
      <w:pPr>
        <w:pStyle w:val="blokksit"/>
      </w:pPr>
      <w:r>
        <w:t>«Stortinget ber regjeringen sørge for at det legges særskilt vekt på klima- og miljøfotavtrykket til materi</w:t>
      </w:r>
      <w:r>
        <w:t>a</w:t>
      </w:r>
      <w:r>
        <w:t>lene som benyttes i byggingen av regjeringskvartalet. I beregningene av miljøeffekt skal både råvareuttak, produksjon, transport og byggefase trekkes inn.»</w:t>
      </w:r>
    </w:p>
    <w:p w:rsidR="00557A6F" w:rsidRDefault="00557A6F" w:rsidP="00557A6F">
      <w:r>
        <w:lastRenderedPageBreak/>
        <w:t>Dokumentene som ligger til grunn for forslaget er representantforslag fra stortingsrepresentantene Knut Arild Hareide, Kari Elisabeth Kaski, Jonas Gahr Støre og Trygve Slagsvold Vedum om at tre skal være et hovedelement i det nye regjeringskvartalet, jf. Dokument 8:103 S og Innst. 274 S (2017–2018).</w:t>
      </w:r>
    </w:p>
    <w:p w:rsidR="00557A6F" w:rsidRDefault="00557A6F" w:rsidP="00557A6F">
      <w:r>
        <w:t>Departementet legger sterk vekt på klima- og miljøfotavtrykket til regjeringskvartalet, også fra materialene som benyttes, gjennom hele kjeden fra råvareuttak til byggefase. Departementet vil komme tilbake til dette når forslag til kostnadsramme for nytt regjeringskvartal fremlegges for Stortinget.</w:t>
      </w:r>
    </w:p>
    <w:p w:rsidR="00557A6F" w:rsidRDefault="00557A6F" w:rsidP="00557A6F">
      <w:pPr>
        <w:pStyle w:val="avsnitt-tittel"/>
      </w:pPr>
      <w:r>
        <w:t>Nytt regjeringskvartal (IV)</w:t>
      </w:r>
    </w:p>
    <w:p w:rsidR="00557A6F" w:rsidRDefault="00557A6F" w:rsidP="00557A6F">
      <w:pPr>
        <w:pStyle w:val="avsnitt-undertittel"/>
      </w:pPr>
      <w:r>
        <w:t>Vedtak nr. 708, 14. mai 2018</w:t>
      </w:r>
    </w:p>
    <w:p w:rsidR="00557A6F" w:rsidRDefault="00557A6F" w:rsidP="00557A6F">
      <w:pPr>
        <w:pStyle w:val="blokksit"/>
      </w:pPr>
      <w:r>
        <w:t>«Stortinget ber regjeringen på egnet måte informere Stortinget om hva målet «Klimagassutsli</w:t>
      </w:r>
      <w:r>
        <w:t>p</w:t>
      </w:r>
      <w:r>
        <w:t>pet skal være vesentlig lavere enn utslippene i et referanseprosjekt med samme sikkerhetsnivå» innebærer for r</w:t>
      </w:r>
      <w:r>
        <w:t>e</w:t>
      </w:r>
      <w:r>
        <w:t>gjeringskvartalet og fremme forslag til tallfesting av mål for klimagassreduksjon for prosjektet.»</w:t>
      </w:r>
    </w:p>
    <w:p w:rsidR="00557A6F" w:rsidRDefault="00557A6F" w:rsidP="00557A6F">
      <w:r>
        <w:t>Dokumentene som ligger til grunn for forslaget er representantforslag fra stortingsrepresentantene Knut Arild Hareide, Kari Elisabeth Kaski, Jonas Gahr Støre og Trygve Slagsvold Vedum om at tre skal være et hovedelement i det nye regjeringskvartalet, jf. Dokument 8:103 S og Innst. 274 S (2017–2018).</w:t>
      </w:r>
    </w:p>
    <w:p w:rsidR="00557A6F" w:rsidRDefault="00557A6F" w:rsidP="00557A6F">
      <w:r>
        <w:t>Departementet vil redegjøre for hva det innebærer at klimagassutslippene skal være vesentlig lav</w:t>
      </w:r>
      <w:r>
        <w:t>e</w:t>
      </w:r>
      <w:r>
        <w:t>re enn for et referanseprosjekt med samme sikkerhetsnivå, og legge fram forslag til tallfesting av mål for klimagassreduksjon for prosjektet, når forslag til kostnadsramme for prosjekt nytt regj</w:t>
      </w:r>
      <w:r>
        <w:t>e</w:t>
      </w:r>
      <w:r>
        <w:t xml:space="preserve">ringskvartal fremlegges for Stortinget. </w:t>
      </w:r>
    </w:p>
    <w:p w:rsidR="00557A6F" w:rsidRDefault="00557A6F" w:rsidP="00557A6F">
      <w:pPr>
        <w:pStyle w:val="avsnitt-tittel"/>
      </w:pPr>
      <w:r>
        <w:t>Nytt regjeringskvartal (V)</w:t>
      </w:r>
    </w:p>
    <w:p w:rsidR="00557A6F" w:rsidRDefault="00557A6F" w:rsidP="00557A6F">
      <w:pPr>
        <w:pStyle w:val="avsnitt-undertittel"/>
      </w:pPr>
      <w:r>
        <w:t>Vedtak nr. 709, 14. mai 2018</w:t>
      </w:r>
    </w:p>
    <w:p w:rsidR="00557A6F" w:rsidRDefault="00557A6F" w:rsidP="00557A6F">
      <w:pPr>
        <w:pStyle w:val="blokksit"/>
      </w:pPr>
      <w:r>
        <w:t>«Stortinget ber regjeringen legge opp til at regjeringskvartalet skal stå som et eksempel på god norsk byggeskikk og arkitektur, og at tre skal være et viktig element i det nye regjeringskvart</w:t>
      </w:r>
      <w:r>
        <w:t>a</w:t>
      </w:r>
      <w:r>
        <w:t>let.»</w:t>
      </w:r>
    </w:p>
    <w:p w:rsidR="00557A6F" w:rsidRDefault="00557A6F" w:rsidP="00557A6F">
      <w:r>
        <w:t>Dokumentene som ligger til grunn for forslaget er representantforslag fra stortingsrepresentantene Knut Arild Hareide, Kari Elisabeth Kaski, Jonas Gahr Støre og Trygve Slagsvold Vedum om at tre skal være et hovedelement i det nye regjeringskvartalet, jf. Dokument 8:103 S og Innst. 274 S (2017–2018).</w:t>
      </w:r>
    </w:p>
    <w:p w:rsidR="00557A6F" w:rsidRDefault="00557A6F" w:rsidP="00557A6F">
      <w:r>
        <w:t>Nytt regjeringskvartal skal ha en representativ arkitektonisk kvalitet, som speiler dets symbolfun</w:t>
      </w:r>
      <w:r>
        <w:t>k</w:t>
      </w:r>
      <w:r>
        <w:t>sjon og norske verdier. Regjeringskvartalet skal stå som et eksempel på god norsk byggeskikk og arkitektur, og tre forutsettes å være et viktig element. Jf. Meld. St. 21 (2018–2019) Nytt regj</w:t>
      </w:r>
      <w:r>
        <w:t>e</w:t>
      </w:r>
      <w:r>
        <w:t>ringskvartal er det fortsatt uavklart i hvilket omfang bruken av tre er mulig. Departementet vil r</w:t>
      </w:r>
      <w:r>
        <w:t>e</w:t>
      </w:r>
      <w:r>
        <w:t>degjøre for dette når forslag til kostnadsramme for prosjekt nytt regjeringskvartal fremlegges for Stortinget.</w:t>
      </w:r>
    </w:p>
    <w:p w:rsidR="00557A6F" w:rsidRDefault="00557A6F" w:rsidP="00557A6F">
      <w:pPr>
        <w:pStyle w:val="avsnitt-tittel"/>
      </w:pPr>
      <w:r>
        <w:t>Egnede boliger til personer med rusproblemer</w:t>
      </w:r>
    </w:p>
    <w:p w:rsidR="00557A6F" w:rsidRDefault="00557A6F" w:rsidP="00557A6F">
      <w:pPr>
        <w:pStyle w:val="avsnitt-undertittel"/>
      </w:pPr>
      <w:r>
        <w:t>Vedtak nr. 846, 5. juni 2018</w:t>
      </w:r>
    </w:p>
    <w:p w:rsidR="00557A6F" w:rsidRDefault="00557A6F" w:rsidP="00557A6F">
      <w:pPr>
        <w:pStyle w:val="blokksit"/>
      </w:pPr>
      <w:r>
        <w:t>«Stortinget ber regjeringen gjennomgå Husbankens ordninger for å sikre at disse er tilpasset kommunenes behov for å tilby egnede boliger til personer med rusproblemer.»</w:t>
      </w:r>
    </w:p>
    <w:p w:rsidR="00557A6F" w:rsidRDefault="00557A6F" w:rsidP="00557A6F">
      <w:r>
        <w:t xml:space="preserve">Dokumentene som ligger til grunn for vedtaket er representantforslag fra stortingsrepresentantene Tellef Inge Mørland, Ingvild Kjerkol, Kjersti Toppe, Nicholas Wilkinson, Olaug V. Bollestad, Per Espen Stoknes og Bjørnar Moxnes om å sikre god oppfølging av personer etter rusbehandling, jf. Dokument 8:179 S og Innst. 345 S (2017–2018). </w:t>
      </w:r>
    </w:p>
    <w:p w:rsidR="00557A6F" w:rsidRDefault="00557A6F" w:rsidP="00557A6F">
      <w:r>
        <w:lastRenderedPageBreak/>
        <w:t>Regjeringen har gått gjennom Husbankens virkemidler for personer med rusproblemer. Husbanken har analysert kommunenes etterspørsel og bruk av virkemidlene, de har intervjuet kommunene i sitt storbynettverk, og hatt dialog med utvalgte samarbeidskommuner. En samlet tilbakemelding og vurdering viser at virkemidlene er ti</w:t>
      </w:r>
      <w:r>
        <w:t>l</w:t>
      </w:r>
      <w:r>
        <w:t>passet kommunenes behov. Flere kommuner ønsker imidlertid økt fleksibilitet og muligheter for å prøve ut nye bo- og tjenestemodeller i dette arbeidet. Regj</w:t>
      </w:r>
      <w:r>
        <w:t>e</w:t>
      </w:r>
      <w:r>
        <w:t>ringen vil følge opp dette i den bebudede stortingsmeldingen om den boligsosiale politikken som vil bli lagt fram for Stortinget. Departementet anser med dette at anmodning</w:t>
      </w:r>
      <w:r>
        <w:t>s</w:t>
      </w:r>
      <w:r>
        <w:t>vedtaket er fulgt opp.</w:t>
      </w:r>
    </w:p>
    <w:p w:rsidR="00557A6F" w:rsidRDefault="00557A6F" w:rsidP="00557A6F">
      <w:pPr>
        <w:pStyle w:val="avsnitt-tittel"/>
      </w:pPr>
      <w:r>
        <w:t>Kommunesektorens plikt til å gi universelt utformet informasjon</w:t>
      </w:r>
    </w:p>
    <w:p w:rsidR="00557A6F" w:rsidRDefault="00557A6F" w:rsidP="00557A6F">
      <w:pPr>
        <w:pStyle w:val="avsnitt-undertittel"/>
      </w:pPr>
      <w:r>
        <w:t>Vedtak nr. 857, 7. juni 2018</w:t>
      </w:r>
    </w:p>
    <w:p w:rsidR="00557A6F" w:rsidRDefault="00557A6F" w:rsidP="00557A6F">
      <w:pPr>
        <w:pStyle w:val="blokksit"/>
      </w:pPr>
      <w:r>
        <w:t>«Stortinget ber regjeringen utrede og legge fram forslag om hvordan plikten kommunesektoren har til å gi informasjon som er universelt utformet og tilstrekkelig individuelt utformet, skal in</w:t>
      </w:r>
      <w:r>
        <w:t>n</w:t>
      </w:r>
      <w:r>
        <w:t>fris.»</w:t>
      </w:r>
    </w:p>
    <w:p w:rsidR="00557A6F" w:rsidRDefault="00557A6F" w:rsidP="00557A6F">
      <w:r>
        <w:t xml:space="preserve">Dokumentene som ligger til grunn for vedtaket er Prop. 46 L (2017–2018) </w:t>
      </w:r>
      <w:r>
        <w:rPr>
          <w:rStyle w:val="kursiv"/>
          <w:sz w:val="21"/>
          <w:szCs w:val="21"/>
        </w:rPr>
        <w:t>Lov om kommuner og fy</w:t>
      </w:r>
      <w:r>
        <w:rPr>
          <w:rStyle w:val="kursiv"/>
          <w:sz w:val="21"/>
          <w:szCs w:val="21"/>
        </w:rPr>
        <w:t>l</w:t>
      </w:r>
      <w:r>
        <w:rPr>
          <w:rStyle w:val="kursiv"/>
          <w:sz w:val="21"/>
          <w:szCs w:val="21"/>
        </w:rPr>
        <w:t>keskommuner (kommuneloven)</w:t>
      </w:r>
      <w:r>
        <w:t xml:space="preserve"> og Innst. 369 L (2017–2018). </w:t>
      </w:r>
    </w:p>
    <w:p w:rsidR="00557A6F" w:rsidRDefault="00557A6F" w:rsidP="00557A6F">
      <w:r>
        <w:t>Forskrift 21. juni 2013 nr. 732 om universell utforming av informasjons- og kommunikasjonste</w:t>
      </w:r>
      <w:r>
        <w:t>k</w:t>
      </w:r>
      <w:r>
        <w:t>nologiske (IKT)-løsninger, stiller krav til universell utforming av informasjons- og kommunik</w:t>
      </w:r>
      <w:r>
        <w:t>a</w:t>
      </w:r>
      <w:r>
        <w:t>sjonsteknologiske lø</w:t>
      </w:r>
      <w:r>
        <w:t>s</w:t>
      </w:r>
      <w:r>
        <w:t>ninger i henhold til internasjonale retningslinjer. Ifølge forskriften § 2 gjelder kravene for IKT-løsninger som underbygger offentlige og private virksomheters alminnelige fun</w:t>
      </w:r>
      <w:r>
        <w:t>k</w:t>
      </w:r>
      <w:r>
        <w:t>sjoner, og som er hovedløsninger rettet mot eller stilt til rådighet for allmennheten. Slike IKT-løsninger i kommunesek</w:t>
      </w:r>
      <w:r>
        <w:t>t</w:t>
      </w:r>
      <w:r>
        <w:t xml:space="preserve">oren er derfor allerede omfattet av regelverket, slik at kommunene må sørge for at de aktuelle IKT-løsningene og innholdet på disse er i samsvar med forskriften. </w:t>
      </w:r>
    </w:p>
    <w:p w:rsidR="00557A6F" w:rsidRDefault="00557A6F" w:rsidP="00557A6F">
      <w:r>
        <w:t xml:space="preserve">Når det gjelder plikten til individuell utforming, vises det til forvaltningslovutvalgets utredning NOU 2019: 5 </w:t>
      </w:r>
      <w:r>
        <w:rPr>
          <w:rStyle w:val="kursiv"/>
          <w:sz w:val="21"/>
          <w:szCs w:val="21"/>
        </w:rPr>
        <w:t>Ny forvaltningslov – Lov om saksbehandlingen i offentlig forvaltning,</w:t>
      </w:r>
      <w:r>
        <w:t xml:space="preserve"> som er sendt på almi</w:t>
      </w:r>
      <w:r>
        <w:t>n</w:t>
      </w:r>
      <w:r>
        <w:t>nelig høring. Det vises videre til at Kulturdepartementet 23. august 2019 sendte på høring et forslag til ny språklov. Kommunal- og moderniseringsdepartementet vil vurdere kommunelovens beste</w:t>
      </w:r>
      <w:r>
        <w:t>m</w:t>
      </w:r>
      <w:r>
        <w:t>melse om informasjonsplikt i lys av det generelle regelverket på området og komme tilbake til Stortinget på egnet måte med en vurdering av om plikten kommunesektoren har til å gi inform</w:t>
      </w:r>
      <w:r>
        <w:t>a</w:t>
      </w:r>
      <w:r>
        <w:t>sjon, er godt nok regulert for å ivareta universell utforming og tilstrekkelig indiv</w:t>
      </w:r>
      <w:r>
        <w:t>i</w:t>
      </w:r>
      <w:r>
        <w:t>duell utforming.</w:t>
      </w:r>
    </w:p>
    <w:p w:rsidR="00557A6F" w:rsidRDefault="00557A6F" w:rsidP="00557A6F">
      <w:pPr>
        <w:pStyle w:val="avsnitt-tittel"/>
      </w:pPr>
      <w:r>
        <w:t>Kompensasjon for sammenslåtte kommuner</w:t>
      </w:r>
    </w:p>
    <w:p w:rsidR="00557A6F" w:rsidRDefault="00557A6F" w:rsidP="00557A6F">
      <w:pPr>
        <w:pStyle w:val="avsnitt-undertittel"/>
      </w:pPr>
      <w:r>
        <w:t>Vedtak nr. 929, 13. juni 2018</w:t>
      </w:r>
    </w:p>
    <w:p w:rsidR="00557A6F" w:rsidRDefault="00557A6F" w:rsidP="00557A6F">
      <w:pPr>
        <w:pStyle w:val="blokksit"/>
      </w:pPr>
      <w:r>
        <w:t>«Stortinget ber regjeringen sørge for at sammenslåtte kommuner som får tap på grunn av redu</w:t>
      </w:r>
      <w:r>
        <w:t>k</w:t>
      </w:r>
      <w:r>
        <w:t>sjonen i bosettingskriteriene, eller andre utilsiktede virkninger av inntektssystemet, blir kompe</w:t>
      </w:r>
      <w:r>
        <w:t>n</w:t>
      </w:r>
      <w:r>
        <w:t>sert for dette.»</w:t>
      </w:r>
    </w:p>
    <w:p w:rsidR="00557A6F" w:rsidRDefault="00557A6F" w:rsidP="00557A6F">
      <w:r>
        <w:t xml:space="preserve">Dokumentene som ligger til grunn for vedtaket er Prop. 88 S (2017–2018) </w:t>
      </w:r>
      <w:r>
        <w:rPr>
          <w:rStyle w:val="kursiv"/>
          <w:sz w:val="21"/>
          <w:szCs w:val="21"/>
        </w:rPr>
        <w:t>Kommuneproposisjonen 2019</w:t>
      </w:r>
      <w:r>
        <w:t xml:space="preserve"> og Innst. 393 S (2017–2018).</w:t>
      </w:r>
    </w:p>
    <w:p w:rsidR="00557A6F" w:rsidRDefault="00557A6F" w:rsidP="00557A6F">
      <w:r>
        <w:t xml:space="preserve">Anmodningsvedtaket er ivaretatt gjennom Stortingets behandling av Prop. 113 S (2018–2019) </w:t>
      </w:r>
      <w:r>
        <w:rPr>
          <w:rStyle w:val="kursiv"/>
          <w:sz w:val="21"/>
          <w:szCs w:val="21"/>
        </w:rPr>
        <w:t>Kommuneproposisjonen 2020</w:t>
      </w:r>
      <w:r>
        <w:t>, jf. Innst. 405 S (2018–2019). Departementet anser med dette at anmo</w:t>
      </w:r>
      <w:r>
        <w:t>d</w:t>
      </w:r>
      <w:r>
        <w:t>ningsvedtaket er fulgt opp.</w:t>
      </w:r>
    </w:p>
    <w:p w:rsidR="00557A6F" w:rsidRDefault="00557A6F" w:rsidP="00557A6F">
      <w:pPr>
        <w:pStyle w:val="avsnitt-tittel"/>
      </w:pPr>
      <w:r>
        <w:t>Oppgaveoverføring til fylkeskommunene</w:t>
      </w:r>
    </w:p>
    <w:p w:rsidR="00557A6F" w:rsidRDefault="00557A6F" w:rsidP="00557A6F">
      <w:pPr>
        <w:pStyle w:val="avsnitt-undertittel"/>
      </w:pPr>
      <w:r>
        <w:t>Vedtak nr. 930, 13. juni 2018</w:t>
      </w:r>
    </w:p>
    <w:p w:rsidR="00557A6F" w:rsidRDefault="00557A6F" w:rsidP="00557A6F">
      <w:pPr>
        <w:pStyle w:val="blokksit"/>
      </w:pPr>
      <w:r>
        <w:t>«Stortinget ber regjeringen komme tilbake til Stortinget senest innen 15. oktober 2018 med en egen sak med samlet vurdering av oppgaveoverføringene til de nye fylkeskommunene basert på ekspertutvalgets ut</w:t>
      </w:r>
      <w:r>
        <w:lastRenderedPageBreak/>
        <w:t>redning. Dette gjelder også oppgaver som vil fases inn, og som ikke er klare for overføring fra 1. januar 2020.»</w:t>
      </w:r>
    </w:p>
    <w:p w:rsidR="00557A6F" w:rsidRDefault="00557A6F" w:rsidP="00557A6F">
      <w:r>
        <w:t xml:space="preserve">Dokumentene som ligger til grunn for vedtaket er Prop. 88 S (2017–2018) </w:t>
      </w:r>
      <w:r>
        <w:rPr>
          <w:rStyle w:val="kursiv"/>
          <w:sz w:val="21"/>
          <w:szCs w:val="21"/>
        </w:rPr>
        <w:t>Kommuneproposisjonen 2019</w:t>
      </w:r>
      <w:r>
        <w:t xml:space="preserve"> og Innst. 393 S (2017–2018).</w:t>
      </w:r>
    </w:p>
    <w:p w:rsidR="00557A6F" w:rsidRDefault="00557A6F" w:rsidP="00557A6F">
      <w:r>
        <w:t xml:space="preserve">Anmodningsvedtaket er ivaretatt gjennom Stortingets behandling av Meld. St. 6 (2018–2019) </w:t>
      </w:r>
      <w:r>
        <w:rPr>
          <w:rStyle w:val="kursiv"/>
          <w:sz w:val="21"/>
          <w:szCs w:val="21"/>
        </w:rPr>
        <w:t>Op</w:t>
      </w:r>
      <w:r>
        <w:rPr>
          <w:rStyle w:val="kursiv"/>
          <w:sz w:val="21"/>
          <w:szCs w:val="21"/>
        </w:rPr>
        <w:t>p</w:t>
      </w:r>
      <w:r>
        <w:rPr>
          <w:rStyle w:val="kursiv"/>
          <w:sz w:val="21"/>
          <w:szCs w:val="21"/>
        </w:rPr>
        <w:t>gaver til nye regioner,</w:t>
      </w:r>
      <w:r>
        <w:t xml:space="preserve"> jf. Innst. 119 S (2018–2019). Departementet anser med dette at anmodning</w:t>
      </w:r>
      <w:r>
        <w:t>s</w:t>
      </w:r>
      <w:r>
        <w:t>vedtaket er fulgt opp.</w:t>
      </w:r>
    </w:p>
    <w:p w:rsidR="00557A6F" w:rsidRDefault="00557A6F" w:rsidP="00557A6F">
      <w:pPr>
        <w:pStyle w:val="avsnitt-tittel"/>
      </w:pPr>
      <w:r>
        <w:t>Gjennomgang av kommunenes inntektssystem</w:t>
      </w:r>
    </w:p>
    <w:p w:rsidR="00557A6F" w:rsidRDefault="00557A6F" w:rsidP="00557A6F">
      <w:pPr>
        <w:pStyle w:val="avsnitt-undertittel"/>
      </w:pPr>
      <w:r>
        <w:t>Vedtak nr. 932, 13. juni 2018</w:t>
      </w:r>
    </w:p>
    <w:p w:rsidR="00557A6F" w:rsidRDefault="00557A6F" w:rsidP="00557A6F">
      <w:pPr>
        <w:pStyle w:val="blokksit"/>
      </w:pPr>
      <w:r>
        <w:t>«Stortinget ber regjeringen nedsette et bredt sammensatt offentlig utvalg for å gjennomgå in</w:t>
      </w:r>
      <w:r>
        <w:t>n</w:t>
      </w:r>
      <w:r>
        <w:t>tektssystemet for kommunene.»</w:t>
      </w:r>
    </w:p>
    <w:p w:rsidR="00557A6F" w:rsidRDefault="00557A6F" w:rsidP="00557A6F">
      <w:r>
        <w:t xml:space="preserve">Dokumentene som ligger til grunn for vedtaket er Prop. 88 S (2017–2018) </w:t>
      </w:r>
      <w:r>
        <w:rPr>
          <w:rStyle w:val="kursiv"/>
          <w:sz w:val="21"/>
          <w:szCs w:val="21"/>
        </w:rPr>
        <w:t>Kommuneproposisjonen 2019</w:t>
      </w:r>
      <w:r>
        <w:t xml:space="preserve"> og Innst. 393 S (2017–2018).</w:t>
      </w:r>
    </w:p>
    <w:p w:rsidR="00557A6F" w:rsidRDefault="00557A6F" w:rsidP="00557A6F">
      <w:r>
        <w:t xml:space="preserve">Departementet har foreløpig ikke nedsatt et offentlig utvalg for å gjennomgå inntektssystemet for kommunene. Departementet vil komme tilbake til Stortinget om oppfølgingen av vedtaket. </w:t>
      </w:r>
    </w:p>
    <w:p w:rsidR="00557A6F" w:rsidRDefault="00557A6F" w:rsidP="00557A6F">
      <w:pPr>
        <w:pStyle w:val="avsnitt-tittel"/>
      </w:pPr>
      <w:r>
        <w:t>Stortingssesjon 2016–2017</w:t>
      </w:r>
    </w:p>
    <w:p w:rsidR="00557A6F" w:rsidRDefault="00557A6F" w:rsidP="00557A6F">
      <w:pPr>
        <w:pStyle w:val="avsnitt-tittel"/>
      </w:pPr>
      <w:r>
        <w:t>Stryke listekandidater</w:t>
      </w:r>
    </w:p>
    <w:p w:rsidR="00557A6F" w:rsidRDefault="00557A6F" w:rsidP="00557A6F">
      <w:pPr>
        <w:pStyle w:val="avsnitt-undertittel"/>
      </w:pPr>
      <w:r>
        <w:t>Vedtak nr. 700, 23. mai 2017</w:t>
      </w:r>
    </w:p>
    <w:p w:rsidR="00557A6F" w:rsidRDefault="00557A6F" w:rsidP="00557A6F">
      <w:pPr>
        <w:pStyle w:val="blokksit"/>
      </w:pPr>
      <w:r>
        <w:t>«Stortinget ber regjeringen fremme forslag om å gjeninnføre velgernes mulighet til å stryke li</w:t>
      </w:r>
      <w:r>
        <w:t>s</w:t>
      </w:r>
      <w:r>
        <w:t>tekandidater ved fylkestings- og kommunestyrevalg.»</w:t>
      </w:r>
    </w:p>
    <w:p w:rsidR="00557A6F" w:rsidRDefault="00557A6F" w:rsidP="00557A6F">
      <w:r>
        <w:t>Dokumentene som ligger til grunn for vedtaket er representantforslag fra stortingsrepresentantene Helge André Njåstad, Ingebjørg Amanda Godskesen, Harald T. Nesvik, Ingjerd Schou, Michael Tetzschner og Frank J. Jenssen om å tillate stryking av listekandidater ved fylkestings- og ko</w:t>
      </w:r>
      <w:r>
        <w:t>m</w:t>
      </w:r>
      <w:r>
        <w:t>munestyrevalg, jf. Dok</w:t>
      </w:r>
      <w:r>
        <w:t>u</w:t>
      </w:r>
      <w:r>
        <w:t>ment 8:14 S og Innst. 306 S (2016–2017).</w:t>
      </w:r>
    </w:p>
    <w:p w:rsidR="00557A6F" w:rsidRDefault="00557A6F" w:rsidP="00557A6F">
      <w:r>
        <w:t>Valglovutvalget vil vurdere hvordan anmodningsvedtaket kan følges opp. Dette vil sikre en gru</w:t>
      </w:r>
      <w:r>
        <w:t>n</w:t>
      </w:r>
      <w:r>
        <w:t>dig behandling av spørsmålet og god sammenheng med øvrige elementer i valgordningen. Val</w:t>
      </w:r>
      <w:r>
        <w:t>g</w:t>
      </w:r>
      <w:r>
        <w:t>lovutvalget skal legge fram sin utredning innen 31. mai 2020. Utredningen skal deretter på en bred høring, før depa</w:t>
      </w:r>
      <w:r>
        <w:t>r</w:t>
      </w:r>
      <w:r>
        <w:t>tementet fremmer forslag til lovendring.</w:t>
      </w:r>
    </w:p>
    <w:p w:rsidR="00557A6F" w:rsidRDefault="00557A6F" w:rsidP="00557A6F">
      <w:pPr>
        <w:pStyle w:val="avsnitt-tittel"/>
      </w:pPr>
      <w:r>
        <w:t>Hyblifisering</w:t>
      </w:r>
    </w:p>
    <w:p w:rsidR="00557A6F" w:rsidRDefault="00557A6F" w:rsidP="00557A6F">
      <w:pPr>
        <w:pStyle w:val="avsnitt-undertittel"/>
      </w:pPr>
      <w:r>
        <w:t>Vedtak nr. 705, 29. mai 2017</w:t>
      </w:r>
    </w:p>
    <w:p w:rsidR="00557A6F" w:rsidRDefault="00557A6F" w:rsidP="00557A6F">
      <w:pPr>
        <w:pStyle w:val="blokksit"/>
      </w:pPr>
      <w:r>
        <w:t>«Stortinget ber regjeringen komme tilbake til Stortinget med et helhetlig lovforslag som vurderer problem</w:t>
      </w:r>
      <w:r>
        <w:t>s</w:t>
      </w:r>
      <w:r>
        <w:t>tillingen om hyblifisering både i eierseksjonsloven og i plan- og bygningsloven.»</w:t>
      </w:r>
    </w:p>
    <w:p w:rsidR="00557A6F" w:rsidRDefault="00557A6F" w:rsidP="00557A6F">
      <w:r>
        <w:t xml:space="preserve">Dokumentene som ligger til grunn for vedtaket er Prop. 39 L (2016–2017) </w:t>
      </w:r>
      <w:r>
        <w:rPr>
          <w:rStyle w:val="kursiv"/>
          <w:sz w:val="21"/>
          <w:szCs w:val="21"/>
        </w:rPr>
        <w:t>Lov om eierseksjoner (e</w:t>
      </w:r>
      <w:r>
        <w:rPr>
          <w:rStyle w:val="kursiv"/>
          <w:sz w:val="21"/>
          <w:szCs w:val="21"/>
        </w:rPr>
        <w:t>i</w:t>
      </w:r>
      <w:r>
        <w:rPr>
          <w:rStyle w:val="kursiv"/>
          <w:sz w:val="21"/>
          <w:szCs w:val="21"/>
        </w:rPr>
        <w:t>erseksjonsloven)</w:t>
      </w:r>
      <w:r>
        <w:t xml:space="preserve"> og Innst. 308 L (2016–2017). </w:t>
      </w:r>
    </w:p>
    <w:p w:rsidR="00557A6F" w:rsidRDefault="00557A6F" w:rsidP="00557A6F">
      <w:r>
        <w:t>Departementet sendte et lovforslag på høring i mai 2019, og planlegger å komme tilbake til Sto</w:t>
      </w:r>
      <w:r>
        <w:t>r</w:t>
      </w:r>
      <w:r>
        <w:t xml:space="preserve">tinget i løpet av 2020. </w:t>
      </w:r>
    </w:p>
    <w:p w:rsidR="00557A6F" w:rsidRDefault="00557A6F" w:rsidP="00557A6F">
      <w:pPr>
        <w:pStyle w:val="avsnitt-tittel"/>
      </w:pPr>
      <w:r>
        <w:lastRenderedPageBreak/>
        <w:t>Korttidsutleie av boligseksjoner</w:t>
      </w:r>
    </w:p>
    <w:p w:rsidR="00557A6F" w:rsidRDefault="00557A6F" w:rsidP="00557A6F">
      <w:pPr>
        <w:pStyle w:val="avsnitt-undertittel"/>
      </w:pPr>
      <w:r>
        <w:t>Vedtak nr. 706, 29. mai 2017</w:t>
      </w:r>
    </w:p>
    <w:p w:rsidR="00557A6F" w:rsidRDefault="00557A6F" w:rsidP="00557A6F">
      <w:pPr>
        <w:pStyle w:val="blokksit"/>
      </w:pPr>
      <w:r>
        <w:t>«Stortinget ber regjeringen komme tilbake til Stortinget med forslag til lovgivning for korttidsu</w:t>
      </w:r>
      <w:r>
        <w:t>t</w:t>
      </w:r>
      <w:r>
        <w:t>leie av b</w:t>
      </w:r>
      <w:r>
        <w:t>o</w:t>
      </w:r>
      <w:r>
        <w:t>ligseksjoner.»</w:t>
      </w:r>
    </w:p>
    <w:p w:rsidR="00557A6F" w:rsidRDefault="00557A6F" w:rsidP="00557A6F">
      <w:r>
        <w:t xml:space="preserve">Dokumentene som ligger til grunn for vedtaket er Prop. 39 L (2016–2017) </w:t>
      </w:r>
      <w:r>
        <w:rPr>
          <w:rStyle w:val="kursiv"/>
          <w:sz w:val="21"/>
          <w:szCs w:val="21"/>
        </w:rPr>
        <w:t>Lov om eierseksjoner (e</w:t>
      </w:r>
      <w:r>
        <w:rPr>
          <w:rStyle w:val="kursiv"/>
          <w:sz w:val="21"/>
          <w:szCs w:val="21"/>
        </w:rPr>
        <w:t>i</w:t>
      </w:r>
      <w:r>
        <w:rPr>
          <w:rStyle w:val="kursiv"/>
          <w:sz w:val="21"/>
          <w:szCs w:val="21"/>
        </w:rPr>
        <w:t>erseksjonsloven)</w:t>
      </w:r>
      <w:r>
        <w:t xml:space="preserve"> og Innst. 308 L (2016–2017). </w:t>
      </w:r>
    </w:p>
    <w:p w:rsidR="00557A6F" w:rsidRDefault="00557A6F" w:rsidP="00557A6F">
      <w:r>
        <w:t xml:space="preserve">Departementet la i desember 2018 fram Prop. 36 L (2018–2019) </w:t>
      </w:r>
      <w:r>
        <w:rPr>
          <w:rStyle w:val="kursiv"/>
          <w:sz w:val="21"/>
          <w:szCs w:val="21"/>
        </w:rPr>
        <w:t>Endringar i eigarseksjonslova mv. (korttidsut</w:t>
      </w:r>
      <w:r>
        <w:rPr>
          <w:rStyle w:val="kursiv"/>
          <w:sz w:val="21"/>
          <w:szCs w:val="21"/>
        </w:rPr>
        <w:t>l</w:t>
      </w:r>
      <w:r>
        <w:rPr>
          <w:rStyle w:val="kursiv"/>
          <w:sz w:val="21"/>
          <w:szCs w:val="21"/>
        </w:rPr>
        <w:t>eige, skjerpa ervervsavgrensing og eigarskiftegebyr)</w:t>
      </w:r>
      <w:r>
        <w:t>. Stortinget vedtok lovendringene i april 2019, og de vil tre i kraft 1. januar 2020. Adgangen til å drive med korttidsutleie i eierseksjon</w:t>
      </w:r>
      <w:r>
        <w:t>s</w:t>
      </w:r>
      <w:r>
        <w:t>sameier begrenses etter dette til 90 døgn per år. Begrensningen skal ikke gjelde dersom seksjon</w:t>
      </w:r>
      <w:r>
        <w:t>s</w:t>
      </w:r>
      <w:r>
        <w:t>eier kun leier ut deler av boligen (for eksempel ett rom), og heller ikke dersom vedkommende v</w:t>
      </w:r>
      <w:r>
        <w:t>e</w:t>
      </w:r>
      <w:r>
        <w:t>derlagsfritt låner ut boligen. Sameiene kan selv endre begren</w:t>
      </w:r>
      <w:r>
        <w:t>s</w:t>
      </w:r>
      <w:r>
        <w:t>ningen innenfor intervallet 60 til 120 dager. Departementet anser med dette at anmodningsvedtaket er fulgt opp.</w:t>
      </w:r>
    </w:p>
    <w:p w:rsidR="00557A6F" w:rsidRDefault="00557A6F" w:rsidP="00557A6F">
      <w:pPr>
        <w:pStyle w:val="avsnitt-tittel"/>
      </w:pPr>
      <w:r>
        <w:t>Ervervsbegrensning i boligsameier</w:t>
      </w:r>
    </w:p>
    <w:p w:rsidR="00557A6F" w:rsidRDefault="00557A6F" w:rsidP="00557A6F">
      <w:pPr>
        <w:pStyle w:val="avsnitt-undertittel"/>
      </w:pPr>
      <w:r>
        <w:t>Vedtak nr. 707, 29. mai 2017</w:t>
      </w:r>
    </w:p>
    <w:p w:rsidR="00557A6F" w:rsidRDefault="00557A6F" w:rsidP="00557A6F">
      <w:pPr>
        <w:pStyle w:val="blokksit"/>
      </w:pPr>
      <w:r>
        <w:t>«Stortinget ber regjeringen komme tilbake til Stortinget med et lovforslag som sikrer at Stortin</w:t>
      </w:r>
      <w:r>
        <w:t>g</w:t>
      </w:r>
      <w:r>
        <w:t>ets intensjon med en ervervsbegrensning i boligsameier blir fulgt.»</w:t>
      </w:r>
    </w:p>
    <w:p w:rsidR="00557A6F" w:rsidRDefault="00557A6F" w:rsidP="00557A6F">
      <w:r>
        <w:t xml:space="preserve">Dokumentene som ligger til grunn for vedtaket er Prop. 39 L (2016–2017) </w:t>
      </w:r>
      <w:r>
        <w:rPr>
          <w:rStyle w:val="kursiv"/>
          <w:sz w:val="21"/>
          <w:szCs w:val="21"/>
        </w:rPr>
        <w:t>Lov om eierseksjoner (e</w:t>
      </w:r>
      <w:r>
        <w:rPr>
          <w:rStyle w:val="kursiv"/>
          <w:sz w:val="21"/>
          <w:szCs w:val="21"/>
        </w:rPr>
        <w:t>i</w:t>
      </w:r>
      <w:r>
        <w:rPr>
          <w:rStyle w:val="kursiv"/>
          <w:sz w:val="21"/>
          <w:szCs w:val="21"/>
        </w:rPr>
        <w:t>erseksjonsloven)</w:t>
      </w:r>
      <w:r>
        <w:t xml:space="preserve"> og Innst. 308 L (2016–2017). </w:t>
      </w:r>
    </w:p>
    <w:p w:rsidR="00557A6F" w:rsidRDefault="00557A6F" w:rsidP="00557A6F">
      <w:r>
        <w:t xml:space="preserve">Departementet la i desember 2018 fram Prop. 36 L (2018–2019) </w:t>
      </w:r>
      <w:r>
        <w:rPr>
          <w:rStyle w:val="kursiv"/>
          <w:spacing w:val="2"/>
          <w:sz w:val="21"/>
          <w:szCs w:val="21"/>
        </w:rPr>
        <w:t>Endringar i eigarseksjonslova mv. (korttid</w:t>
      </w:r>
      <w:r>
        <w:rPr>
          <w:rStyle w:val="kursiv"/>
          <w:spacing w:val="2"/>
          <w:sz w:val="21"/>
          <w:szCs w:val="21"/>
        </w:rPr>
        <w:t>s</w:t>
      </w:r>
      <w:r>
        <w:rPr>
          <w:rStyle w:val="kursiv"/>
          <w:spacing w:val="2"/>
          <w:sz w:val="21"/>
          <w:szCs w:val="21"/>
        </w:rPr>
        <w:t>utleige, skjerpa ervervsavgrensing og eigarskiftegebyr)</w:t>
      </w:r>
      <w:r>
        <w:t>. Stortinget vedtok lovendringene i april 2019, og de vil tre i kraft 1. januar 2020. Lovendringene går ut på at også «indirekte» kjøp av b</w:t>
      </w:r>
      <w:r>
        <w:t>o</w:t>
      </w:r>
      <w:r>
        <w:t>ligseksjoner rammes av forbudet mot å kjøpe flere enn to boliger i ett og samme sameie («erverv</w:t>
      </w:r>
      <w:r>
        <w:t>s</w:t>
      </w:r>
      <w:r>
        <w:t>begrensningen»). Departementet anser med dette at anmodningsvedtaket er fulgt opp.</w:t>
      </w:r>
    </w:p>
    <w:p w:rsidR="00557A6F" w:rsidRDefault="00557A6F" w:rsidP="00557A6F">
      <w:pPr>
        <w:pStyle w:val="avsnitt-tittel"/>
      </w:pPr>
      <w:r>
        <w:t>Ladepunkt i borettslag og sameier</w:t>
      </w:r>
    </w:p>
    <w:p w:rsidR="00557A6F" w:rsidRDefault="00557A6F" w:rsidP="00557A6F">
      <w:pPr>
        <w:pStyle w:val="avsnitt-undertittel"/>
      </w:pPr>
      <w:r>
        <w:t>Vedtak nr. 716, 30. mai 2017</w:t>
      </w:r>
    </w:p>
    <w:p w:rsidR="00557A6F" w:rsidRDefault="00557A6F" w:rsidP="00557A6F">
      <w:pPr>
        <w:pStyle w:val="blokksit"/>
      </w:pPr>
      <w:r>
        <w:t>«Stortinget ber regjeringen fremme forslag til utforming av nasjonal regulering som sikrer eiere i borett</w:t>
      </w:r>
      <w:r>
        <w:t>s</w:t>
      </w:r>
      <w:r>
        <w:t>lag og sameier rett til å anlegge ladepunkt – med mindre det foreligger saklig grunn for at en slik etabl</w:t>
      </w:r>
      <w:r>
        <w:t>e</w:t>
      </w:r>
      <w:r>
        <w:t>ring ikke kan finne sted.»</w:t>
      </w:r>
    </w:p>
    <w:p w:rsidR="00557A6F" w:rsidRDefault="00557A6F" w:rsidP="00557A6F">
      <w:r>
        <w:t>Dokumentene som ligger til grunn for vedtaket er representantforslag fra stortingsrepresentantene Audun Lysbakken, Heikki Eidsvoll Holmås og Abid Q. Raja om å sikre at alle i borettslag og sa</w:t>
      </w:r>
      <w:r>
        <w:t>m</w:t>
      </w:r>
      <w:r>
        <w:t>eier får mulighet til å lade elbilene sine, samt opptrappingsplan for salg av nullutslippsbiler, jf. Dokument 8:70 S og Innst. 315 S (2016–2017).</w:t>
      </w:r>
    </w:p>
    <w:p w:rsidR="00557A6F" w:rsidRDefault="00557A6F" w:rsidP="00557A6F">
      <w:r>
        <w:t>Departementet sendte et lovforslag på høring i mai 2019, og planlegger å komme tilbake til Sto</w:t>
      </w:r>
      <w:r>
        <w:t>r</w:t>
      </w:r>
      <w:r>
        <w:t>tinget i løpet av 2020.</w:t>
      </w:r>
    </w:p>
    <w:p w:rsidR="00557A6F" w:rsidRDefault="00557A6F" w:rsidP="00557A6F">
      <w:pPr>
        <w:pStyle w:val="avsnitt-tittel"/>
      </w:pPr>
      <w:r>
        <w:lastRenderedPageBreak/>
        <w:t>Ladeklare bygg</w:t>
      </w:r>
    </w:p>
    <w:p w:rsidR="00557A6F" w:rsidRDefault="00557A6F" w:rsidP="00557A6F">
      <w:pPr>
        <w:pStyle w:val="avsnitt-undertittel"/>
      </w:pPr>
      <w:r>
        <w:t>Vedtak nr. 717, 30. mai 2017</w:t>
      </w:r>
    </w:p>
    <w:p w:rsidR="00557A6F" w:rsidRDefault="00557A6F" w:rsidP="00557A6F">
      <w:pPr>
        <w:pStyle w:val="blokksit"/>
      </w:pPr>
      <w:r>
        <w:t>«Stortinget ber regjeringen vurdere hvordan man kan innføre krav til at nye bygg og bygg som underlegges større ombygginger, skal være ladeklare bygg.»</w:t>
      </w:r>
    </w:p>
    <w:p w:rsidR="00557A6F" w:rsidRDefault="00557A6F" w:rsidP="00557A6F">
      <w:r>
        <w:t>Dokumentene som ligger til grunn for vedtaket er representantforslag fra stortingsrepresentantene Audun Lysbakken, Heikki Eidsvoll Holmås og Abid Q. Raja om å sikre at alle i borettslag og sa</w:t>
      </w:r>
      <w:r>
        <w:t>m</w:t>
      </w:r>
      <w:r>
        <w:t>eier får mulighet til å lade elbilene sine, samt opptrappingsplan for salg av nullutslippsbiler, jf. Dokument 8:70 S og Innst. 315 S (2016–2017).</w:t>
      </w:r>
    </w:p>
    <w:p w:rsidR="00557A6F" w:rsidRDefault="00557A6F" w:rsidP="00557A6F">
      <w:r>
        <w:t>Direktoratet for byggkvalitet har utredet flere problemstillinger ved å innføre krav om lademuli</w:t>
      </w:r>
      <w:r>
        <w:t>g</w:t>
      </w:r>
      <w:r>
        <w:t>het. Det er behov for å utrede ytterligere problemstillinger knyttet til vedtaket, herunder brannsi</w:t>
      </w:r>
      <w:r>
        <w:t>k</w:t>
      </w:r>
      <w:r>
        <w:t>kerhet og kostnader. Departeme</w:t>
      </w:r>
      <w:r>
        <w:t>n</w:t>
      </w:r>
      <w:r>
        <w:t>tet følger opp i 2019, og tar sikte på å komme tilbake til Stortinget i 2020.</w:t>
      </w:r>
    </w:p>
    <w:p w:rsidR="00557A6F" w:rsidRDefault="00557A6F" w:rsidP="00557A6F">
      <w:r>
        <w:t>Departementet ser oppfølging av vedtaket i sammenheng med anmodningsvedtak nr. 716 og ove</w:t>
      </w:r>
      <w:r>
        <w:t>r</w:t>
      </w:r>
      <w:r>
        <w:t>ordnede vurderinger i Olje- og energidepartementet og Samferdselsdepartementet om energifors</w:t>
      </w:r>
      <w:r>
        <w:t>y</w:t>
      </w:r>
      <w:r>
        <w:t>ning og tilrettelegging av ladepunkter på offentlige parkeringsarealer.</w:t>
      </w:r>
    </w:p>
    <w:p w:rsidR="00557A6F" w:rsidRDefault="00557A6F" w:rsidP="00557A6F">
      <w:pPr>
        <w:pStyle w:val="avsnitt-tittel"/>
      </w:pPr>
      <w:r>
        <w:t>Sørsamisk språk</w:t>
      </w:r>
    </w:p>
    <w:p w:rsidR="00557A6F" w:rsidRDefault="00557A6F" w:rsidP="00557A6F">
      <w:pPr>
        <w:pStyle w:val="avsnitt-undertittel"/>
      </w:pPr>
      <w:r>
        <w:t>Vedtak nr. 845, 8. juni 2017</w:t>
      </w:r>
    </w:p>
    <w:p w:rsidR="00557A6F" w:rsidRDefault="00557A6F" w:rsidP="00557A6F">
      <w:pPr>
        <w:pStyle w:val="blokksit"/>
      </w:pPr>
      <w:r>
        <w:t>«Stortinget ber regjeringen i oppfølgingen av NOU 2016: 18 Hjertespråket om å ha en særlig oppmerksomhet rettet mot sørsamisk språk og sammenhengene mellom språk, kultur og næring, og komme tilbake til Stortinget på en egnet måte med konkrete forslag til oppfølging av dette.»</w:t>
      </w:r>
    </w:p>
    <w:p w:rsidR="00557A6F" w:rsidRDefault="00557A6F" w:rsidP="00557A6F">
      <w:r>
        <w:t>Dokumentene som ligger til grunn for vedtaket er Prop. 1 S (2017–2018) for Kommunal- og m</w:t>
      </w:r>
      <w:r>
        <w:t>o</w:t>
      </w:r>
      <w:r>
        <w:t>derniseringsdepartementet og Innst. 16 S (2017–2018).</w:t>
      </w:r>
    </w:p>
    <w:p w:rsidR="00557A6F" w:rsidRDefault="00557A6F" w:rsidP="00557A6F">
      <w:r>
        <w:t xml:space="preserve">Regjeringen følger opp anmodningsvedtaket som ledd i oppfølgingen av NOU 2016: 18 </w:t>
      </w:r>
      <w:r>
        <w:rPr>
          <w:rStyle w:val="kursiv"/>
          <w:sz w:val="21"/>
          <w:szCs w:val="21"/>
        </w:rPr>
        <w:t>Hjertespr</w:t>
      </w:r>
      <w:r>
        <w:rPr>
          <w:rStyle w:val="kursiv"/>
          <w:sz w:val="21"/>
          <w:szCs w:val="21"/>
        </w:rPr>
        <w:t>å</w:t>
      </w:r>
      <w:r>
        <w:rPr>
          <w:rStyle w:val="kursiv"/>
          <w:sz w:val="21"/>
          <w:szCs w:val="21"/>
        </w:rPr>
        <w:t>ket,</w:t>
      </w:r>
      <w:r>
        <w:t xml:space="preserve"> og vil komme tilbake til Stortinget på egnet måte. </w:t>
      </w:r>
    </w:p>
    <w:p w:rsidR="00557A6F" w:rsidRDefault="00557A6F" w:rsidP="00557A6F">
      <w:pPr>
        <w:pStyle w:val="avsnitt-tittel"/>
      </w:pPr>
      <w:r>
        <w:t>Midlertidige ansettelser i staten</w:t>
      </w:r>
    </w:p>
    <w:p w:rsidR="00557A6F" w:rsidRDefault="00557A6F" w:rsidP="00557A6F">
      <w:pPr>
        <w:pStyle w:val="avsnitt-undertittel"/>
      </w:pPr>
      <w:r>
        <w:t>Vedtak nr. 872, 12. juni 2017</w:t>
      </w:r>
    </w:p>
    <w:p w:rsidR="00557A6F" w:rsidRDefault="00557A6F" w:rsidP="00557A6F">
      <w:pPr>
        <w:pStyle w:val="blokksit"/>
      </w:pPr>
      <w:r>
        <w:t>«Stortinget ber regjeringen evaluere effekten av nye regler for midlertidige ansettelser i staten e</w:t>
      </w:r>
      <w:r>
        <w:t>t</w:t>
      </w:r>
      <w:r>
        <w:t>ter to års virketid. Resultatene skal drøftes med hovedsammenslutningene i staten og legges frem for Stortinget på egnet måte.»</w:t>
      </w:r>
    </w:p>
    <w:p w:rsidR="00557A6F" w:rsidRDefault="00557A6F" w:rsidP="00557A6F">
      <w:r>
        <w:t xml:space="preserve">Dokumentene som ligger til grunn for vedtaket er Prop. 94 L (2016–2017) </w:t>
      </w:r>
      <w:r>
        <w:rPr>
          <w:rStyle w:val="kursiv"/>
          <w:sz w:val="21"/>
          <w:szCs w:val="21"/>
        </w:rPr>
        <w:t>Lov om statens ansatte mv. (statsansatteloven)</w:t>
      </w:r>
      <w:r>
        <w:t xml:space="preserve"> og Innst. 424 L (2016–2017).</w:t>
      </w:r>
    </w:p>
    <w:p w:rsidR="00557A6F" w:rsidRDefault="00557A6F" w:rsidP="00557A6F">
      <w:r>
        <w:t>Statsansatteloven trådte i kraft 1. juli 2017. I statsansatteloven ble reglene om midlertidig ansettelse i stor grad harmonisert med arbeidsmiljølovens regler. Formålet med dette var å legge grunnlaget for en innstramming av reglene og redusere bruken av midlertidige ansettelser i statlige virkso</w:t>
      </w:r>
      <w:r>
        <w:t>m</w:t>
      </w:r>
      <w:r>
        <w:t>heter. Kommunal- og moderniseringsdepartementet har gjennomført spørreundersøkelser i vir</w:t>
      </w:r>
      <w:r>
        <w:t>k</w:t>
      </w:r>
      <w:r>
        <w:t>somhetene, samt fått gjennomført en evaluering av Arbeidsforskningsinstituttet (AFI) for å unde</w:t>
      </w:r>
      <w:r>
        <w:t>r</w:t>
      </w:r>
      <w:r>
        <w:t>søke om de nye reglene har hatt effekt på bruken av midlertidige anse</w:t>
      </w:r>
      <w:r>
        <w:t>t</w:t>
      </w:r>
      <w:r>
        <w:t xml:space="preserve">telser i staten. Rapportens funn og hovedkonklusjoner har blitt drøftet med hovedsammenslutningene i staten. </w:t>
      </w:r>
    </w:p>
    <w:p w:rsidR="00557A6F" w:rsidRDefault="00557A6F" w:rsidP="00557A6F">
      <w:r>
        <w:t>I rapporten peker AFI på at regelendringene så langt har hatt begrenset betydning for bruken av midlertidige anse</w:t>
      </w:r>
      <w:r>
        <w:t>t</w:t>
      </w:r>
      <w:r>
        <w:t>telser i statlige virksomheter. Departementet viser til at partene legger vekt på at det er vansk</w:t>
      </w:r>
      <w:r>
        <w:t>e</w:t>
      </w:r>
      <w:r>
        <w:t xml:space="preserve">lig å måle effekter av regelendringene etter så kort tid, og at det også er andre faktorer som påvirker bruken av midlertidige ansettelser, </w:t>
      </w:r>
      <w:r>
        <w:lastRenderedPageBreak/>
        <w:t>blant annet omstilling i staten og budsjettkutt. Samtidig trekker AFI fram at for eksempel den lovbestemte drø</w:t>
      </w:r>
      <w:r>
        <w:t>f</w:t>
      </w:r>
      <w:r>
        <w:t>tingsplikten vil kunne medføre færre midlertidige ansettelser fremover. I drøftingen kom det gode forslag og innspill som depa</w:t>
      </w:r>
      <w:r>
        <w:t>r</w:t>
      </w:r>
      <w:r>
        <w:t>tementet tar med i det videre arbeidet med å redusere bruken av midlertidige ansettelser. Blant a</w:t>
      </w:r>
      <w:r>
        <w:t>n</w:t>
      </w:r>
      <w:r>
        <w:t>net vil departementet vurdere å gjenta evalueringen på et senere tidspunkt. Departementet anser med dette at anmodning</w:t>
      </w:r>
      <w:r>
        <w:t>s</w:t>
      </w:r>
      <w:r>
        <w:t>vedtaket er fulgt opp.</w:t>
      </w:r>
    </w:p>
    <w:p w:rsidR="00557A6F" w:rsidRDefault="00557A6F" w:rsidP="00557A6F">
      <w:pPr>
        <w:pStyle w:val="avsnitt-tittel"/>
      </w:pPr>
      <w:r>
        <w:t>Samarbeid mellom staten og private aktører</w:t>
      </w:r>
    </w:p>
    <w:p w:rsidR="00557A6F" w:rsidRDefault="00557A6F" w:rsidP="00557A6F">
      <w:pPr>
        <w:pStyle w:val="avsnitt-undertittel"/>
      </w:pPr>
      <w:r>
        <w:t>Vedtak nr. 1004, 20. juni 2017</w:t>
      </w:r>
    </w:p>
    <w:p w:rsidR="00557A6F" w:rsidRDefault="00557A6F" w:rsidP="00557A6F">
      <w:pPr>
        <w:pStyle w:val="blokksit"/>
      </w:pPr>
      <w:r>
        <w:t>«Stortinget ber regjeringen gjøre en gjennomgang av prinsipper og retningslinjer for samarbeid mellom staten og private aktører, med siktemål å redusere offentlige aktiviteter i velfungerende private/kommersielle markeder. Gjennomgangen bør være klar i løpet av 2018.»</w:t>
      </w:r>
    </w:p>
    <w:p w:rsidR="00557A6F" w:rsidRDefault="00557A6F" w:rsidP="00557A6F">
      <w:r>
        <w:t>Dokumentene som ligger til grunn for vedtaket er representantforslag fra stortingsrepresentantene Trine Skei Grande, Pål Farstad og Sveinung Rotevatn om en gjennomgang av statens organisering og utbrede</w:t>
      </w:r>
      <w:r>
        <w:t>l</w:t>
      </w:r>
      <w:r>
        <w:t>se med formål å redusere offentlig aktivitet i velfungerende kommersielle markeder, jf. Dokument 8:80 S og Innst. 481 S (2016–2017).</w:t>
      </w:r>
    </w:p>
    <w:p w:rsidR="00557A6F" w:rsidRDefault="00557A6F" w:rsidP="00557A6F">
      <w:r>
        <w:t>Kommunal- og moderniseringsdepartementet gjennomførte våren 2018 en kartlegging hos alle d</w:t>
      </w:r>
      <w:r>
        <w:t>e</w:t>
      </w:r>
      <w:r>
        <w:t>partementene av hva som finnes i ulike statlige virksomheter av prinsipper, retningslinjer og pra</w:t>
      </w:r>
      <w:r>
        <w:t>k</w:t>
      </w:r>
      <w:r>
        <w:t>sis knyttet til bruk av ma</w:t>
      </w:r>
      <w:r>
        <w:t>r</w:t>
      </w:r>
      <w:r>
        <w:t>kedsaktører. Hovedinntrykket fra kartleggingen er at virksomhetene er bevisste på hvo</w:t>
      </w:r>
      <w:r>
        <w:t>r</w:t>
      </w:r>
      <w:r>
        <w:t>vidt de opererer i et såkalt velfungerende marked eller ikke. Regjeringen har de siste årene gjennomført en rekke tiltak som skal sikre samarbeid mellom offentlige og private virksomheter, øke konkurransen og stimulere innovasjonskraften hos private markedsaktører. Det pågår fortsatt viktig arbeid som utvikler samarbeidet mellom staten og private aktører. Det vises til nærmere redegjørelse for gjennomgangen under programkategori 13.40. Departementet anser med dette at anmodningsvedtaket er fulgt opp.</w:t>
      </w:r>
    </w:p>
    <w:p w:rsidR="00557A6F" w:rsidRDefault="00557A6F" w:rsidP="00557A6F">
      <w:pPr>
        <w:pStyle w:val="avsnitt-tittel"/>
      </w:pPr>
      <w:r>
        <w:t>Overføring av eiendom</w:t>
      </w:r>
    </w:p>
    <w:p w:rsidR="00557A6F" w:rsidRDefault="00557A6F" w:rsidP="00557A6F">
      <w:pPr>
        <w:pStyle w:val="avsnitt-undertittel"/>
      </w:pPr>
      <w:r>
        <w:t>Vedtak nr. 1108, 21. juni 2017</w:t>
      </w:r>
    </w:p>
    <w:p w:rsidR="00557A6F" w:rsidRDefault="00557A6F" w:rsidP="00557A6F">
      <w:pPr>
        <w:pStyle w:val="blokksit"/>
      </w:pPr>
      <w:r>
        <w:t>«Stortinget ber regjeringen raskt vurdere overføring av eiendommen som i dag er i bruk av Sti</w:t>
      </w:r>
      <w:r>
        <w:t>f</w:t>
      </w:r>
      <w:r>
        <w:t>telsen Nidaros Pilegrimsgård fra Statsbygg til andre aktører.»</w:t>
      </w:r>
    </w:p>
    <w:p w:rsidR="00557A6F" w:rsidRDefault="00557A6F" w:rsidP="00557A6F">
      <w:r>
        <w:t xml:space="preserve">Dokumentene som ligger til grunn for vedtaket er Prop. 129 S (2016–2017) </w:t>
      </w:r>
      <w:r>
        <w:rPr>
          <w:rStyle w:val="kursiv"/>
          <w:sz w:val="21"/>
          <w:szCs w:val="21"/>
        </w:rPr>
        <w:t>Tilleggsbevilgninger og o</w:t>
      </w:r>
      <w:r>
        <w:rPr>
          <w:rStyle w:val="kursiv"/>
          <w:sz w:val="21"/>
          <w:szCs w:val="21"/>
        </w:rPr>
        <w:t>m</w:t>
      </w:r>
      <w:r>
        <w:rPr>
          <w:rStyle w:val="kursiv"/>
          <w:sz w:val="21"/>
          <w:szCs w:val="21"/>
        </w:rPr>
        <w:t>prioriteringer i statsbudsjettet 2017</w:t>
      </w:r>
      <w:r>
        <w:t xml:space="preserve"> og Innst. 401 S (2016–2017).</w:t>
      </w:r>
    </w:p>
    <w:p w:rsidR="00557A6F" w:rsidRDefault="00557A6F" w:rsidP="00557A6F">
      <w:r>
        <w:t xml:space="preserve">Anmodningsvedtaket er ivaretatt gjennom Stortingets behandling av Prop. 114 S (2018–2019) </w:t>
      </w:r>
      <w:r>
        <w:rPr>
          <w:rStyle w:val="kursiv"/>
          <w:sz w:val="21"/>
          <w:szCs w:val="21"/>
        </w:rPr>
        <w:t>Ti</w:t>
      </w:r>
      <w:r>
        <w:rPr>
          <w:rStyle w:val="kursiv"/>
          <w:sz w:val="21"/>
          <w:szCs w:val="21"/>
        </w:rPr>
        <w:t>l</w:t>
      </w:r>
      <w:r>
        <w:rPr>
          <w:rStyle w:val="kursiv"/>
          <w:sz w:val="21"/>
          <w:szCs w:val="21"/>
        </w:rPr>
        <w:t>leggsbevil</w:t>
      </w:r>
      <w:r>
        <w:rPr>
          <w:rStyle w:val="kursiv"/>
          <w:sz w:val="21"/>
          <w:szCs w:val="21"/>
        </w:rPr>
        <w:t>g</w:t>
      </w:r>
      <w:r>
        <w:rPr>
          <w:rStyle w:val="kursiv"/>
          <w:sz w:val="21"/>
          <w:szCs w:val="21"/>
        </w:rPr>
        <w:t>ninger og omprioriteringer i statsbudsjettet 2019</w:t>
      </w:r>
      <w:r>
        <w:t>, jf. Innst. 391 S (2018–2019). Departementet anser med dette at anmodningsvedtaket er fulgt opp.</w:t>
      </w:r>
    </w:p>
    <w:p w:rsidR="00557A6F" w:rsidRDefault="00557A6F" w:rsidP="00557A6F">
      <w:pPr>
        <w:pStyle w:val="avsnitt-tittel"/>
      </w:pPr>
      <w:r>
        <w:t>Stortingssesjon 2015–2016</w:t>
      </w:r>
    </w:p>
    <w:p w:rsidR="00557A6F" w:rsidRDefault="00557A6F" w:rsidP="00557A6F">
      <w:pPr>
        <w:pStyle w:val="avsnitt-tittel"/>
      </w:pPr>
      <w:r>
        <w:t>Registrering av økonomiske interesser for departementsråder</w:t>
      </w:r>
    </w:p>
    <w:p w:rsidR="00557A6F" w:rsidRDefault="00557A6F" w:rsidP="00557A6F">
      <w:pPr>
        <w:pStyle w:val="avsnitt-undertittel"/>
      </w:pPr>
      <w:r>
        <w:t xml:space="preserve">Vedtak nr. 590, 12. april 2016 </w:t>
      </w:r>
    </w:p>
    <w:p w:rsidR="00557A6F" w:rsidRDefault="00557A6F" w:rsidP="00557A6F">
      <w:pPr>
        <w:pStyle w:val="blokksit"/>
      </w:pPr>
      <w:r>
        <w:t>«Stortinget ber regjeringen vurdere om tilsvarende regler som gjelder for registrering av regj</w:t>
      </w:r>
      <w:r>
        <w:t>e</w:t>
      </w:r>
      <w:r>
        <w:t>ringsmedlemmers økonomiske interesser, bør gjøres gjeldende for departementsråder.»</w:t>
      </w:r>
    </w:p>
    <w:p w:rsidR="00557A6F" w:rsidRDefault="00557A6F" w:rsidP="00557A6F">
      <w:r>
        <w:lastRenderedPageBreak/>
        <w:t>Dokumentene som ligger til grunn for vedtaket er representantforslag fra stortingsrepresentant Torgeir Knag Fylkesnes om endring av Stortingets forretningsorden for å sikre åpenhet om repr</w:t>
      </w:r>
      <w:r>
        <w:t>e</w:t>
      </w:r>
      <w:r>
        <w:t xml:space="preserve">sentantenes økonomiske interesser, jf. Dokument 8:22 S og Innst. 221 S (2015–2016). </w:t>
      </w:r>
    </w:p>
    <w:p w:rsidR="00557A6F" w:rsidRDefault="00557A6F" w:rsidP="00557A6F">
      <w:r>
        <w:t>For å sikre tilliten til statsforvaltningen har Kommunal- og moderniseringsdepartementet utarbeidet forslag til sentrale retningslinjer for registrering av ansattes økonomiske interesser. Forslag til re</w:t>
      </w:r>
      <w:r>
        <w:t>t</w:t>
      </w:r>
      <w:r>
        <w:t>ningslinjer har vært på høring, og departementet arbeider med den videre oppfølgingen. Depart</w:t>
      </w:r>
      <w:r>
        <w:t>e</w:t>
      </w:r>
      <w:r>
        <w:t xml:space="preserve">mentet vil komme tilbake til Stortinget med saken på egnet måte. </w:t>
      </w:r>
    </w:p>
    <w:p w:rsidR="00557A6F" w:rsidRDefault="00557A6F" w:rsidP="00557A6F">
      <w:pPr>
        <w:pStyle w:val="avsnitt-tittel"/>
      </w:pPr>
      <w:r>
        <w:t>Fjernvarmeanlegg i nye bygninger</w:t>
      </w:r>
    </w:p>
    <w:p w:rsidR="00557A6F" w:rsidRDefault="00557A6F" w:rsidP="00557A6F">
      <w:pPr>
        <w:pStyle w:val="avsnitt-undertittel"/>
      </w:pPr>
      <w:r>
        <w:t xml:space="preserve">Vedtak nr. 642 (2015–2016), 10. mai 2016 </w:t>
      </w:r>
    </w:p>
    <w:p w:rsidR="00557A6F" w:rsidRDefault="00557A6F" w:rsidP="00557A6F">
      <w:pPr>
        <w:pStyle w:val="blokksit"/>
      </w:pPr>
      <w:r>
        <w:t>«Stortinget ber regjeringen innføre en bestemmelse slik at der hvor kommuner har vedtatt ti</w:t>
      </w:r>
      <w:r>
        <w:t>l</w:t>
      </w:r>
      <w:r>
        <w:t>knytningsplikt til fjernvarmeanlegg etter plan- og bygningsloven</w:t>
      </w:r>
      <w:proofErr w:type="gramStart"/>
      <w:r>
        <w:t xml:space="preserve"> §27</w:t>
      </w:r>
      <w:proofErr w:type="gramEnd"/>
      <w:r>
        <w:t xml:space="preserve">–5, kan kommunene vedta at nye bygninger utstyres med varmeanlegg slik at fjernvarme kan nyttes.» </w:t>
      </w:r>
    </w:p>
    <w:p w:rsidR="00557A6F" w:rsidRDefault="00557A6F" w:rsidP="00557A6F">
      <w:r>
        <w:t>Dokumentet som ligger til grunn for vedtaket, er et representantforslag fra stortingsrepresentantene Ola Elvestuen, Heikki Eidsvoll Holmås, Karin Andersen og André N. Skjelstad om å beholde strenge milj</w:t>
      </w:r>
      <w:r>
        <w:t>ø</w:t>
      </w:r>
      <w:r>
        <w:t>krav til oppvarming i ny byggeforskrift (TEK 15), jf. Dokument 8:31 S og Innst. 248 S (2015–2016).</w:t>
      </w:r>
    </w:p>
    <w:p w:rsidR="00557A6F" w:rsidRDefault="00557A6F" w:rsidP="00557A6F">
      <w:r>
        <w:t xml:space="preserve">Det vises til omtale under anmodningsvedtak nr. 351, </w:t>
      </w:r>
      <w:proofErr w:type="gramStart"/>
      <w:r>
        <w:t>18</w:t>
      </w:r>
      <w:proofErr w:type="gramEnd"/>
      <w:r>
        <w:t xml:space="preserve"> desember 2017 om krav til energifors</w:t>
      </w:r>
      <w:r>
        <w:t>y</w:t>
      </w:r>
      <w:r>
        <w:t>ning i byggte</w:t>
      </w:r>
      <w:r>
        <w:t>k</w:t>
      </w:r>
      <w:r>
        <w:t>nisk forskrift.</w:t>
      </w:r>
    </w:p>
    <w:p w:rsidR="00557A6F" w:rsidRDefault="00557A6F" w:rsidP="00557A6F">
      <w:pPr>
        <w:pStyle w:val="avsnitt-tittel"/>
      </w:pPr>
      <w:r>
        <w:t>Energiforsyning i store bygg</w:t>
      </w:r>
    </w:p>
    <w:p w:rsidR="00557A6F" w:rsidRDefault="00557A6F" w:rsidP="00557A6F">
      <w:pPr>
        <w:pStyle w:val="avsnitt-undertittel"/>
      </w:pPr>
      <w:r>
        <w:t xml:space="preserve">Vedtak nr. 644 (2015–2016), 10. mai 2016 </w:t>
      </w:r>
    </w:p>
    <w:p w:rsidR="00557A6F" w:rsidRDefault="00557A6F" w:rsidP="00557A6F">
      <w:pPr>
        <w:pStyle w:val="blokksit"/>
      </w:pPr>
      <w:r>
        <w:t>«Stortinget ber regjeringen innføre krav om at 60 pst. av netto varmebehov for bygg over area</w:t>
      </w:r>
      <w:r>
        <w:t>l</w:t>
      </w:r>
      <w:r>
        <w:t xml:space="preserve">grensen på 1 000 m2 kan dekkes med annen energiforsyning enn direktevirkende elektrisitet.» </w:t>
      </w:r>
    </w:p>
    <w:p w:rsidR="00557A6F" w:rsidRDefault="00557A6F" w:rsidP="00557A6F">
      <w:r>
        <w:t>Dokumentet som ligger til grunn for vedtaket, er et representantforslag fra stortingsrepresentantene Ola Elvestuen, Heikki Eidsvoll Holmås, Karin Andersen og André N. Skjelstad om å beholde strenge milj</w:t>
      </w:r>
      <w:r>
        <w:t>ø</w:t>
      </w:r>
      <w:r>
        <w:t>krav til oppvarming i ny byggeforskrift (TEK 15), jf. Dokument 8:31 S og Innst. 248 S (2015–2016).</w:t>
      </w:r>
    </w:p>
    <w:p w:rsidR="00557A6F" w:rsidRDefault="00557A6F" w:rsidP="00557A6F">
      <w:r>
        <w:t xml:space="preserve">Det vises til omtale under anmodningsvedtak nr. 351, </w:t>
      </w:r>
      <w:proofErr w:type="gramStart"/>
      <w:r>
        <w:t>18</w:t>
      </w:r>
      <w:proofErr w:type="gramEnd"/>
      <w:r>
        <w:t xml:space="preserve"> desember 2017 om krav til energifors</w:t>
      </w:r>
      <w:r>
        <w:t>y</w:t>
      </w:r>
      <w:r>
        <w:t>ning i byggte</w:t>
      </w:r>
      <w:r>
        <w:t>k</w:t>
      </w:r>
      <w:r>
        <w:t>nisk forskrift.</w:t>
      </w:r>
    </w:p>
    <w:p w:rsidR="00557A6F" w:rsidRDefault="00557A6F" w:rsidP="00557A6F">
      <w:pPr>
        <w:pStyle w:val="avsnitt-tittel"/>
      </w:pPr>
      <w:r>
        <w:t>Fravikelse av plan- og bygningsloven og grannelova ved nasjonal flyktningkrise</w:t>
      </w:r>
    </w:p>
    <w:p w:rsidR="00557A6F" w:rsidRDefault="00557A6F" w:rsidP="00557A6F">
      <w:pPr>
        <w:pStyle w:val="avsnitt-undertittel"/>
      </w:pPr>
      <w:r>
        <w:t>Vedtak nr. 646, 10. mai 2016</w:t>
      </w:r>
    </w:p>
    <w:p w:rsidR="00557A6F" w:rsidRDefault="00557A6F" w:rsidP="00557A6F">
      <w:pPr>
        <w:pStyle w:val="blokksit"/>
      </w:pPr>
      <w:r>
        <w:t>«Stortinget ber regjeringen komme tilbake til Stortinget med forslag til lovendringer som ved en nasjonal flyktningkrise gir kommunene myndighet til å fravike plan- og bygningsloven og gra</w:t>
      </w:r>
      <w:r>
        <w:t>n</w:t>
      </w:r>
      <w:r>
        <w:t>nelova. Det settes frist for kommunens beslutning, som treffes etter anmodning fra annen ko</w:t>
      </w:r>
      <w:r>
        <w:t>m</w:t>
      </w:r>
      <w:r>
        <w:t>munal eller statlig myndighet. Saken overføres departementet hvis fristen ikke holdes, og depa</w:t>
      </w:r>
      <w:r>
        <w:t>r</w:t>
      </w:r>
      <w:r>
        <w:t>tementet kan også ved overprøving prøve alle sider av saken. Beslutning om at det foreligger en nasjonal flyktningkrise kan treffes av Kongen i statsråd eller av departementet.»</w:t>
      </w:r>
    </w:p>
    <w:p w:rsidR="00557A6F" w:rsidRDefault="00557A6F" w:rsidP="00557A6F">
      <w:r>
        <w:t xml:space="preserve">Dokumentene som ligger til grunn for vedtaket er Prop. 43 L (2015–2016) </w:t>
      </w:r>
      <w:r>
        <w:rPr>
          <w:rStyle w:val="kursiv"/>
          <w:sz w:val="21"/>
          <w:szCs w:val="21"/>
        </w:rPr>
        <w:t>Endringer i plan- og by</w:t>
      </w:r>
      <w:r>
        <w:rPr>
          <w:rStyle w:val="kursiv"/>
          <w:sz w:val="21"/>
          <w:szCs w:val="21"/>
        </w:rPr>
        <w:t>g</w:t>
      </w:r>
      <w:r>
        <w:rPr>
          <w:rStyle w:val="kursiv"/>
          <w:sz w:val="21"/>
          <w:szCs w:val="21"/>
        </w:rPr>
        <w:t>ningsloven (unntak ved kriser, katastrofer eller andre ekstraordinære situasjoner i fredstid)</w:t>
      </w:r>
      <w:r>
        <w:t xml:space="preserve"> og Innst. 229 L (2015–2016). </w:t>
      </w:r>
    </w:p>
    <w:p w:rsidR="00557A6F" w:rsidRDefault="00557A6F" w:rsidP="00557A6F">
      <w:r>
        <w:lastRenderedPageBreak/>
        <w:t>Justis- og beredskapsdepartementet har satt ned et lovutvalg som skal utrede en sektorovergripende fullmaktsbestemmelse og hjemmel for suspensjon av enkeltpersoners rettigheter i beredskapslo</w:t>
      </w:r>
      <w:r>
        <w:t>v</w:t>
      </w:r>
      <w:r>
        <w:t>givningen. Utvalget er gitt som tilleggsmandat å ta særlig hensyn til utfordringen i anmodning</w:t>
      </w:r>
      <w:r>
        <w:t>s</w:t>
      </w:r>
      <w:r>
        <w:t>vedtak nr. 646. Utvalget avga sin innstilling til Justis- og beredskapsdepartementet 14. juni 2019. Departementet er i dialog med Justis- og beredskapsdepa</w:t>
      </w:r>
      <w:r>
        <w:t>r</w:t>
      </w:r>
      <w:r>
        <w:t>tementet om videre oppfølging, og tar sikte på å komme tilbake til Stortinget i 2020.</w:t>
      </w:r>
    </w:p>
    <w:p w:rsidR="00557A6F" w:rsidRDefault="00557A6F" w:rsidP="00557A6F">
      <w:pPr>
        <w:pStyle w:val="avsnitt-tittel"/>
      </w:pPr>
      <w:r>
        <w:t>Endringer i valgloven</w:t>
      </w:r>
    </w:p>
    <w:p w:rsidR="00557A6F" w:rsidRDefault="00557A6F" w:rsidP="00557A6F">
      <w:pPr>
        <w:pStyle w:val="avsnitt-undertittel"/>
      </w:pPr>
      <w:r>
        <w:t>Vedtak nr. 861, 10. juni 2016</w:t>
      </w:r>
    </w:p>
    <w:p w:rsidR="00557A6F" w:rsidRDefault="00557A6F" w:rsidP="00557A6F">
      <w:pPr>
        <w:pStyle w:val="blokksit"/>
      </w:pPr>
      <w:r>
        <w:t>«Stortinget ber regjeringen komme tilbake med et nytt forslag til endringer i valgloven § 7-2 og § 11-5 første ledd (personvalg ved stortingsvalg), hvor også merknader og forslag i denne innsti</w:t>
      </w:r>
      <w:r>
        <w:t>l</w:t>
      </w:r>
      <w:r>
        <w:t>ling er vurdert. Lovendringen foreslås iverksatt fra stortingsvalget i 2021.»</w:t>
      </w:r>
    </w:p>
    <w:p w:rsidR="00557A6F" w:rsidRDefault="00557A6F" w:rsidP="00557A6F">
      <w:r>
        <w:t xml:space="preserve">Dokumentene som ligger til grunn for vedtaket er Prop. 73 L (2015–2016) </w:t>
      </w:r>
      <w:r>
        <w:rPr>
          <w:rStyle w:val="kursiv"/>
          <w:sz w:val="21"/>
          <w:szCs w:val="21"/>
        </w:rPr>
        <w:t>Endringar i valgloven (personval ved stortingsval, frist for godkjenning av førehandsstemmer mv.)</w:t>
      </w:r>
      <w:r>
        <w:t xml:space="preserve"> og Innst. 402 L (2015–2016).</w:t>
      </w:r>
    </w:p>
    <w:p w:rsidR="00557A6F" w:rsidRDefault="00557A6F" w:rsidP="00557A6F">
      <w:r>
        <w:t>Vedtaket vil følges opp i arbeidet til valglovutvalget, se omtale under anmodningsvedtak nr. 700, 23. mai 2017.</w:t>
      </w:r>
    </w:p>
    <w:p w:rsidR="00557A6F" w:rsidRDefault="00557A6F" w:rsidP="00557A6F">
      <w:pPr>
        <w:pStyle w:val="Overskrift2"/>
      </w:pPr>
      <w:r>
        <w:t>Rapportering på andre anmodningsvedtak</w:t>
      </w:r>
    </w:p>
    <w:p w:rsidR="00557A6F" w:rsidRDefault="00557A6F" w:rsidP="00557A6F">
      <w:pPr>
        <w:pStyle w:val="avsnitt-tittel"/>
      </w:pPr>
      <w:r>
        <w:t>Anbefalinger i årsmeldingen for 2017 fra Norges nasjonale institusjon for me</w:t>
      </w:r>
      <w:r>
        <w:t>n</w:t>
      </w:r>
      <w:r>
        <w:t>neskerettigheter</w:t>
      </w:r>
    </w:p>
    <w:p w:rsidR="00557A6F" w:rsidRDefault="00557A6F" w:rsidP="00557A6F">
      <w:pPr>
        <w:pStyle w:val="avsnitt-undertittel"/>
      </w:pPr>
      <w:r>
        <w:t>Vedtak nr. 93, 4. desember 2018</w:t>
      </w:r>
    </w:p>
    <w:p w:rsidR="00557A6F" w:rsidRDefault="00557A6F" w:rsidP="00557A6F">
      <w:pPr>
        <w:pStyle w:val="blokksit"/>
      </w:pPr>
      <w:r>
        <w:t>«Stortinget ber regjeringen gjennomgå anbefalingene i årsmeldingen for 2017 fra Norges nasj</w:t>
      </w:r>
      <w:r>
        <w:t>o</w:t>
      </w:r>
      <w:r>
        <w:t>nale institusjon for menneskerettigheter og komme tilbake til Stortinget på egnet måte med hvordan anbefalingene er fulgt opp.»</w:t>
      </w:r>
    </w:p>
    <w:p w:rsidR="00557A6F" w:rsidRDefault="00557A6F" w:rsidP="00557A6F">
      <w:r>
        <w:t>Dokumentene som ligger til grunn for vedtaket er Dokument 6 (2017–2018) og Innst. 78 S (2018–2019).</w:t>
      </w:r>
    </w:p>
    <w:p w:rsidR="00557A6F" w:rsidRDefault="00557A6F" w:rsidP="00557A6F">
      <w:pPr>
        <w:rPr>
          <w:rStyle w:val="kursiv"/>
          <w:sz w:val="21"/>
          <w:szCs w:val="21"/>
        </w:rPr>
      </w:pPr>
      <w:r>
        <w:t>Følgende anbefaling fra Norges nasjonale institusjon for menneskerettigheters årsmelding for 2017 følges opp av Kommunal- og moderniseringsdepartementet i samarbeid med blant annet Justis- og b</w:t>
      </w:r>
      <w:r>
        <w:t>e</w:t>
      </w:r>
      <w:r>
        <w:t>redskapsdepartementet:</w:t>
      </w:r>
    </w:p>
    <w:p w:rsidR="00557A6F" w:rsidRDefault="00557A6F" w:rsidP="00557A6F">
      <w:pPr>
        <w:pStyle w:val="blokksit"/>
      </w:pPr>
      <w:r>
        <w:t>«Myndighetene må sørge for at det gis tilstrekkelige ressurser til å muliggjøre forebyggende, kulturelt tilpassede tiltak i Tysfjord kommune. Myndighetene bør gjennomgå Tysfjord-sakene på individnivå for å vurdere om staten har ivaretatt sin positive forpliktelse til å beskytte de fornæ</w:t>
      </w:r>
      <w:r>
        <w:t>r</w:t>
      </w:r>
      <w:r>
        <w:t>mede i hver konkret sak, og hvis det ikke er tilfellet, sikre at de fornærmede er gitt eller gis en «effective remedy» etter EMK artikkel 13.»</w:t>
      </w:r>
    </w:p>
    <w:p w:rsidR="00557A6F" w:rsidRDefault="00557A6F" w:rsidP="00557A6F">
      <w:r>
        <w:t>Nedenfor følger en orientering om hvordan denne anbefalingen er fulgt opp. For en oversikt over hvor de andre anbefalingene er omtalt, vises det til Prop. 1 S (2019–2020) for Justis- og bere</w:t>
      </w:r>
      <w:r>
        <w:t>d</w:t>
      </w:r>
      <w:r>
        <w:t>skapsdepartementet.</w:t>
      </w:r>
    </w:p>
    <w:p w:rsidR="00557A6F" w:rsidRDefault="00557A6F" w:rsidP="00557A6F">
      <w:r>
        <w:t>Kommunal- og moderniseringsdepartementet ga i juni 2017 i oppdrag til Fylkesmannen i Nordland å utarbeide en oppfølgingsplan for Tysfjordsamfunnet i samarbeid med lokalsamfunnet og aktuelle kompetansemiljøer. Oppfø</w:t>
      </w:r>
      <w:r>
        <w:t>l</w:t>
      </w:r>
      <w:r>
        <w:t>gingsplanen Jasska – Trygghet</w:t>
      </w:r>
      <w:r>
        <w:rPr>
          <w:rStyle w:val="kursiv"/>
          <w:sz w:val="21"/>
          <w:szCs w:val="21"/>
        </w:rPr>
        <w:t xml:space="preserve"> </w:t>
      </w:r>
      <w:r>
        <w:t>består av fem delprosjekter; 1) Akutt beredskap og oppfølging av ofre, overgripere og pårørende, 2) Opplæring av barn og unge, 3) A</w:t>
      </w:r>
      <w:r>
        <w:t>v</w:t>
      </w:r>
      <w:r>
        <w:t>dekkingskompetanse og rutiner for meldeplikt, 4) Helhetlig oppvekstplan og 5) Tillitsbygging. Det er etablert en styringsgru</w:t>
      </w:r>
      <w:r>
        <w:t>p</w:t>
      </w:r>
      <w:r>
        <w:t>pe som ledes av Fylkesmannen i Nordland, med deltakelse fra Tysfjord og Hamarøy kommuner, Nordland politidistrikt og Árran – lulesamisk senter. Det er ansatt en pr</w:t>
      </w:r>
      <w:r>
        <w:t>o</w:t>
      </w:r>
      <w:r>
        <w:t>sjektleder for oppfølgingsplanen, og prosjektet samarbeider med flere regionale og nasjonale my</w:t>
      </w:r>
      <w:r>
        <w:t>n</w:t>
      </w:r>
      <w:r>
        <w:t>digheter og kompetansemiljøer. Tillitsbyggingsprosjektet har som hovedmål å sikre et trygt op</w:t>
      </w:r>
      <w:r>
        <w:t>p</w:t>
      </w:r>
      <w:r>
        <w:t>vekstmiljø gjennom å styrke det gjensidige tillitsforholdet mellom den samiske befolkningen og offentlige myndigheter, for å forbedre virkningen av offentlige tiltak og de øvrige tiltakene i h</w:t>
      </w:r>
      <w:r>
        <w:t>o</w:t>
      </w:r>
      <w:r>
        <w:t xml:space="preserve">vedprosjektet. Tiltakene vil også bidra til at tillit og </w:t>
      </w:r>
      <w:r>
        <w:lastRenderedPageBreak/>
        <w:t>verdighet styrkes internt i det samiske miljøet. Det er bevilget 9,9 mill. kroner til prosjektet, hvorav 2,4 mill. kroner er bevilget til det konkrete tillitsbyggingsprosjektet. Midlene er tildelt for perioden fra juni 2017 til 31. desember 2019.</w:t>
      </w:r>
    </w:p>
    <w:p w:rsidR="00557A6F" w:rsidRDefault="00557A6F" w:rsidP="00557A6F">
      <w:r>
        <w:t>Nordland politidistrikt har i perioden fra 11. juni 2016 til august 2019 etterforsket 188 straffesaker med tilknytning til seksuelle overgrep i Tysfjord. Gjerningstidspunktet ligger i de fleste straffes</w:t>
      </w:r>
      <w:r>
        <w:t>a</w:t>
      </w:r>
      <w:r>
        <w:t>kene langt tilbake i tid, men det er også saker av nyere dato. Politiet har i perioden fra juni 2016 til november 2017 etterforsket alle saker, uavhengig av om de er foreldet eller ikke, for å kunne danne seg et bilde av situasjonen i Tysfjord. Politiet op</w:t>
      </w:r>
      <w:r>
        <w:t>p</w:t>
      </w:r>
      <w:r>
        <w:t>summerte sitt arbeid i rapporten Overgrepene i Tysfjord – erfaringer og funn fra politiets etterforskning i november 2017. Kunnskapen fra ette</w:t>
      </w:r>
      <w:r>
        <w:t>r</w:t>
      </w:r>
      <w:r>
        <w:t>forskningsprosjektet benyttes inn i det forebyggende arbeidet gjennom oppfølgingsprosjektet Jas</w:t>
      </w:r>
      <w:r>
        <w:t>s</w:t>
      </w:r>
      <w:r>
        <w:t>ka – Trygghet. Politiet straffeforfølger flere saker i tilknytning til Tysfjordsamfunnet.</w:t>
      </w:r>
    </w:p>
    <w:p w:rsidR="00557A6F" w:rsidRDefault="00557A6F" w:rsidP="00557A6F">
      <w:r>
        <w:t>Regjeringen skal utarbeide en ny handlingsplan mot vold i nære relasjoner, med en egen del om vold og overgrep i samiske samfunn. Anbefalingen vil bli vurdert i forbindelse med utarbeidelse av planen.</w:t>
      </w:r>
    </w:p>
    <w:p w:rsidR="00557A6F" w:rsidRDefault="00557A6F" w:rsidP="00557A6F">
      <w:pPr>
        <w:pStyle w:val="Overskrift1"/>
      </w:pPr>
      <w:r>
        <w:t>Oversikt over budsjettforslaget</w:t>
      </w:r>
    </w:p>
    <w:p w:rsidR="00557A6F" w:rsidRDefault="00557A6F" w:rsidP="00557A6F">
      <w:pPr>
        <w:pStyle w:val="Overskrift2"/>
      </w:pPr>
      <w:r>
        <w:t>Utgifter fordelt på programkategori og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557A6F" w:rsidTr="00557A6F">
        <w:trPr>
          <w:trHeight w:val="640"/>
        </w:trPr>
        <w:tc>
          <w:tcPr>
            <w:tcW w:w="1020" w:type="dxa"/>
            <w:shd w:val="clear" w:color="auto" w:fill="FFFFFF"/>
          </w:tcPr>
          <w:p w:rsidR="00557A6F" w:rsidRDefault="00557A6F" w:rsidP="00557A6F">
            <w:pPr>
              <w:pStyle w:val="Tabellnavn"/>
            </w:pPr>
            <w:r>
              <w:t>UIPOKL</w:t>
            </w:r>
          </w:p>
        </w:tc>
        <w:tc>
          <w:tcPr>
            <w:tcW w:w="4080" w:type="dxa"/>
          </w:tcPr>
          <w:p w:rsidR="00557A6F" w:rsidRDefault="00557A6F" w:rsidP="00557A6F"/>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r>
              <w:t>(i 1 000 kr)</w:t>
            </w:r>
          </w:p>
        </w:tc>
      </w:tr>
      <w:tr w:rsidR="00557A6F" w:rsidTr="00557A6F">
        <w:trPr>
          <w:trHeight w:val="600"/>
        </w:trPr>
        <w:tc>
          <w:tcPr>
            <w:tcW w:w="1020" w:type="dxa"/>
          </w:tcPr>
          <w:p w:rsidR="00557A6F" w:rsidRDefault="00557A6F" w:rsidP="00557A6F">
            <w:r>
              <w:t>Kap.</w:t>
            </w:r>
          </w:p>
        </w:tc>
        <w:tc>
          <w:tcPr>
            <w:tcW w:w="4080" w:type="dxa"/>
          </w:tcPr>
          <w:p w:rsidR="00557A6F" w:rsidRDefault="00557A6F" w:rsidP="00557A6F">
            <w:r>
              <w:t>Betegnelse</w:t>
            </w:r>
          </w:p>
        </w:tc>
        <w:tc>
          <w:tcPr>
            <w:tcW w:w="1020" w:type="dxa"/>
          </w:tcPr>
          <w:p w:rsidR="00557A6F" w:rsidRDefault="00557A6F" w:rsidP="00557A6F">
            <w:pPr>
              <w:jc w:val="right"/>
            </w:pPr>
            <w:r>
              <w:t>Reg</w:t>
            </w:r>
            <w:r>
              <w:t>n</w:t>
            </w:r>
            <w:r>
              <w:t>skap 2018</w:t>
            </w:r>
          </w:p>
        </w:tc>
        <w:tc>
          <w:tcPr>
            <w:tcW w:w="1020" w:type="dxa"/>
          </w:tcPr>
          <w:p w:rsidR="00557A6F" w:rsidRDefault="00557A6F" w:rsidP="00557A6F">
            <w:pPr>
              <w:jc w:val="right"/>
            </w:pPr>
            <w:r>
              <w:t xml:space="preserve">Saldert </w:t>
            </w:r>
            <w:r>
              <w:br/>
              <w:t>budsjett 2019</w:t>
            </w:r>
          </w:p>
        </w:tc>
        <w:tc>
          <w:tcPr>
            <w:tcW w:w="1020" w:type="dxa"/>
          </w:tcPr>
          <w:p w:rsidR="00557A6F" w:rsidRDefault="00557A6F" w:rsidP="00557A6F">
            <w:pPr>
              <w:jc w:val="right"/>
            </w:pPr>
            <w:r>
              <w:t xml:space="preserve">Forslag </w:t>
            </w:r>
            <w:r>
              <w:br/>
              <w:t>2020</w:t>
            </w:r>
          </w:p>
        </w:tc>
        <w:tc>
          <w:tcPr>
            <w:tcW w:w="1020" w:type="dxa"/>
          </w:tcPr>
          <w:p w:rsidR="00557A6F" w:rsidRDefault="00557A6F" w:rsidP="00557A6F">
            <w:pPr>
              <w:jc w:val="right"/>
            </w:pPr>
            <w:r>
              <w:t xml:space="preserve">Pst. endr. </w:t>
            </w:r>
            <w:r>
              <w:br/>
              <w:t>19/20</w:t>
            </w:r>
          </w:p>
        </w:tc>
      </w:tr>
      <w:tr w:rsidR="00557A6F" w:rsidTr="00557A6F">
        <w:trPr>
          <w:trHeight w:val="380"/>
        </w:trPr>
        <w:tc>
          <w:tcPr>
            <w:tcW w:w="1020" w:type="dxa"/>
          </w:tcPr>
          <w:p w:rsidR="00557A6F" w:rsidRDefault="00557A6F" w:rsidP="00557A6F"/>
        </w:tc>
        <w:tc>
          <w:tcPr>
            <w:tcW w:w="4080" w:type="dxa"/>
          </w:tcPr>
          <w:p w:rsidR="00557A6F" w:rsidRDefault="00557A6F" w:rsidP="00557A6F">
            <w:r>
              <w:rPr>
                <w:rStyle w:val="halvfet0"/>
                <w:sz w:val="21"/>
                <w:szCs w:val="21"/>
              </w:rPr>
              <w:t>Det kongelige hus</w:t>
            </w: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p>
        </w:tc>
      </w:tr>
      <w:tr w:rsidR="00557A6F" w:rsidTr="00557A6F">
        <w:trPr>
          <w:trHeight w:val="380"/>
        </w:trPr>
        <w:tc>
          <w:tcPr>
            <w:tcW w:w="1020" w:type="dxa"/>
          </w:tcPr>
          <w:p w:rsidR="00557A6F" w:rsidRDefault="00557A6F" w:rsidP="00557A6F">
            <w:r>
              <w:t>1</w:t>
            </w:r>
          </w:p>
        </w:tc>
        <w:tc>
          <w:tcPr>
            <w:tcW w:w="4080" w:type="dxa"/>
          </w:tcPr>
          <w:p w:rsidR="00557A6F" w:rsidRDefault="00557A6F" w:rsidP="00557A6F">
            <w:r>
              <w:t>H.M. Kongen og H.M. Dronningen</w:t>
            </w:r>
          </w:p>
        </w:tc>
        <w:tc>
          <w:tcPr>
            <w:tcW w:w="1020" w:type="dxa"/>
          </w:tcPr>
          <w:p w:rsidR="00557A6F" w:rsidRDefault="00557A6F" w:rsidP="00557A6F">
            <w:pPr>
              <w:jc w:val="right"/>
            </w:pPr>
            <w:r>
              <w:t>347 582</w:t>
            </w:r>
          </w:p>
        </w:tc>
        <w:tc>
          <w:tcPr>
            <w:tcW w:w="1020" w:type="dxa"/>
          </w:tcPr>
          <w:p w:rsidR="00557A6F" w:rsidRDefault="00557A6F" w:rsidP="00557A6F">
            <w:pPr>
              <w:jc w:val="right"/>
            </w:pPr>
            <w:r>
              <w:t>423 832</w:t>
            </w:r>
          </w:p>
        </w:tc>
        <w:tc>
          <w:tcPr>
            <w:tcW w:w="1020" w:type="dxa"/>
          </w:tcPr>
          <w:p w:rsidR="00557A6F" w:rsidRDefault="00557A6F" w:rsidP="00557A6F">
            <w:pPr>
              <w:jc w:val="right"/>
            </w:pPr>
            <w:r>
              <w:t>280 665</w:t>
            </w:r>
          </w:p>
        </w:tc>
        <w:tc>
          <w:tcPr>
            <w:tcW w:w="1020" w:type="dxa"/>
          </w:tcPr>
          <w:p w:rsidR="00557A6F" w:rsidRDefault="00557A6F" w:rsidP="00557A6F">
            <w:pPr>
              <w:jc w:val="right"/>
            </w:pPr>
            <w:r>
              <w:t>-33,8</w:t>
            </w:r>
          </w:p>
        </w:tc>
      </w:tr>
      <w:tr w:rsidR="00557A6F" w:rsidTr="00557A6F">
        <w:trPr>
          <w:trHeight w:val="640"/>
        </w:trPr>
        <w:tc>
          <w:tcPr>
            <w:tcW w:w="1020" w:type="dxa"/>
          </w:tcPr>
          <w:p w:rsidR="00557A6F" w:rsidRDefault="00557A6F" w:rsidP="00557A6F">
            <w:r>
              <w:t>2</w:t>
            </w:r>
          </w:p>
        </w:tc>
        <w:tc>
          <w:tcPr>
            <w:tcW w:w="4080" w:type="dxa"/>
          </w:tcPr>
          <w:p w:rsidR="00557A6F" w:rsidRDefault="00557A6F" w:rsidP="00557A6F">
            <w:r>
              <w:t xml:space="preserve">H.K.H. Kronprinsen og </w:t>
            </w:r>
            <w:r>
              <w:br/>
              <w:t>H.K.H. Kronprinsessen</w:t>
            </w:r>
          </w:p>
        </w:tc>
        <w:tc>
          <w:tcPr>
            <w:tcW w:w="1020" w:type="dxa"/>
          </w:tcPr>
          <w:p w:rsidR="00557A6F" w:rsidRDefault="00557A6F" w:rsidP="00557A6F">
            <w:pPr>
              <w:jc w:val="right"/>
            </w:pPr>
            <w:r>
              <w:t>9 763</w:t>
            </w:r>
          </w:p>
        </w:tc>
        <w:tc>
          <w:tcPr>
            <w:tcW w:w="1020" w:type="dxa"/>
          </w:tcPr>
          <w:p w:rsidR="00557A6F" w:rsidRDefault="00557A6F" w:rsidP="00557A6F">
            <w:pPr>
              <w:jc w:val="right"/>
            </w:pPr>
            <w:r>
              <w:t>10 065</w:t>
            </w:r>
          </w:p>
        </w:tc>
        <w:tc>
          <w:tcPr>
            <w:tcW w:w="1020" w:type="dxa"/>
          </w:tcPr>
          <w:p w:rsidR="00557A6F" w:rsidRDefault="00557A6F" w:rsidP="00557A6F">
            <w:pPr>
              <w:jc w:val="right"/>
            </w:pPr>
            <w:r>
              <w:t>10 427</w:t>
            </w:r>
          </w:p>
        </w:tc>
        <w:tc>
          <w:tcPr>
            <w:tcW w:w="1020" w:type="dxa"/>
          </w:tcPr>
          <w:p w:rsidR="00557A6F" w:rsidRDefault="00557A6F" w:rsidP="00557A6F">
            <w:pPr>
              <w:jc w:val="right"/>
            </w:pPr>
            <w:r>
              <w:t>3,6</w:t>
            </w:r>
          </w:p>
        </w:tc>
      </w:tr>
      <w:tr w:rsidR="00557A6F" w:rsidTr="00557A6F">
        <w:trPr>
          <w:trHeight w:val="380"/>
        </w:trPr>
        <w:tc>
          <w:tcPr>
            <w:tcW w:w="1020" w:type="dxa"/>
          </w:tcPr>
          <w:p w:rsidR="00557A6F" w:rsidRDefault="00557A6F" w:rsidP="00557A6F"/>
        </w:tc>
        <w:tc>
          <w:tcPr>
            <w:tcW w:w="4080" w:type="dxa"/>
          </w:tcPr>
          <w:p w:rsidR="00557A6F" w:rsidRDefault="00557A6F" w:rsidP="00557A6F">
            <w:r>
              <w:rPr>
                <w:rStyle w:val="kursiv"/>
                <w:sz w:val="21"/>
                <w:szCs w:val="21"/>
              </w:rPr>
              <w:t>Sum kategori 00.10</w:t>
            </w:r>
          </w:p>
        </w:tc>
        <w:tc>
          <w:tcPr>
            <w:tcW w:w="1020" w:type="dxa"/>
          </w:tcPr>
          <w:p w:rsidR="00557A6F" w:rsidRDefault="00557A6F" w:rsidP="00557A6F">
            <w:pPr>
              <w:jc w:val="right"/>
            </w:pPr>
            <w:r>
              <w:rPr>
                <w:rStyle w:val="kursiv"/>
                <w:sz w:val="21"/>
                <w:szCs w:val="21"/>
              </w:rPr>
              <w:t>357 345</w:t>
            </w:r>
          </w:p>
        </w:tc>
        <w:tc>
          <w:tcPr>
            <w:tcW w:w="1020" w:type="dxa"/>
          </w:tcPr>
          <w:p w:rsidR="00557A6F" w:rsidRDefault="00557A6F" w:rsidP="00557A6F">
            <w:pPr>
              <w:jc w:val="right"/>
            </w:pPr>
            <w:r>
              <w:rPr>
                <w:rStyle w:val="kursiv"/>
                <w:sz w:val="21"/>
                <w:szCs w:val="21"/>
              </w:rPr>
              <w:t>433 897</w:t>
            </w:r>
          </w:p>
        </w:tc>
        <w:tc>
          <w:tcPr>
            <w:tcW w:w="1020" w:type="dxa"/>
          </w:tcPr>
          <w:p w:rsidR="00557A6F" w:rsidRDefault="00557A6F" w:rsidP="00557A6F">
            <w:pPr>
              <w:jc w:val="right"/>
            </w:pPr>
            <w:r>
              <w:rPr>
                <w:rStyle w:val="kursiv"/>
                <w:sz w:val="21"/>
                <w:szCs w:val="21"/>
              </w:rPr>
              <w:t>291 092</w:t>
            </w:r>
          </w:p>
        </w:tc>
        <w:tc>
          <w:tcPr>
            <w:tcW w:w="1020" w:type="dxa"/>
          </w:tcPr>
          <w:p w:rsidR="00557A6F" w:rsidRDefault="00557A6F" w:rsidP="00557A6F">
            <w:pPr>
              <w:jc w:val="right"/>
            </w:pPr>
            <w:r>
              <w:rPr>
                <w:rStyle w:val="kursiv"/>
                <w:sz w:val="21"/>
                <w:szCs w:val="21"/>
              </w:rPr>
              <w:t>-32,9</w:t>
            </w:r>
          </w:p>
        </w:tc>
      </w:tr>
      <w:tr w:rsidR="00557A6F" w:rsidTr="00557A6F">
        <w:trPr>
          <w:trHeight w:val="380"/>
        </w:trPr>
        <w:tc>
          <w:tcPr>
            <w:tcW w:w="1020" w:type="dxa"/>
          </w:tcPr>
          <w:p w:rsidR="00557A6F" w:rsidRDefault="00557A6F" w:rsidP="00557A6F"/>
        </w:tc>
        <w:tc>
          <w:tcPr>
            <w:tcW w:w="4080" w:type="dxa"/>
          </w:tcPr>
          <w:p w:rsidR="00557A6F" w:rsidRDefault="00557A6F" w:rsidP="00557A6F">
            <w:r>
              <w:t>Sum programområde 00</w:t>
            </w:r>
          </w:p>
        </w:tc>
        <w:tc>
          <w:tcPr>
            <w:tcW w:w="1020" w:type="dxa"/>
          </w:tcPr>
          <w:p w:rsidR="00557A6F" w:rsidRDefault="00557A6F" w:rsidP="00557A6F">
            <w:pPr>
              <w:jc w:val="right"/>
            </w:pPr>
            <w:r>
              <w:t>357 345</w:t>
            </w:r>
          </w:p>
        </w:tc>
        <w:tc>
          <w:tcPr>
            <w:tcW w:w="1020" w:type="dxa"/>
          </w:tcPr>
          <w:p w:rsidR="00557A6F" w:rsidRDefault="00557A6F" w:rsidP="00557A6F">
            <w:pPr>
              <w:jc w:val="right"/>
            </w:pPr>
            <w:r>
              <w:t>433 897</w:t>
            </w:r>
          </w:p>
        </w:tc>
        <w:tc>
          <w:tcPr>
            <w:tcW w:w="1020" w:type="dxa"/>
          </w:tcPr>
          <w:p w:rsidR="00557A6F" w:rsidRDefault="00557A6F" w:rsidP="00557A6F">
            <w:pPr>
              <w:jc w:val="right"/>
            </w:pPr>
            <w:r>
              <w:t>291 092</w:t>
            </w:r>
          </w:p>
        </w:tc>
        <w:tc>
          <w:tcPr>
            <w:tcW w:w="1020" w:type="dxa"/>
          </w:tcPr>
          <w:p w:rsidR="00557A6F" w:rsidRDefault="00557A6F" w:rsidP="00557A6F">
            <w:pPr>
              <w:jc w:val="right"/>
            </w:pPr>
            <w:r>
              <w:t>-32,9</w:t>
            </w:r>
          </w:p>
        </w:tc>
      </w:tr>
      <w:tr w:rsidR="00557A6F" w:rsidTr="00557A6F">
        <w:trPr>
          <w:trHeight w:val="380"/>
        </w:trPr>
        <w:tc>
          <w:tcPr>
            <w:tcW w:w="1020" w:type="dxa"/>
          </w:tcPr>
          <w:p w:rsidR="00557A6F" w:rsidRDefault="00557A6F" w:rsidP="00557A6F"/>
        </w:tc>
        <w:tc>
          <w:tcPr>
            <w:tcW w:w="4080" w:type="dxa"/>
          </w:tcPr>
          <w:p w:rsidR="00557A6F" w:rsidRDefault="00557A6F" w:rsidP="00557A6F">
            <w:r>
              <w:rPr>
                <w:rStyle w:val="halvfet0"/>
                <w:sz w:val="21"/>
                <w:szCs w:val="21"/>
              </w:rPr>
              <w:t>Administrasjon</w:t>
            </w: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p>
        </w:tc>
      </w:tr>
      <w:tr w:rsidR="00557A6F" w:rsidTr="00557A6F">
        <w:trPr>
          <w:trHeight w:val="640"/>
        </w:trPr>
        <w:tc>
          <w:tcPr>
            <w:tcW w:w="1020" w:type="dxa"/>
          </w:tcPr>
          <w:p w:rsidR="00557A6F" w:rsidRDefault="00557A6F" w:rsidP="00557A6F">
            <w:r>
              <w:t>500</w:t>
            </w:r>
          </w:p>
        </w:tc>
        <w:tc>
          <w:tcPr>
            <w:tcW w:w="4080" w:type="dxa"/>
          </w:tcPr>
          <w:p w:rsidR="00557A6F" w:rsidRDefault="00557A6F" w:rsidP="00557A6F">
            <w:r>
              <w:t>Kommunal- og moderniseringsdepart</w:t>
            </w:r>
            <w:r>
              <w:t>e</w:t>
            </w:r>
            <w:r>
              <w:t>mentet</w:t>
            </w:r>
          </w:p>
        </w:tc>
        <w:tc>
          <w:tcPr>
            <w:tcW w:w="1020" w:type="dxa"/>
          </w:tcPr>
          <w:p w:rsidR="00557A6F" w:rsidRDefault="00557A6F" w:rsidP="00557A6F">
            <w:pPr>
              <w:jc w:val="right"/>
            </w:pPr>
            <w:r>
              <w:t>575 940</w:t>
            </w:r>
          </w:p>
        </w:tc>
        <w:tc>
          <w:tcPr>
            <w:tcW w:w="1020" w:type="dxa"/>
          </w:tcPr>
          <w:p w:rsidR="00557A6F" w:rsidRDefault="00557A6F" w:rsidP="00557A6F">
            <w:pPr>
              <w:jc w:val="right"/>
            </w:pPr>
            <w:r>
              <w:t>636 033</w:t>
            </w:r>
          </w:p>
        </w:tc>
        <w:tc>
          <w:tcPr>
            <w:tcW w:w="1020" w:type="dxa"/>
          </w:tcPr>
          <w:p w:rsidR="00557A6F" w:rsidRDefault="00557A6F" w:rsidP="00557A6F">
            <w:pPr>
              <w:jc w:val="right"/>
            </w:pPr>
            <w:r>
              <w:t>637 482</w:t>
            </w:r>
          </w:p>
        </w:tc>
        <w:tc>
          <w:tcPr>
            <w:tcW w:w="1020" w:type="dxa"/>
          </w:tcPr>
          <w:p w:rsidR="00557A6F" w:rsidRDefault="00557A6F" w:rsidP="00557A6F">
            <w:pPr>
              <w:jc w:val="right"/>
            </w:pPr>
            <w:r>
              <w:t>0,2</w:t>
            </w:r>
          </w:p>
        </w:tc>
      </w:tr>
      <w:tr w:rsidR="00557A6F" w:rsidTr="00557A6F">
        <w:trPr>
          <w:trHeight w:val="380"/>
        </w:trPr>
        <w:tc>
          <w:tcPr>
            <w:tcW w:w="1020" w:type="dxa"/>
          </w:tcPr>
          <w:p w:rsidR="00557A6F" w:rsidRDefault="00557A6F" w:rsidP="00557A6F">
            <w:r>
              <w:t>502</w:t>
            </w:r>
          </w:p>
        </w:tc>
        <w:tc>
          <w:tcPr>
            <w:tcW w:w="4080" w:type="dxa"/>
          </w:tcPr>
          <w:p w:rsidR="00557A6F" w:rsidRDefault="00557A6F" w:rsidP="00557A6F">
            <w:r>
              <w:t>Tariffavtalte avsetninger</w:t>
            </w:r>
          </w:p>
        </w:tc>
        <w:tc>
          <w:tcPr>
            <w:tcW w:w="1020" w:type="dxa"/>
          </w:tcPr>
          <w:p w:rsidR="00557A6F" w:rsidRDefault="00557A6F" w:rsidP="00557A6F">
            <w:pPr>
              <w:jc w:val="right"/>
            </w:pPr>
            <w:r>
              <w:t>198 041</w:t>
            </w:r>
          </w:p>
        </w:tc>
        <w:tc>
          <w:tcPr>
            <w:tcW w:w="1020" w:type="dxa"/>
          </w:tcPr>
          <w:p w:rsidR="00557A6F" w:rsidRDefault="00557A6F" w:rsidP="00557A6F">
            <w:pPr>
              <w:jc w:val="right"/>
            </w:pPr>
            <w:r>
              <w:t>208 100</w:t>
            </w:r>
          </w:p>
        </w:tc>
        <w:tc>
          <w:tcPr>
            <w:tcW w:w="1020" w:type="dxa"/>
          </w:tcPr>
          <w:p w:rsidR="00557A6F" w:rsidRDefault="00557A6F" w:rsidP="00557A6F">
            <w:pPr>
              <w:jc w:val="right"/>
            </w:pPr>
            <w:r>
              <w:t>195 000</w:t>
            </w:r>
          </w:p>
        </w:tc>
        <w:tc>
          <w:tcPr>
            <w:tcW w:w="1020" w:type="dxa"/>
          </w:tcPr>
          <w:p w:rsidR="00557A6F" w:rsidRDefault="00557A6F" w:rsidP="00557A6F">
            <w:pPr>
              <w:jc w:val="right"/>
            </w:pPr>
            <w:r>
              <w:t>-6,3</w:t>
            </w:r>
          </w:p>
        </w:tc>
      </w:tr>
      <w:tr w:rsidR="00557A6F" w:rsidTr="00557A6F">
        <w:trPr>
          <w:trHeight w:val="640"/>
        </w:trPr>
        <w:tc>
          <w:tcPr>
            <w:tcW w:w="1020" w:type="dxa"/>
          </w:tcPr>
          <w:p w:rsidR="00557A6F" w:rsidRDefault="00557A6F" w:rsidP="00557A6F">
            <w:r>
              <w:t>510</w:t>
            </w:r>
          </w:p>
        </w:tc>
        <w:tc>
          <w:tcPr>
            <w:tcW w:w="4080" w:type="dxa"/>
          </w:tcPr>
          <w:p w:rsidR="00557A6F" w:rsidRDefault="00557A6F" w:rsidP="00557A6F">
            <w:r>
              <w:t>Departementenes sikkerhets- og serviceo</w:t>
            </w:r>
            <w:r>
              <w:t>r</w:t>
            </w:r>
            <w:r>
              <w:t>ganisasjon</w:t>
            </w:r>
          </w:p>
        </w:tc>
        <w:tc>
          <w:tcPr>
            <w:tcW w:w="1020" w:type="dxa"/>
          </w:tcPr>
          <w:p w:rsidR="00557A6F" w:rsidRDefault="00557A6F" w:rsidP="00557A6F">
            <w:pPr>
              <w:jc w:val="right"/>
            </w:pPr>
            <w:r>
              <w:t>866 509</w:t>
            </w:r>
          </w:p>
        </w:tc>
        <w:tc>
          <w:tcPr>
            <w:tcW w:w="1020" w:type="dxa"/>
          </w:tcPr>
          <w:p w:rsidR="00557A6F" w:rsidRDefault="00557A6F" w:rsidP="00557A6F">
            <w:pPr>
              <w:jc w:val="right"/>
            </w:pPr>
            <w:r>
              <w:t>886 380</w:t>
            </w:r>
          </w:p>
        </w:tc>
        <w:tc>
          <w:tcPr>
            <w:tcW w:w="1020" w:type="dxa"/>
          </w:tcPr>
          <w:p w:rsidR="00557A6F" w:rsidRDefault="00557A6F" w:rsidP="00557A6F">
            <w:pPr>
              <w:jc w:val="right"/>
            </w:pPr>
            <w:r>
              <w:t>866 020</w:t>
            </w:r>
          </w:p>
        </w:tc>
        <w:tc>
          <w:tcPr>
            <w:tcW w:w="1020" w:type="dxa"/>
          </w:tcPr>
          <w:p w:rsidR="00557A6F" w:rsidRDefault="00557A6F" w:rsidP="00557A6F">
            <w:pPr>
              <w:jc w:val="right"/>
            </w:pPr>
            <w:r>
              <w:t>-2,3</w:t>
            </w:r>
          </w:p>
        </w:tc>
      </w:tr>
      <w:tr w:rsidR="00557A6F" w:rsidTr="00557A6F">
        <w:trPr>
          <w:trHeight w:val="380"/>
        </w:trPr>
        <w:tc>
          <w:tcPr>
            <w:tcW w:w="1020" w:type="dxa"/>
          </w:tcPr>
          <w:p w:rsidR="00557A6F" w:rsidRDefault="00557A6F" w:rsidP="00557A6F"/>
        </w:tc>
        <w:tc>
          <w:tcPr>
            <w:tcW w:w="4080" w:type="dxa"/>
          </w:tcPr>
          <w:p w:rsidR="00557A6F" w:rsidRDefault="00557A6F" w:rsidP="00557A6F">
            <w:r>
              <w:rPr>
                <w:rStyle w:val="kursiv"/>
                <w:sz w:val="21"/>
                <w:szCs w:val="21"/>
              </w:rPr>
              <w:t>Sum kategori 13.00</w:t>
            </w:r>
          </w:p>
        </w:tc>
        <w:tc>
          <w:tcPr>
            <w:tcW w:w="1020" w:type="dxa"/>
          </w:tcPr>
          <w:p w:rsidR="00557A6F" w:rsidRDefault="00557A6F" w:rsidP="00557A6F">
            <w:pPr>
              <w:jc w:val="right"/>
            </w:pPr>
            <w:r>
              <w:rPr>
                <w:rStyle w:val="kursiv"/>
                <w:sz w:val="21"/>
                <w:szCs w:val="21"/>
              </w:rPr>
              <w:t>1 640 490</w:t>
            </w:r>
          </w:p>
        </w:tc>
        <w:tc>
          <w:tcPr>
            <w:tcW w:w="1020" w:type="dxa"/>
          </w:tcPr>
          <w:p w:rsidR="00557A6F" w:rsidRDefault="00557A6F" w:rsidP="00557A6F">
            <w:pPr>
              <w:jc w:val="right"/>
            </w:pPr>
            <w:r>
              <w:rPr>
                <w:rStyle w:val="kursiv"/>
                <w:sz w:val="21"/>
                <w:szCs w:val="21"/>
              </w:rPr>
              <w:t>1 730 513</w:t>
            </w:r>
          </w:p>
        </w:tc>
        <w:tc>
          <w:tcPr>
            <w:tcW w:w="1020" w:type="dxa"/>
          </w:tcPr>
          <w:p w:rsidR="00557A6F" w:rsidRDefault="00557A6F" w:rsidP="00557A6F">
            <w:pPr>
              <w:jc w:val="right"/>
            </w:pPr>
            <w:r>
              <w:rPr>
                <w:rStyle w:val="kursiv"/>
                <w:sz w:val="21"/>
                <w:szCs w:val="21"/>
              </w:rPr>
              <w:t>1 698 502</w:t>
            </w:r>
          </w:p>
        </w:tc>
        <w:tc>
          <w:tcPr>
            <w:tcW w:w="1020" w:type="dxa"/>
          </w:tcPr>
          <w:p w:rsidR="00557A6F" w:rsidRDefault="00557A6F" w:rsidP="00557A6F">
            <w:pPr>
              <w:jc w:val="right"/>
            </w:pPr>
            <w:r>
              <w:rPr>
                <w:rStyle w:val="kursiv"/>
                <w:sz w:val="21"/>
                <w:szCs w:val="21"/>
              </w:rPr>
              <w:t>-1,8</w:t>
            </w:r>
          </w:p>
        </w:tc>
      </w:tr>
      <w:tr w:rsidR="00557A6F" w:rsidTr="00557A6F">
        <w:trPr>
          <w:trHeight w:val="380"/>
        </w:trPr>
        <w:tc>
          <w:tcPr>
            <w:tcW w:w="1020" w:type="dxa"/>
          </w:tcPr>
          <w:p w:rsidR="00557A6F" w:rsidRDefault="00557A6F" w:rsidP="00557A6F"/>
        </w:tc>
        <w:tc>
          <w:tcPr>
            <w:tcW w:w="4080" w:type="dxa"/>
          </w:tcPr>
          <w:p w:rsidR="00557A6F" w:rsidRDefault="00557A6F" w:rsidP="00557A6F">
            <w:r>
              <w:rPr>
                <w:rStyle w:val="halvfet0"/>
                <w:sz w:val="21"/>
                <w:szCs w:val="21"/>
              </w:rPr>
              <w:t>Fylkesmannsembetene</w:t>
            </w: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p>
        </w:tc>
      </w:tr>
      <w:tr w:rsidR="00557A6F" w:rsidTr="00557A6F">
        <w:trPr>
          <w:trHeight w:val="380"/>
        </w:trPr>
        <w:tc>
          <w:tcPr>
            <w:tcW w:w="1020" w:type="dxa"/>
          </w:tcPr>
          <w:p w:rsidR="00557A6F" w:rsidRDefault="00557A6F" w:rsidP="00557A6F">
            <w:r>
              <w:t>525</w:t>
            </w:r>
          </w:p>
        </w:tc>
        <w:tc>
          <w:tcPr>
            <w:tcW w:w="4080" w:type="dxa"/>
          </w:tcPr>
          <w:p w:rsidR="00557A6F" w:rsidRDefault="00557A6F" w:rsidP="00557A6F">
            <w:r>
              <w:t>Fylkesmannsembetene</w:t>
            </w:r>
          </w:p>
        </w:tc>
        <w:tc>
          <w:tcPr>
            <w:tcW w:w="1020" w:type="dxa"/>
          </w:tcPr>
          <w:p w:rsidR="00557A6F" w:rsidRDefault="00557A6F" w:rsidP="00557A6F">
            <w:pPr>
              <w:jc w:val="right"/>
            </w:pPr>
            <w:r>
              <w:t>1 978 747</w:t>
            </w:r>
          </w:p>
        </w:tc>
        <w:tc>
          <w:tcPr>
            <w:tcW w:w="1020" w:type="dxa"/>
          </w:tcPr>
          <w:p w:rsidR="00557A6F" w:rsidRDefault="00557A6F" w:rsidP="00557A6F">
            <w:pPr>
              <w:jc w:val="right"/>
            </w:pPr>
            <w:r>
              <w:t>2 055 846</w:t>
            </w:r>
          </w:p>
        </w:tc>
        <w:tc>
          <w:tcPr>
            <w:tcW w:w="1020" w:type="dxa"/>
          </w:tcPr>
          <w:p w:rsidR="00557A6F" w:rsidRDefault="00557A6F" w:rsidP="00557A6F">
            <w:pPr>
              <w:jc w:val="right"/>
            </w:pPr>
            <w:r>
              <w:t>2 069 260</w:t>
            </w:r>
          </w:p>
        </w:tc>
        <w:tc>
          <w:tcPr>
            <w:tcW w:w="1020" w:type="dxa"/>
          </w:tcPr>
          <w:p w:rsidR="00557A6F" w:rsidRDefault="00557A6F" w:rsidP="00557A6F">
            <w:pPr>
              <w:jc w:val="right"/>
            </w:pPr>
            <w:r>
              <w:t>0,7</w:t>
            </w:r>
          </w:p>
        </w:tc>
      </w:tr>
      <w:tr w:rsidR="00557A6F" w:rsidTr="00557A6F">
        <w:trPr>
          <w:trHeight w:val="380"/>
        </w:trPr>
        <w:tc>
          <w:tcPr>
            <w:tcW w:w="1020" w:type="dxa"/>
          </w:tcPr>
          <w:p w:rsidR="00557A6F" w:rsidRDefault="00557A6F" w:rsidP="00557A6F"/>
        </w:tc>
        <w:tc>
          <w:tcPr>
            <w:tcW w:w="4080" w:type="dxa"/>
          </w:tcPr>
          <w:p w:rsidR="00557A6F" w:rsidRDefault="00557A6F" w:rsidP="00557A6F">
            <w:r>
              <w:rPr>
                <w:rStyle w:val="kursiv"/>
                <w:sz w:val="21"/>
                <w:szCs w:val="21"/>
              </w:rPr>
              <w:t>Sum kategori 13.25</w:t>
            </w:r>
          </w:p>
        </w:tc>
        <w:tc>
          <w:tcPr>
            <w:tcW w:w="1020" w:type="dxa"/>
          </w:tcPr>
          <w:p w:rsidR="00557A6F" w:rsidRDefault="00557A6F" w:rsidP="00557A6F">
            <w:pPr>
              <w:jc w:val="right"/>
            </w:pPr>
            <w:r>
              <w:rPr>
                <w:rStyle w:val="kursiv"/>
                <w:sz w:val="21"/>
                <w:szCs w:val="21"/>
              </w:rPr>
              <w:t>1 978 747</w:t>
            </w:r>
          </w:p>
        </w:tc>
        <w:tc>
          <w:tcPr>
            <w:tcW w:w="1020" w:type="dxa"/>
          </w:tcPr>
          <w:p w:rsidR="00557A6F" w:rsidRDefault="00557A6F" w:rsidP="00557A6F">
            <w:pPr>
              <w:jc w:val="right"/>
            </w:pPr>
            <w:r>
              <w:rPr>
                <w:rStyle w:val="kursiv"/>
                <w:sz w:val="21"/>
                <w:szCs w:val="21"/>
              </w:rPr>
              <w:t>2 055 846</w:t>
            </w:r>
          </w:p>
        </w:tc>
        <w:tc>
          <w:tcPr>
            <w:tcW w:w="1020" w:type="dxa"/>
          </w:tcPr>
          <w:p w:rsidR="00557A6F" w:rsidRDefault="00557A6F" w:rsidP="00557A6F">
            <w:pPr>
              <w:jc w:val="right"/>
            </w:pPr>
            <w:r>
              <w:rPr>
                <w:rStyle w:val="kursiv"/>
                <w:sz w:val="21"/>
                <w:szCs w:val="21"/>
              </w:rPr>
              <w:t>2 069 260</w:t>
            </w:r>
          </w:p>
        </w:tc>
        <w:tc>
          <w:tcPr>
            <w:tcW w:w="1020" w:type="dxa"/>
          </w:tcPr>
          <w:p w:rsidR="00557A6F" w:rsidRDefault="00557A6F" w:rsidP="00557A6F">
            <w:pPr>
              <w:jc w:val="right"/>
            </w:pPr>
            <w:r>
              <w:rPr>
                <w:rStyle w:val="kursiv"/>
                <w:sz w:val="21"/>
                <w:szCs w:val="21"/>
              </w:rPr>
              <w:t>0,7</w:t>
            </w:r>
          </w:p>
        </w:tc>
      </w:tr>
      <w:tr w:rsidR="00557A6F" w:rsidTr="00557A6F">
        <w:trPr>
          <w:trHeight w:val="640"/>
        </w:trPr>
        <w:tc>
          <w:tcPr>
            <w:tcW w:w="1020" w:type="dxa"/>
          </w:tcPr>
          <w:p w:rsidR="00557A6F" w:rsidRDefault="00557A6F" w:rsidP="00557A6F"/>
        </w:tc>
        <w:tc>
          <w:tcPr>
            <w:tcW w:w="4080" w:type="dxa"/>
          </w:tcPr>
          <w:p w:rsidR="00557A6F" w:rsidRDefault="00557A6F" w:rsidP="00557A6F">
            <w:r>
              <w:rPr>
                <w:rStyle w:val="halvfet0"/>
                <w:sz w:val="21"/>
                <w:szCs w:val="21"/>
              </w:rPr>
              <w:t>Statlige byggeprosjekter og eiendomsfo</w:t>
            </w:r>
            <w:r>
              <w:rPr>
                <w:rStyle w:val="halvfet0"/>
                <w:sz w:val="21"/>
                <w:szCs w:val="21"/>
              </w:rPr>
              <w:t>r</w:t>
            </w:r>
            <w:r>
              <w:rPr>
                <w:rStyle w:val="halvfet0"/>
                <w:sz w:val="21"/>
                <w:szCs w:val="21"/>
              </w:rPr>
              <w:t>valtning</w:t>
            </w: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p>
        </w:tc>
      </w:tr>
      <w:tr w:rsidR="00557A6F" w:rsidTr="00557A6F">
        <w:trPr>
          <w:trHeight w:val="640"/>
        </w:trPr>
        <w:tc>
          <w:tcPr>
            <w:tcW w:w="1020" w:type="dxa"/>
          </w:tcPr>
          <w:p w:rsidR="00557A6F" w:rsidRDefault="00557A6F" w:rsidP="00557A6F">
            <w:r>
              <w:t>530</w:t>
            </w:r>
          </w:p>
        </w:tc>
        <w:tc>
          <w:tcPr>
            <w:tcW w:w="4080" w:type="dxa"/>
          </w:tcPr>
          <w:p w:rsidR="00557A6F" w:rsidRDefault="00557A6F" w:rsidP="00557A6F">
            <w:r>
              <w:t>Byggeprosjekter utenfor huslei</w:t>
            </w:r>
            <w:r>
              <w:t>e</w:t>
            </w:r>
            <w:r>
              <w:t>ordningen</w:t>
            </w:r>
          </w:p>
        </w:tc>
        <w:tc>
          <w:tcPr>
            <w:tcW w:w="1020" w:type="dxa"/>
          </w:tcPr>
          <w:p w:rsidR="00557A6F" w:rsidRDefault="00557A6F" w:rsidP="00557A6F">
            <w:pPr>
              <w:jc w:val="right"/>
            </w:pPr>
            <w:r>
              <w:t>2 379 750</w:t>
            </w:r>
          </w:p>
        </w:tc>
        <w:tc>
          <w:tcPr>
            <w:tcW w:w="1020" w:type="dxa"/>
          </w:tcPr>
          <w:p w:rsidR="00557A6F" w:rsidRDefault="00557A6F" w:rsidP="00557A6F">
            <w:pPr>
              <w:jc w:val="right"/>
            </w:pPr>
            <w:r>
              <w:t>2 453 072</w:t>
            </w:r>
          </w:p>
        </w:tc>
        <w:tc>
          <w:tcPr>
            <w:tcW w:w="1020" w:type="dxa"/>
          </w:tcPr>
          <w:p w:rsidR="00557A6F" w:rsidRDefault="00557A6F" w:rsidP="00557A6F">
            <w:pPr>
              <w:jc w:val="right"/>
            </w:pPr>
            <w:r>
              <w:t>2 545 300</w:t>
            </w:r>
          </w:p>
        </w:tc>
        <w:tc>
          <w:tcPr>
            <w:tcW w:w="1020" w:type="dxa"/>
          </w:tcPr>
          <w:p w:rsidR="00557A6F" w:rsidRDefault="00557A6F" w:rsidP="00557A6F">
            <w:pPr>
              <w:jc w:val="right"/>
            </w:pPr>
            <w:r>
              <w:t>3,8</w:t>
            </w:r>
          </w:p>
        </w:tc>
      </w:tr>
      <w:tr w:rsidR="00557A6F" w:rsidTr="00557A6F">
        <w:trPr>
          <w:trHeight w:val="380"/>
        </w:trPr>
        <w:tc>
          <w:tcPr>
            <w:tcW w:w="1020" w:type="dxa"/>
          </w:tcPr>
          <w:p w:rsidR="00557A6F" w:rsidRDefault="00557A6F" w:rsidP="00557A6F">
            <w:r>
              <w:t>531</w:t>
            </w:r>
          </w:p>
        </w:tc>
        <w:tc>
          <w:tcPr>
            <w:tcW w:w="4080" w:type="dxa"/>
          </w:tcPr>
          <w:p w:rsidR="00557A6F" w:rsidRDefault="00557A6F" w:rsidP="00557A6F">
            <w:r>
              <w:t>Eiendommer til kongelige formål</w:t>
            </w:r>
          </w:p>
        </w:tc>
        <w:tc>
          <w:tcPr>
            <w:tcW w:w="1020" w:type="dxa"/>
          </w:tcPr>
          <w:p w:rsidR="00557A6F" w:rsidRDefault="00557A6F" w:rsidP="00557A6F">
            <w:pPr>
              <w:jc w:val="right"/>
            </w:pPr>
            <w:r>
              <w:t>58 183</w:t>
            </w:r>
          </w:p>
        </w:tc>
        <w:tc>
          <w:tcPr>
            <w:tcW w:w="1020" w:type="dxa"/>
          </w:tcPr>
          <w:p w:rsidR="00557A6F" w:rsidRDefault="00557A6F" w:rsidP="00557A6F">
            <w:pPr>
              <w:jc w:val="right"/>
            </w:pPr>
            <w:r>
              <w:t>121 448</w:t>
            </w:r>
          </w:p>
        </w:tc>
        <w:tc>
          <w:tcPr>
            <w:tcW w:w="1020" w:type="dxa"/>
          </w:tcPr>
          <w:p w:rsidR="00557A6F" w:rsidRDefault="00557A6F" w:rsidP="00557A6F">
            <w:pPr>
              <w:jc w:val="right"/>
            </w:pPr>
            <w:r>
              <w:t>90 812</w:t>
            </w:r>
          </w:p>
        </w:tc>
        <w:tc>
          <w:tcPr>
            <w:tcW w:w="1020" w:type="dxa"/>
          </w:tcPr>
          <w:p w:rsidR="00557A6F" w:rsidRDefault="00557A6F" w:rsidP="00557A6F">
            <w:pPr>
              <w:jc w:val="right"/>
            </w:pPr>
            <w:r>
              <w:t>-25,2</w:t>
            </w:r>
          </w:p>
        </w:tc>
      </w:tr>
      <w:tr w:rsidR="00557A6F" w:rsidTr="00557A6F">
        <w:trPr>
          <w:trHeight w:val="380"/>
        </w:trPr>
        <w:tc>
          <w:tcPr>
            <w:tcW w:w="1020" w:type="dxa"/>
          </w:tcPr>
          <w:p w:rsidR="00557A6F" w:rsidRDefault="00557A6F" w:rsidP="00557A6F">
            <w:r>
              <w:t>532</w:t>
            </w:r>
          </w:p>
        </w:tc>
        <w:tc>
          <w:tcPr>
            <w:tcW w:w="4080" w:type="dxa"/>
          </w:tcPr>
          <w:p w:rsidR="00557A6F" w:rsidRDefault="00557A6F" w:rsidP="00557A6F">
            <w:r>
              <w:t>Utvikling av Fornebuområdet</w:t>
            </w:r>
          </w:p>
        </w:tc>
        <w:tc>
          <w:tcPr>
            <w:tcW w:w="1020" w:type="dxa"/>
          </w:tcPr>
          <w:p w:rsidR="00557A6F" w:rsidRDefault="00557A6F" w:rsidP="00557A6F">
            <w:pPr>
              <w:jc w:val="right"/>
            </w:pPr>
            <w:r>
              <w:t>166</w:t>
            </w:r>
          </w:p>
        </w:tc>
        <w:tc>
          <w:tcPr>
            <w:tcW w:w="1020" w:type="dxa"/>
          </w:tcPr>
          <w:p w:rsidR="00557A6F" w:rsidRDefault="00557A6F" w:rsidP="00557A6F">
            <w:pPr>
              <w:jc w:val="right"/>
            </w:pPr>
            <w:r>
              <w:t>6 097</w:t>
            </w:r>
          </w:p>
        </w:tc>
        <w:tc>
          <w:tcPr>
            <w:tcW w:w="1020" w:type="dxa"/>
          </w:tcPr>
          <w:p w:rsidR="00557A6F" w:rsidRDefault="00557A6F" w:rsidP="00557A6F">
            <w:pPr>
              <w:jc w:val="right"/>
            </w:pPr>
            <w:r>
              <w:t>297</w:t>
            </w:r>
          </w:p>
        </w:tc>
        <w:tc>
          <w:tcPr>
            <w:tcW w:w="1020" w:type="dxa"/>
          </w:tcPr>
          <w:p w:rsidR="00557A6F" w:rsidRDefault="00557A6F" w:rsidP="00557A6F">
            <w:pPr>
              <w:jc w:val="right"/>
            </w:pPr>
            <w:r>
              <w:t>-95,1</w:t>
            </w:r>
          </w:p>
        </w:tc>
      </w:tr>
      <w:tr w:rsidR="00557A6F" w:rsidTr="00557A6F">
        <w:trPr>
          <w:trHeight w:val="640"/>
        </w:trPr>
        <w:tc>
          <w:tcPr>
            <w:tcW w:w="1020" w:type="dxa"/>
          </w:tcPr>
          <w:p w:rsidR="00557A6F" w:rsidRDefault="00557A6F" w:rsidP="00557A6F">
            <w:r>
              <w:t>533</w:t>
            </w:r>
          </w:p>
        </w:tc>
        <w:tc>
          <w:tcPr>
            <w:tcW w:w="4080" w:type="dxa"/>
          </w:tcPr>
          <w:p w:rsidR="00557A6F" w:rsidRDefault="00557A6F" w:rsidP="00557A6F">
            <w:r>
              <w:t>Eiendommer utenfor husleieor</w:t>
            </w:r>
            <w:r>
              <w:t>d</w:t>
            </w:r>
            <w:r>
              <w:t>ningen</w:t>
            </w:r>
          </w:p>
        </w:tc>
        <w:tc>
          <w:tcPr>
            <w:tcW w:w="1020" w:type="dxa"/>
          </w:tcPr>
          <w:p w:rsidR="00557A6F" w:rsidRDefault="00557A6F" w:rsidP="00557A6F">
            <w:pPr>
              <w:jc w:val="right"/>
            </w:pPr>
            <w:r>
              <w:t>55 008</w:t>
            </w:r>
          </w:p>
        </w:tc>
        <w:tc>
          <w:tcPr>
            <w:tcW w:w="1020" w:type="dxa"/>
          </w:tcPr>
          <w:p w:rsidR="00557A6F" w:rsidRDefault="00557A6F" w:rsidP="00557A6F">
            <w:pPr>
              <w:jc w:val="right"/>
            </w:pPr>
            <w:r>
              <w:t>47 686</w:t>
            </w:r>
          </w:p>
        </w:tc>
        <w:tc>
          <w:tcPr>
            <w:tcW w:w="1020" w:type="dxa"/>
          </w:tcPr>
          <w:p w:rsidR="00557A6F" w:rsidRDefault="00557A6F" w:rsidP="00557A6F">
            <w:pPr>
              <w:jc w:val="right"/>
            </w:pPr>
            <w:r>
              <w:t>56 008</w:t>
            </w:r>
          </w:p>
        </w:tc>
        <w:tc>
          <w:tcPr>
            <w:tcW w:w="1020" w:type="dxa"/>
          </w:tcPr>
          <w:p w:rsidR="00557A6F" w:rsidRDefault="00557A6F" w:rsidP="00557A6F">
            <w:pPr>
              <w:jc w:val="right"/>
            </w:pPr>
            <w:r>
              <w:t>17,5</w:t>
            </w:r>
          </w:p>
        </w:tc>
      </w:tr>
      <w:tr w:rsidR="00557A6F" w:rsidTr="00557A6F">
        <w:trPr>
          <w:trHeight w:val="380"/>
        </w:trPr>
        <w:tc>
          <w:tcPr>
            <w:tcW w:w="1020" w:type="dxa"/>
          </w:tcPr>
          <w:p w:rsidR="00557A6F" w:rsidRDefault="00557A6F" w:rsidP="00557A6F">
            <w:r>
              <w:t>2445</w:t>
            </w:r>
          </w:p>
        </w:tc>
        <w:tc>
          <w:tcPr>
            <w:tcW w:w="4080" w:type="dxa"/>
          </w:tcPr>
          <w:p w:rsidR="00557A6F" w:rsidRDefault="00557A6F" w:rsidP="00557A6F">
            <w:r>
              <w:t>Statsbygg</w:t>
            </w:r>
          </w:p>
        </w:tc>
        <w:tc>
          <w:tcPr>
            <w:tcW w:w="1020" w:type="dxa"/>
          </w:tcPr>
          <w:p w:rsidR="00557A6F" w:rsidRDefault="00557A6F" w:rsidP="00557A6F">
            <w:pPr>
              <w:jc w:val="right"/>
            </w:pPr>
            <w:r>
              <w:t>3 985 911</w:t>
            </w:r>
          </w:p>
        </w:tc>
        <w:tc>
          <w:tcPr>
            <w:tcW w:w="1020" w:type="dxa"/>
          </w:tcPr>
          <w:p w:rsidR="00557A6F" w:rsidRDefault="00557A6F" w:rsidP="00557A6F">
            <w:pPr>
              <w:jc w:val="right"/>
            </w:pPr>
            <w:r>
              <w:t>4 096 927</w:t>
            </w:r>
          </w:p>
        </w:tc>
        <w:tc>
          <w:tcPr>
            <w:tcW w:w="1020" w:type="dxa"/>
          </w:tcPr>
          <w:p w:rsidR="00557A6F" w:rsidRDefault="00557A6F" w:rsidP="00557A6F">
            <w:pPr>
              <w:jc w:val="right"/>
            </w:pPr>
            <w:r>
              <w:t>2 385 231</w:t>
            </w:r>
          </w:p>
        </w:tc>
        <w:tc>
          <w:tcPr>
            <w:tcW w:w="1020" w:type="dxa"/>
          </w:tcPr>
          <w:p w:rsidR="00557A6F" w:rsidRDefault="00557A6F" w:rsidP="00557A6F">
            <w:pPr>
              <w:jc w:val="right"/>
            </w:pPr>
            <w:r>
              <w:t>-41,8</w:t>
            </w:r>
          </w:p>
        </w:tc>
      </w:tr>
      <w:tr w:rsidR="00557A6F" w:rsidTr="00557A6F">
        <w:trPr>
          <w:trHeight w:val="380"/>
        </w:trPr>
        <w:tc>
          <w:tcPr>
            <w:tcW w:w="1020" w:type="dxa"/>
          </w:tcPr>
          <w:p w:rsidR="00557A6F" w:rsidRDefault="00557A6F" w:rsidP="00557A6F"/>
        </w:tc>
        <w:tc>
          <w:tcPr>
            <w:tcW w:w="4080" w:type="dxa"/>
          </w:tcPr>
          <w:p w:rsidR="00557A6F" w:rsidRDefault="00557A6F" w:rsidP="00557A6F">
            <w:r>
              <w:rPr>
                <w:rStyle w:val="kursiv"/>
                <w:sz w:val="21"/>
                <w:szCs w:val="21"/>
              </w:rPr>
              <w:t>Sum kategori 13.30</w:t>
            </w:r>
          </w:p>
        </w:tc>
        <w:tc>
          <w:tcPr>
            <w:tcW w:w="1020" w:type="dxa"/>
          </w:tcPr>
          <w:p w:rsidR="00557A6F" w:rsidRDefault="00557A6F" w:rsidP="00557A6F">
            <w:pPr>
              <w:jc w:val="right"/>
            </w:pPr>
            <w:r>
              <w:rPr>
                <w:rStyle w:val="kursiv"/>
                <w:sz w:val="21"/>
                <w:szCs w:val="21"/>
              </w:rPr>
              <w:t>6 479 018</w:t>
            </w:r>
          </w:p>
        </w:tc>
        <w:tc>
          <w:tcPr>
            <w:tcW w:w="1020" w:type="dxa"/>
          </w:tcPr>
          <w:p w:rsidR="00557A6F" w:rsidRDefault="00557A6F" w:rsidP="00557A6F">
            <w:pPr>
              <w:jc w:val="right"/>
            </w:pPr>
            <w:r>
              <w:rPr>
                <w:rStyle w:val="kursiv"/>
                <w:sz w:val="21"/>
                <w:szCs w:val="21"/>
              </w:rPr>
              <w:t>6 725 230</w:t>
            </w:r>
          </w:p>
        </w:tc>
        <w:tc>
          <w:tcPr>
            <w:tcW w:w="1020" w:type="dxa"/>
          </w:tcPr>
          <w:p w:rsidR="00557A6F" w:rsidRDefault="00557A6F" w:rsidP="00557A6F">
            <w:pPr>
              <w:jc w:val="right"/>
            </w:pPr>
            <w:r>
              <w:rPr>
                <w:rStyle w:val="kursiv"/>
                <w:sz w:val="21"/>
                <w:szCs w:val="21"/>
              </w:rPr>
              <w:t>5 077 648</w:t>
            </w:r>
          </w:p>
        </w:tc>
        <w:tc>
          <w:tcPr>
            <w:tcW w:w="1020" w:type="dxa"/>
          </w:tcPr>
          <w:p w:rsidR="00557A6F" w:rsidRDefault="00557A6F" w:rsidP="00557A6F">
            <w:pPr>
              <w:jc w:val="right"/>
            </w:pPr>
            <w:r>
              <w:rPr>
                <w:rStyle w:val="kursiv"/>
                <w:sz w:val="21"/>
                <w:szCs w:val="21"/>
              </w:rPr>
              <w:t>-24,5</w:t>
            </w:r>
          </w:p>
        </w:tc>
      </w:tr>
      <w:tr w:rsidR="00557A6F" w:rsidTr="00557A6F">
        <w:trPr>
          <w:trHeight w:val="640"/>
        </w:trPr>
        <w:tc>
          <w:tcPr>
            <w:tcW w:w="1020" w:type="dxa"/>
          </w:tcPr>
          <w:p w:rsidR="00557A6F" w:rsidRDefault="00557A6F" w:rsidP="00557A6F"/>
        </w:tc>
        <w:tc>
          <w:tcPr>
            <w:tcW w:w="4080" w:type="dxa"/>
          </w:tcPr>
          <w:p w:rsidR="00557A6F" w:rsidRDefault="00557A6F" w:rsidP="00557A6F">
            <w:r>
              <w:rPr>
                <w:rStyle w:val="halvfet0"/>
                <w:sz w:val="21"/>
                <w:szCs w:val="21"/>
              </w:rPr>
              <w:t>Forvaltningsutvikling, IT- og ekompol</w:t>
            </w:r>
            <w:r>
              <w:rPr>
                <w:rStyle w:val="halvfet0"/>
                <w:sz w:val="21"/>
                <w:szCs w:val="21"/>
              </w:rPr>
              <w:t>i</w:t>
            </w:r>
            <w:r>
              <w:rPr>
                <w:rStyle w:val="halvfet0"/>
                <w:sz w:val="21"/>
                <w:szCs w:val="21"/>
              </w:rPr>
              <w:t>tikk</w:t>
            </w: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p>
        </w:tc>
      </w:tr>
      <w:tr w:rsidR="00557A6F" w:rsidTr="00557A6F">
        <w:trPr>
          <w:trHeight w:val="380"/>
        </w:trPr>
        <w:tc>
          <w:tcPr>
            <w:tcW w:w="1020" w:type="dxa"/>
          </w:tcPr>
          <w:p w:rsidR="00557A6F" w:rsidRDefault="00557A6F" w:rsidP="00557A6F">
            <w:r>
              <w:t>540</w:t>
            </w:r>
          </w:p>
        </w:tc>
        <w:tc>
          <w:tcPr>
            <w:tcW w:w="4080" w:type="dxa"/>
          </w:tcPr>
          <w:p w:rsidR="00557A6F" w:rsidRDefault="00557A6F" w:rsidP="00557A6F">
            <w:r>
              <w:t>Digitaliseringsdirektoratet</w:t>
            </w:r>
          </w:p>
        </w:tc>
        <w:tc>
          <w:tcPr>
            <w:tcW w:w="1020" w:type="dxa"/>
          </w:tcPr>
          <w:p w:rsidR="00557A6F" w:rsidRDefault="00557A6F" w:rsidP="00557A6F">
            <w:pPr>
              <w:jc w:val="right"/>
            </w:pPr>
            <w:r>
              <w:t>600 246</w:t>
            </w:r>
          </w:p>
        </w:tc>
        <w:tc>
          <w:tcPr>
            <w:tcW w:w="1020" w:type="dxa"/>
          </w:tcPr>
          <w:p w:rsidR="00557A6F" w:rsidRDefault="00557A6F" w:rsidP="00557A6F">
            <w:pPr>
              <w:jc w:val="right"/>
            </w:pPr>
            <w:r>
              <w:t>649 013</w:t>
            </w:r>
          </w:p>
        </w:tc>
        <w:tc>
          <w:tcPr>
            <w:tcW w:w="1020" w:type="dxa"/>
          </w:tcPr>
          <w:p w:rsidR="00557A6F" w:rsidRDefault="00557A6F" w:rsidP="00557A6F">
            <w:pPr>
              <w:jc w:val="right"/>
            </w:pPr>
            <w:r>
              <w:t>857 766</w:t>
            </w:r>
          </w:p>
        </w:tc>
        <w:tc>
          <w:tcPr>
            <w:tcW w:w="1020" w:type="dxa"/>
          </w:tcPr>
          <w:p w:rsidR="00557A6F" w:rsidRDefault="00557A6F" w:rsidP="00557A6F">
            <w:pPr>
              <w:jc w:val="right"/>
            </w:pPr>
            <w:r>
              <w:t>32,2</w:t>
            </w:r>
          </w:p>
        </w:tc>
      </w:tr>
      <w:tr w:rsidR="00557A6F" w:rsidTr="00557A6F">
        <w:trPr>
          <w:trHeight w:val="380"/>
        </w:trPr>
        <w:tc>
          <w:tcPr>
            <w:tcW w:w="1020" w:type="dxa"/>
          </w:tcPr>
          <w:p w:rsidR="00557A6F" w:rsidRDefault="00557A6F" w:rsidP="00557A6F">
            <w:r>
              <w:t>541</w:t>
            </w:r>
          </w:p>
        </w:tc>
        <w:tc>
          <w:tcPr>
            <w:tcW w:w="4080" w:type="dxa"/>
          </w:tcPr>
          <w:p w:rsidR="00557A6F" w:rsidRDefault="00557A6F" w:rsidP="00557A6F">
            <w:r>
              <w:t>IT- og ekompolitikk</w:t>
            </w:r>
          </w:p>
        </w:tc>
        <w:tc>
          <w:tcPr>
            <w:tcW w:w="1020" w:type="dxa"/>
          </w:tcPr>
          <w:p w:rsidR="00557A6F" w:rsidRDefault="00557A6F" w:rsidP="00557A6F">
            <w:pPr>
              <w:jc w:val="right"/>
            </w:pPr>
            <w:r>
              <w:t>15 166</w:t>
            </w:r>
          </w:p>
        </w:tc>
        <w:tc>
          <w:tcPr>
            <w:tcW w:w="1020" w:type="dxa"/>
          </w:tcPr>
          <w:p w:rsidR="00557A6F" w:rsidRDefault="00557A6F" w:rsidP="00557A6F">
            <w:pPr>
              <w:jc w:val="right"/>
            </w:pPr>
            <w:r>
              <w:t>15 358</w:t>
            </w:r>
          </w:p>
        </w:tc>
        <w:tc>
          <w:tcPr>
            <w:tcW w:w="1020" w:type="dxa"/>
          </w:tcPr>
          <w:p w:rsidR="00557A6F" w:rsidRDefault="00557A6F" w:rsidP="00557A6F">
            <w:pPr>
              <w:jc w:val="right"/>
            </w:pPr>
            <w:r>
              <w:t>497 769</w:t>
            </w:r>
          </w:p>
        </w:tc>
        <w:tc>
          <w:tcPr>
            <w:tcW w:w="1020" w:type="dxa"/>
          </w:tcPr>
          <w:p w:rsidR="00557A6F" w:rsidRDefault="00557A6F" w:rsidP="00557A6F">
            <w:pPr>
              <w:jc w:val="right"/>
            </w:pPr>
            <w:r>
              <w:t>3 141,1</w:t>
            </w:r>
          </w:p>
        </w:tc>
      </w:tr>
      <w:tr w:rsidR="00557A6F" w:rsidTr="00557A6F">
        <w:trPr>
          <w:trHeight w:val="380"/>
        </w:trPr>
        <w:tc>
          <w:tcPr>
            <w:tcW w:w="1020" w:type="dxa"/>
          </w:tcPr>
          <w:p w:rsidR="00557A6F" w:rsidRDefault="00557A6F" w:rsidP="00557A6F">
            <w:r>
              <w:t>542</w:t>
            </w:r>
          </w:p>
        </w:tc>
        <w:tc>
          <w:tcPr>
            <w:tcW w:w="4080" w:type="dxa"/>
          </w:tcPr>
          <w:p w:rsidR="00557A6F" w:rsidRDefault="00557A6F" w:rsidP="00557A6F">
            <w:r>
              <w:t>Internasjonalt samarbeid</w:t>
            </w:r>
          </w:p>
        </w:tc>
        <w:tc>
          <w:tcPr>
            <w:tcW w:w="1020" w:type="dxa"/>
          </w:tcPr>
          <w:p w:rsidR="00557A6F" w:rsidRDefault="00557A6F" w:rsidP="00557A6F">
            <w:pPr>
              <w:jc w:val="right"/>
            </w:pPr>
            <w:r>
              <w:t>30 439</w:t>
            </w:r>
          </w:p>
        </w:tc>
        <w:tc>
          <w:tcPr>
            <w:tcW w:w="1020" w:type="dxa"/>
          </w:tcPr>
          <w:p w:rsidR="00557A6F" w:rsidRDefault="00557A6F" w:rsidP="00557A6F">
            <w:pPr>
              <w:jc w:val="right"/>
            </w:pPr>
            <w:r>
              <w:t>51 203</w:t>
            </w:r>
          </w:p>
        </w:tc>
        <w:tc>
          <w:tcPr>
            <w:tcW w:w="1020" w:type="dxa"/>
          </w:tcPr>
          <w:p w:rsidR="00557A6F" w:rsidRDefault="00557A6F" w:rsidP="00557A6F">
            <w:pPr>
              <w:jc w:val="right"/>
            </w:pPr>
            <w:r>
              <w:t>78 670</w:t>
            </w:r>
          </w:p>
        </w:tc>
        <w:tc>
          <w:tcPr>
            <w:tcW w:w="1020" w:type="dxa"/>
          </w:tcPr>
          <w:p w:rsidR="00557A6F" w:rsidRDefault="00557A6F" w:rsidP="00557A6F">
            <w:pPr>
              <w:jc w:val="right"/>
            </w:pPr>
            <w:r>
              <w:t>53,6</w:t>
            </w:r>
          </w:p>
        </w:tc>
      </w:tr>
      <w:tr w:rsidR="00557A6F" w:rsidTr="00557A6F">
        <w:trPr>
          <w:trHeight w:val="380"/>
        </w:trPr>
        <w:tc>
          <w:tcPr>
            <w:tcW w:w="1020" w:type="dxa"/>
          </w:tcPr>
          <w:p w:rsidR="00557A6F" w:rsidRDefault="00557A6F" w:rsidP="00557A6F">
            <w:r>
              <w:t>543</w:t>
            </w:r>
          </w:p>
        </w:tc>
        <w:tc>
          <w:tcPr>
            <w:tcW w:w="4080" w:type="dxa"/>
          </w:tcPr>
          <w:p w:rsidR="00557A6F" w:rsidRDefault="00557A6F" w:rsidP="00557A6F">
            <w:r>
              <w:t>Nasjonal kommunikasjonsmy</w:t>
            </w:r>
            <w:r>
              <w:t>n</w:t>
            </w:r>
            <w:r>
              <w:t>dighet</w:t>
            </w: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r>
              <w:t>389 087</w:t>
            </w:r>
          </w:p>
        </w:tc>
        <w:tc>
          <w:tcPr>
            <w:tcW w:w="1020" w:type="dxa"/>
          </w:tcPr>
          <w:p w:rsidR="00557A6F" w:rsidRDefault="00557A6F" w:rsidP="00557A6F">
            <w:pPr>
              <w:jc w:val="right"/>
            </w:pPr>
          </w:p>
        </w:tc>
      </w:tr>
      <w:tr w:rsidR="00557A6F" w:rsidTr="00557A6F">
        <w:trPr>
          <w:trHeight w:val="380"/>
        </w:trPr>
        <w:tc>
          <w:tcPr>
            <w:tcW w:w="1020" w:type="dxa"/>
          </w:tcPr>
          <w:p w:rsidR="00557A6F" w:rsidRDefault="00557A6F" w:rsidP="00557A6F"/>
        </w:tc>
        <w:tc>
          <w:tcPr>
            <w:tcW w:w="4080" w:type="dxa"/>
          </w:tcPr>
          <w:p w:rsidR="00557A6F" w:rsidRDefault="00557A6F" w:rsidP="00557A6F">
            <w:r>
              <w:rPr>
                <w:rStyle w:val="kursiv"/>
                <w:sz w:val="21"/>
                <w:szCs w:val="21"/>
              </w:rPr>
              <w:t>Sum kategori 13.40</w:t>
            </w:r>
          </w:p>
        </w:tc>
        <w:tc>
          <w:tcPr>
            <w:tcW w:w="1020" w:type="dxa"/>
          </w:tcPr>
          <w:p w:rsidR="00557A6F" w:rsidRDefault="00557A6F" w:rsidP="00557A6F">
            <w:pPr>
              <w:jc w:val="right"/>
            </w:pPr>
            <w:r>
              <w:rPr>
                <w:rStyle w:val="kursiv"/>
                <w:sz w:val="21"/>
                <w:szCs w:val="21"/>
              </w:rPr>
              <w:t>645 851</w:t>
            </w:r>
          </w:p>
        </w:tc>
        <w:tc>
          <w:tcPr>
            <w:tcW w:w="1020" w:type="dxa"/>
          </w:tcPr>
          <w:p w:rsidR="00557A6F" w:rsidRDefault="00557A6F" w:rsidP="00557A6F">
            <w:pPr>
              <w:jc w:val="right"/>
            </w:pPr>
            <w:r>
              <w:rPr>
                <w:rStyle w:val="kursiv"/>
                <w:sz w:val="21"/>
                <w:szCs w:val="21"/>
              </w:rPr>
              <w:t>715 574</w:t>
            </w:r>
          </w:p>
        </w:tc>
        <w:tc>
          <w:tcPr>
            <w:tcW w:w="1020" w:type="dxa"/>
          </w:tcPr>
          <w:p w:rsidR="00557A6F" w:rsidRDefault="00557A6F" w:rsidP="00557A6F">
            <w:pPr>
              <w:jc w:val="right"/>
            </w:pPr>
            <w:r>
              <w:rPr>
                <w:rStyle w:val="kursiv"/>
                <w:sz w:val="21"/>
                <w:szCs w:val="21"/>
              </w:rPr>
              <w:t>1 823 292</w:t>
            </w:r>
          </w:p>
        </w:tc>
        <w:tc>
          <w:tcPr>
            <w:tcW w:w="1020" w:type="dxa"/>
          </w:tcPr>
          <w:p w:rsidR="00557A6F" w:rsidRDefault="00557A6F" w:rsidP="00557A6F">
            <w:pPr>
              <w:jc w:val="right"/>
            </w:pPr>
            <w:r>
              <w:rPr>
                <w:rStyle w:val="kursiv"/>
                <w:sz w:val="21"/>
                <w:szCs w:val="21"/>
              </w:rPr>
              <w:t>154,8</w:t>
            </w:r>
          </w:p>
        </w:tc>
      </w:tr>
      <w:tr w:rsidR="00557A6F" w:rsidTr="00557A6F">
        <w:trPr>
          <w:trHeight w:val="380"/>
        </w:trPr>
        <w:tc>
          <w:tcPr>
            <w:tcW w:w="1020" w:type="dxa"/>
          </w:tcPr>
          <w:p w:rsidR="00557A6F" w:rsidRDefault="00557A6F" w:rsidP="00557A6F"/>
        </w:tc>
        <w:tc>
          <w:tcPr>
            <w:tcW w:w="4080" w:type="dxa"/>
          </w:tcPr>
          <w:p w:rsidR="00557A6F" w:rsidRDefault="00557A6F" w:rsidP="00557A6F">
            <w:r>
              <w:rPr>
                <w:rStyle w:val="halvfet0"/>
                <w:sz w:val="21"/>
                <w:szCs w:val="21"/>
              </w:rPr>
              <w:t>Personvern</w:t>
            </w: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p>
        </w:tc>
      </w:tr>
      <w:tr w:rsidR="00557A6F" w:rsidTr="00557A6F">
        <w:trPr>
          <w:trHeight w:val="380"/>
        </w:trPr>
        <w:tc>
          <w:tcPr>
            <w:tcW w:w="1020" w:type="dxa"/>
          </w:tcPr>
          <w:p w:rsidR="00557A6F" w:rsidRDefault="00557A6F" w:rsidP="00557A6F">
            <w:r>
              <w:t>545</w:t>
            </w:r>
          </w:p>
        </w:tc>
        <w:tc>
          <w:tcPr>
            <w:tcW w:w="4080" w:type="dxa"/>
          </w:tcPr>
          <w:p w:rsidR="00557A6F" w:rsidRDefault="00557A6F" w:rsidP="00557A6F">
            <w:r>
              <w:t>Datatilsynet</w:t>
            </w:r>
          </w:p>
        </w:tc>
        <w:tc>
          <w:tcPr>
            <w:tcW w:w="1020" w:type="dxa"/>
          </w:tcPr>
          <w:p w:rsidR="00557A6F" w:rsidRDefault="00557A6F" w:rsidP="00557A6F">
            <w:pPr>
              <w:jc w:val="right"/>
            </w:pPr>
            <w:r>
              <w:t>52 546</w:t>
            </w:r>
          </w:p>
        </w:tc>
        <w:tc>
          <w:tcPr>
            <w:tcW w:w="1020" w:type="dxa"/>
          </w:tcPr>
          <w:p w:rsidR="00557A6F" w:rsidRDefault="00557A6F" w:rsidP="00557A6F">
            <w:pPr>
              <w:jc w:val="right"/>
            </w:pPr>
            <w:r>
              <w:t>57 672</w:t>
            </w:r>
          </w:p>
        </w:tc>
        <w:tc>
          <w:tcPr>
            <w:tcW w:w="1020" w:type="dxa"/>
          </w:tcPr>
          <w:p w:rsidR="00557A6F" w:rsidRDefault="00557A6F" w:rsidP="00557A6F">
            <w:pPr>
              <w:jc w:val="right"/>
            </w:pPr>
            <w:r>
              <w:t>66 478</w:t>
            </w:r>
          </w:p>
        </w:tc>
        <w:tc>
          <w:tcPr>
            <w:tcW w:w="1020" w:type="dxa"/>
          </w:tcPr>
          <w:p w:rsidR="00557A6F" w:rsidRDefault="00557A6F" w:rsidP="00557A6F">
            <w:pPr>
              <w:jc w:val="right"/>
            </w:pPr>
            <w:r>
              <w:t>15,3</w:t>
            </w:r>
          </w:p>
        </w:tc>
      </w:tr>
      <w:tr w:rsidR="00557A6F" w:rsidTr="00557A6F">
        <w:trPr>
          <w:trHeight w:val="380"/>
        </w:trPr>
        <w:tc>
          <w:tcPr>
            <w:tcW w:w="1020" w:type="dxa"/>
          </w:tcPr>
          <w:p w:rsidR="00557A6F" w:rsidRDefault="00557A6F" w:rsidP="00557A6F">
            <w:r>
              <w:t>546</w:t>
            </w:r>
          </w:p>
        </w:tc>
        <w:tc>
          <w:tcPr>
            <w:tcW w:w="4080" w:type="dxa"/>
          </w:tcPr>
          <w:p w:rsidR="00557A6F" w:rsidRDefault="00557A6F" w:rsidP="00557A6F">
            <w:r>
              <w:t>Personvernnemnda</w:t>
            </w:r>
          </w:p>
        </w:tc>
        <w:tc>
          <w:tcPr>
            <w:tcW w:w="1020" w:type="dxa"/>
          </w:tcPr>
          <w:p w:rsidR="00557A6F" w:rsidRDefault="00557A6F" w:rsidP="00557A6F">
            <w:pPr>
              <w:jc w:val="right"/>
            </w:pPr>
            <w:r>
              <w:t>2 013</w:t>
            </w:r>
          </w:p>
        </w:tc>
        <w:tc>
          <w:tcPr>
            <w:tcW w:w="1020" w:type="dxa"/>
          </w:tcPr>
          <w:p w:rsidR="00557A6F" w:rsidRDefault="00557A6F" w:rsidP="00557A6F">
            <w:pPr>
              <w:jc w:val="right"/>
            </w:pPr>
            <w:r>
              <w:t>2 325</w:t>
            </w:r>
          </w:p>
        </w:tc>
        <w:tc>
          <w:tcPr>
            <w:tcW w:w="1020" w:type="dxa"/>
          </w:tcPr>
          <w:p w:rsidR="00557A6F" w:rsidRDefault="00557A6F" w:rsidP="00557A6F">
            <w:pPr>
              <w:jc w:val="right"/>
            </w:pPr>
            <w:r>
              <w:t>2 564</w:t>
            </w:r>
          </w:p>
        </w:tc>
        <w:tc>
          <w:tcPr>
            <w:tcW w:w="1020" w:type="dxa"/>
          </w:tcPr>
          <w:p w:rsidR="00557A6F" w:rsidRDefault="00557A6F" w:rsidP="00557A6F">
            <w:pPr>
              <w:jc w:val="right"/>
            </w:pPr>
            <w:r>
              <w:t>10,3</w:t>
            </w:r>
          </w:p>
        </w:tc>
      </w:tr>
      <w:tr w:rsidR="00557A6F" w:rsidTr="00557A6F">
        <w:trPr>
          <w:trHeight w:val="380"/>
        </w:trPr>
        <w:tc>
          <w:tcPr>
            <w:tcW w:w="1020" w:type="dxa"/>
          </w:tcPr>
          <w:p w:rsidR="00557A6F" w:rsidRDefault="00557A6F" w:rsidP="00557A6F"/>
        </w:tc>
        <w:tc>
          <w:tcPr>
            <w:tcW w:w="4080" w:type="dxa"/>
          </w:tcPr>
          <w:p w:rsidR="00557A6F" w:rsidRDefault="00557A6F" w:rsidP="00557A6F">
            <w:r>
              <w:rPr>
                <w:rStyle w:val="kursiv"/>
                <w:sz w:val="21"/>
                <w:szCs w:val="21"/>
              </w:rPr>
              <w:t>Sum kategori 13.45</w:t>
            </w:r>
          </w:p>
        </w:tc>
        <w:tc>
          <w:tcPr>
            <w:tcW w:w="1020" w:type="dxa"/>
          </w:tcPr>
          <w:p w:rsidR="00557A6F" w:rsidRDefault="00557A6F" w:rsidP="00557A6F">
            <w:pPr>
              <w:jc w:val="right"/>
            </w:pPr>
            <w:r>
              <w:rPr>
                <w:rStyle w:val="kursiv"/>
                <w:sz w:val="21"/>
                <w:szCs w:val="21"/>
              </w:rPr>
              <w:t>54 559</w:t>
            </w:r>
          </w:p>
        </w:tc>
        <w:tc>
          <w:tcPr>
            <w:tcW w:w="1020" w:type="dxa"/>
          </w:tcPr>
          <w:p w:rsidR="00557A6F" w:rsidRDefault="00557A6F" w:rsidP="00557A6F">
            <w:pPr>
              <w:jc w:val="right"/>
            </w:pPr>
            <w:r>
              <w:rPr>
                <w:rStyle w:val="kursiv"/>
                <w:sz w:val="21"/>
                <w:szCs w:val="21"/>
              </w:rPr>
              <w:t>59 997</w:t>
            </w:r>
          </w:p>
        </w:tc>
        <w:tc>
          <w:tcPr>
            <w:tcW w:w="1020" w:type="dxa"/>
          </w:tcPr>
          <w:p w:rsidR="00557A6F" w:rsidRDefault="00557A6F" w:rsidP="00557A6F">
            <w:pPr>
              <w:jc w:val="right"/>
            </w:pPr>
            <w:r>
              <w:rPr>
                <w:rStyle w:val="kursiv"/>
                <w:sz w:val="21"/>
                <w:szCs w:val="21"/>
              </w:rPr>
              <w:t>69 042</w:t>
            </w:r>
          </w:p>
        </w:tc>
        <w:tc>
          <w:tcPr>
            <w:tcW w:w="1020" w:type="dxa"/>
          </w:tcPr>
          <w:p w:rsidR="00557A6F" w:rsidRDefault="00557A6F" w:rsidP="00557A6F">
            <w:pPr>
              <w:jc w:val="right"/>
            </w:pPr>
            <w:r>
              <w:rPr>
                <w:rStyle w:val="kursiv"/>
                <w:sz w:val="21"/>
                <w:szCs w:val="21"/>
              </w:rPr>
              <w:t>15,1</w:t>
            </w:r>
          </w:p>
        </w:tc>
      </w:tr>
      <w:tr w:rsidR="00557A6F" w:rsidTr="00557A6F">
        <w:trPr>
          <w:trHeight w:val="380"/>
        </w:trPr>
        <w:tc>
          <w:tcPr>
            <w:tcW w:w="1020" w:type="dxa"/>
          </w:tcPr>
          <w:p w:rsidR="00557A6F" w:rsidRDefault="00557A6F" w:rsidP="00557A6F"/>
        </w:tc>
        <w:tc>
          <w:tcPr>
            <w:tcW w:w="4080" w:type="dxa"/>
          </w:tcPr>
          <w:p w:rsidR="00557A6F" w:rsidRDefault="00557A6F" w:rsidP="00557A6F">
            <w:r>
              <w:rPr>
                <w:rStyle w:val="halvfet0"/>
                <w:sz w:val="21"/>
                <w:szCs w:val="21"/>
              </w:rPr>
              <w:t>Distrikts- og regionalpolitikk</w:t>
            </w: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p>
        </w:tc>
      </w:tr>
      <w:tr w:rsidR="00557A6F" w:rsidTr="00557A6F">
        <w:trPr>
          <w:trHeight w:val="640"/>
        </w:trPr>
        <w:tc>
          <w:tcPr>
            <w:tcW w:w="1020" w:type="dxa"/>
          </w:tcPr>
          <w:p w:rsidR="00557A6F" w:rsidRDefault="00557A6F" w:rsidP="00557A6F">
            <w:r>
              <w:t>550</w:t>
            </w:r>
          </w:p>
        </w:tc>
        <w:tc>
          <w:tcPr>
            <w:tcW w:w="4080" w:type="dxa"/>
          </w:tcPr>
          <w:p w:rsidR="00557A6F" w:rsidRDefault="00557A6F" w:rsidP="00557A6F">
            <w:r>
              <w:t>Omstillingsdyktig næringsliv og lokalsa</w:t>
            </w:r>
            <w:r>
              <w:t>m</w:t>
            </w:r>
            <w:r>
              <w:t>funn i distriktene</w:t>
            </w:r>
          </w:p>
        </w:tc>
        <w:tc>
          <w:tcPr>
            <w:tcW w:w="1020" w:type="dxa"/>
          </w:tcPr>
          <w:p w:rsidR="00557A6F" w:rsidRDefault="00557A6F" w:rsidP="00557A6F">
            <w:pPr>
              <w:jc w:val="right"/>
            </w:pPr>
            <w:r>
              <w:t>801 218</w:t>
            </w:r>
          </w:p>
        </w:tc>
        <w:tc>
          <w:tcPr>
            <w:tcW w:w="1020" w:type="dxa"/>
          </w:tcPr>
          <w:p w:rsidR="00557A6F" w:rsidRDefault="00557A6F" w:rsidP="00557A6F">
            <w:pPr>
              <w:jc w:val="right"/>
            </w:pPr>
            <w:r>
              <w:t>681 814</w:t>
            </w:r>
          </w:p>
        </w:tc>
        <w:tc>
          <w:tcPr>
            <w:tcW w:w="1020" w:type="dxa"/>
          </w:tcPr>
          <w:p w:rsidR="00557A6F" w:rsidRDefault="00557A6F" w:rsidP="00557A6F">
            <w:pPr>
              <w:jc w:val="right"/>
            </w:pPr>
          </w:p>
        </w:tc>
        <w:tc>
          <w:tcPr>
            <w:tcW w:w="1020" w:type="dxa"/>
          </w:tcPr>
          <w:p w:rsidR="00557A6F" w:rsidRDefault="00557A6F" w:rsidP="00557A6F">
            <w:pPr>
              <w:jc w:val="right"/>
            </w:pPr>
            <w:r>
              <w:t>-100,0</w:t>
            </w:r>
          </w:p>
        </w:tc>
      </w:tr>
      <w:tr w:rsidR="00557A6F" w:rsidTr="00557A6F">
        <w:trPr>
          <w:trHeight w:val="640"/>
        </w:trPr>
        <w:tc>
          <w:tcPr>
            <w:tcW w:w="1020" w:type="dxa"/>
          </w:tcPr>
          <w:p w:rsidR="00557A6F" w:rsidRDefault="00557A6F" w:rsidP="00557A6F">
            <w:r>
              <w:t>552</w:t>
            </w:r>
          </w:p>
        </w:tc>
        <w:tc>
          <w:tcPr>
            <w:tcW w:w="4080" w:type="dxa"/>
          </w:tcPr>
          <w:p w:rsidR="00557A6F" w:rsidRDefault="00557A6F" w:rsidP="00557A6F">
            <w:r>
              <w:t>Nasjonalt samarbeid for regional utvikling</w:t>
            </w:r>
          </w:p>
        </w:tc>
        <w:tc>
          <w:tcPr>
            <w:tcW w:w="1020" w:type="dxa"/>
          </w:tcPr>
          <w:p w:rsidR="00557A6F" w:rsidRDefault="00557A6F" w:rsidP="00557A6F">
            <w:pPr>
              <w:jc w:val="right"/>
            </w:pPr>
            <w:r>
              <w:t>475</w:t>
            </w: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p>
        </w:tc>
      </w:tr>
      <w:tr w:rsidR="00557A6F" w:rsidTr="00557A6F">
        <w:trPr>
          <w:trHeight w:val="380"/>
        </w:trPr>
        <w:tc>
          <w:tcPr>
            <w:tcW w:w="1020" w:type="dxa"/>
          </w:tcPr>
          <w:p w:rsidR="00557A6F" w:rsidRDefault="00557A6F" w:rsidP="00557A6F">
            <w:r>
              <w:t>553</w:t>
            </w:r>
          </w:p>
        </w:tc>
        <w:tc>
          <w:tcPr>
            <w:tcW w:w="4080" w:type="dxa"/>
          </w:tcPr>
          <w:p w:rsidR="00557A6F" w:rsidRDefault="00557A6F" w:rsidP="00557A6F">
            <w:r>
              <w:t>Regional- og distriktsutvikling</w:t>
            </w:r>
          </w:p>
        </w:tc>
        <w:tc>
          <w:tcPr>
            <w:tcW w:w="1020" w:type="dxa"/>
          </w:tcPr>
          <w:p w:rsidR="00557A6F" w:rsidRDefault="00557A6F" w:rsidP="00557A6F">
            <w:pPr>
              <w:jc w:val="right"/>
            </w:pPr>
            <w:r>
              <w:t>608 891</w:t>
            </w:r>
          </w:p>
        </w:tc>
        <w:tc>
          <w:tcPr>
            <w:tcW w:w="1020" w:type="dxa"/>
          </w:tcPr>
          <w:p w:rsidR="00557A6F" w:rsidRDefault="00557A6F" w:rsidP="00557A6F">
            <w:pPr>
              <w:jc w:val="right"/>
            </w:pPr>
            <w:r>
              <w:t>491 551</w:t>
            </w:r>
          </w:p>
        </w:tc>
        <w:tc>
          <w:tcPr>
            <w:tcW w:w="1020" w:type="dxa"/>
          </w:tcPr>
          <w:p w:rsidR="00557A6F" w:rsidRDefault="00557A6F" w:rsidP="00557A6F">
            <w:pPr>
              <w:jc w:val="right"/>
            </w:pPr>
            <w:r>
              <w:t>1 193 946</w:t>
            </w:r>
          </w:p>
        </w:tc>
        <w:tc>
          <w:tcPr>
            <w:tcW w:w="1020" w:type="dxa"/>
          </w:tcPr>
          <w:p w:rsidR="00557A6F" w:rsidRDefault="00557A6F" w:rsidP="00557A6F">
            <w:pPr>
              <w:jc w:val="right"/>
            </w:pPr>
            <w:r>
              <w:t>142,9</w:t>
            </w:r>
          </w:p>
        </w:tc>
      </w:tr>
      <w:tr w:rsidR="00557A6F" w:rsidTr="00557A6F">
        <w:trPr>
          <w:trHeight w:val="640"/>
        </w:trPr>
        <w:tc>
          <w:tcPr>
            <w:tcW w:w="1020" w:type="dxa"/>
          </w:tcPr>
          <w:p w:rsidR="00557A6F" w:rsidRDefault="00557A6F" w:rsidP="00557A6F">
            <w:r>
              <w:lastRenderedPageBreak/>
              <w:t>554</w:t>
            </w:r>
          </w:p>
        </w:tc>
        <w:tc>
          <w:tcPr>
            <w:tcW w:w="4080" w:type="dxa"/>
          </w:tcPr>
          <w:p w:rsidR="00557A6F" w:rsidRDefault="00557A6F" w:rsidP="00557A6F">
            <w:r>
              <w:t>Kompetansesenter for distriktsu</w:t>
            </w:r>
            <w:r>
              <w:t>t</w:t>
            </w:r>
            <w:r>
              <w:t>vikling</w:t>
            </w:r>
          </w:p>
        </w:tc>
        <w:tc>
          <w:tcPr>
            <w:tcW w:w="1020" w:type="dxa"/>
          </w:tcPr>
          <w:p w:rsidR="00557A6F" w:rsidRDefault="00557A6F" w:rsidP="00557A6F">
            <w:pPr>
              <w:jc w:val="right"/>
            </w:pPr>
            <w:r>
              <w:t>28 140</w:t>
            </w:r>
          </w:p>
        </w:tc>
        <w:tc>
          <w:tcPr>
            <w:tcW w:w="1020" w:type="dxa"/>
          </w:tcPr>
          <w:p w:rsidR="00557A6F" w:rsidRDefault="00557A6F" w:rsidP="00557A6F">
            <w:pPr>
              <w:jc w:val="right"/>
            </w:pPr>
            <w:r>
              <w:t>32 753</w:t>
            </w:r>
          </w:p>
        </w:tc>
        <w:tc>
          <w:tcPr>
            <w:tcW w:w="1020" w:type="dxa"/>
          </w:tcPr>
          <w:p w:rsidR="00557A6F" w:rsidRDefault="00557A6F" w:rsidP="00557A6F">
            <w:pPr>
              <w:jc w:val="right"/>
            </w:pPr>
            <w:r>
              <w:t>92 752</w:t>
            </w:r>
          </w:p>
        </w:tc>
        <w:tc>
          <w:tcPr>
            <w:tcW w:w="1020" w:type="dxa"/>
          </w:tcPr>
          <w:p w:rsidR="00557A6F" w:rsidRDefault="00557A6F" w:rsidP="00557A6F">
            <w:pPr>
              <w:jc w:val="right"/>
            </w:pPr>
            <w:r>
              <w:t>183,2</w:t>
            </w:r>
          </w:p>
        </w:tc>
      </w:tr>
      <w:tr w:rsidR="00557A6F" w:rsidTr="00557A6F">
        <w:trPr>
          <w:trHeight w:val="380"/>
        </w:trPr>
        <w:tc>
          <w:tcPr>
            <w:tcW w:w="1020" w:type="dxa"/>
          </w:tcPr>
          <w:p w:rsidR="00557A6F" w:rsidRDefault="00557A6F" w:rsidP="00557A6F"/>
        </w:tc>
        <w:tc>
          <w:tcPr>
            <w:tcW w:w="4080" w:type="dxa"/>
          </w:tcPr>
          <w:p w:rsidR="00557A6F" w:rsidRDefault="00557A6F" w:rsidP="00557A6F">
            <w:r>
              <w:rPr>
                <w:rStyle w:val="kursiv"/>
                <w:sz w:val="21"/>
                <w:szCs w:val="21"/>
              </w:rPr>
              <w:t>Sum kategori 13.50</w:t>
            </w:r>
          </w:p>
        </w:tc>
        <w:tc>
          <w:tcPr>
            <w:tcW w:w="1020" w:type="dxa"/>
          </w:tcPr>
          <w:p w:rsidR="00557A6F" w:rsidRDefault="00557A6F" w:rsidP="00557A6F">
            <w:pPr>
              <w:jc w:val="right"/>
            </w:pPr>
            <w:r>
              <w:rPr>
                <w:rStyle w:val="kursiv"/>
                <w:sz w:val="21"/>
                <w:szCs w:val="21"/>
              </w:rPr>
              <w:t>1 438 724</w:t>
            </w:r>
          </w:p>
        </w:tc>
        <w:tc>
          <w:tcPr>
            <w:tcW w:w="1020" w:type="dxa"/>
          </w:tcPr>
          <w:p w:rsidR="00557A6F" w:rsidRDefault="00557A6F" w:rsidP="00557A6F">
            <w:pPr>
              <w:jc w:val="right"/>
            </w:pPr>
            <w:r>
              <w:rPr>
                <w:rStyle w:val="kursiv"/>
                <w:sz w:val="21"/>
                <w:szCs w:val="21"/>
              </w:rPr>
              <w:t>1 206 118</w:t>
            </w:r>
          </w:p>
        </w:tc>
        <w:tc>
          <w:tcPr>
            <w:tcW w:w="1020" w:type="dxa"/>
          </w:tcPr>
          <w:p w:rsidR="00557A6F" w:rsidRDefault="00557A6F" w:rsidP="00557A6F">
            <w:pPr>
              <w:jc w:val="right"/>
            </w:pPr>
            <w:r>
              <w:rPr>
                <w:rStyle w:val="kursiv"/>
                <w:sz w:val="21"/>
                <w:szCs w:val="21"/>
              </w:rPr>
              <w:t>1 286 698</w:t>
            </w:r>
          </w:p>
        </w:tc>
        <w:tc>
          <w:tcPr>
            <w:tcW w:w="1020" w:type="dxa"/>
          </w:tcPr>
          <w:p w:rsidR="00557A6F" w:rsidRDefault="00557A6F" w:rsidP="00557A6F">
            <w:pPr>
              <w:jc w:val="right"/>
            </w:pPr>
            <w:r>
              <w:rPr>
                <w:rStyle w:val="kursiv"/>
                <w:sz w:val="21"/>
                <w:szCs w:val="21"/>
              </w:rPr>
              <w:t>6,7</w:t>
            </w:r>
          </w:p>
        </w:tc>
      </w:tr>
      <w:tr w:rsidR="00557A6F" w:rsidTr="00557A6F">
        <w:trPr>
          <w:trHeight w:val="380"/>
        </w:trPr>
        <w:tc>
          <w:tcPr>
            <w:tcW w:w="1020" w:type="dxa"/>
          </w:tcPr>
          <w:p w:rsidR="00557A6F" w:rsidRDefault="00557A6F" w:rsidP="00557A6F"/>
        </w:tc>
        <w:tc>
          <w:tcPr>
            <w:tcW w:w="4080" w:type="dxa"/>
          </w:tcPr>
          <w:p w:rsidR="00557A6F" w:rsidRDefault="00557A6F" w:rsidP="00557A6F">
            <w:r>
              <w:rPr>
                <w:rStyle w:val="halvfet0"/>
                <w:sz w:val="21"/>
                <w:szCs w:val="21"/>
              </w:rPr>
              <w:t>Samiske formål</w:t>
            </w: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p>
        </w:tc>
      </w:tr>
      <w:tr w:rsidR="00557A6F" w:rsidTr="00557A6F">
        <w:trPr>
          <w:trHeight w:val="380"/>
        </w:trPr>
        <w:tc>
          <w:tcPr>
            <w:tcW w:w="1020" w:type="dxa"/>
          </w:tcPr>
          <w:p w:rsidR="00557A6F" w:rsidRDefault="00557A6F" w:rsidP="00557A6F">
            <w:r>
              <w:t>560</w:t>
            </w:r>
          </w:p>
        </w:tc>
        <w:tc>
          <w:tcPr>
            <w:tcW w:w="4080" w:type="dxa"/>
          </w:tcPr>
          <w:p w:rsidR="00557A6F" w:rsidRDefault="00557A6F" w:rsidP="00557A6F">
            <w:r>
              <w:t>Samiske formål</w:t>
            </w:r>
          </w:p>
        </w:tc>
        <w:tc>
          <w:tcPr>
            <w:tcW w:w="1020" w:type="dxa"/>
          </w:tcPr>
          <w:p w:rsidR="00557A6F" w:rsidRDefault="00557A6F" w:rsidP="00557A6F">
            <w:pPr>
              <w:jc w:val="right"/>
            </w:pPr>
            <w:r>
              <w:t>316 520</w:t>
            </w:r>
          </w:p>
        </w:tc>
        <w:tc>
          <w:tcPr>
            <w:tcW w:w="1020" w:type="dxa"/>
          </w:tcPr>
          <w:p w:rsidR="00557A6F" w:rsidRDefault="00557A6F" w:rsidP="00557A6F">
            <w:pPr>
              <w:jc w:val="right"/>
            </w:pPr>
            <w:r>
              <w:t>509 526</w:t>
            </w:r>
          </w:p>
        </w:tc>
        <w:tc>
          <w:tcPr>
            <w:tcW w:w="1020" w:type="dxa"/>
          </w:tcPr>
          <w:p w:rsidR="00557A6F" w:rsidRDefault="00557A6F" w:rsidP="00557A6F">
            <w:pPr>
              <w:jc w:val="right"/>
            </w:pPr>
            <w:r>
              <w:t>525 652</w:t>
            </w:r>
          </w:p>
        </w:tc>
        <w:tc>
          <w:tcPr>
            <w:tcW w:w="1020" w:type="dxa"/>
          </w:tcPr>
          <w:p w:rsidR="00557A6F" w:rsidRDefault="00557A6F" w:rsidP="00557A6F">
            <w:pPr>
              <w:jc w:val="right"/>
            </w:pPr>
            <w:r>
              <w:t>3,2</w:t>
            </w:r>
          </w:p>
        </w:tc>
      </w:tr>
      <w:tr w:rsidR="00557A6F" w:rsidTr="00557A6F">
        <w:trPr>
          <w:trHeight w:val="380"/>
        </w:trPr>
        <w:tc>
          <w:tcPr>
            <w:tcW w:w="1020" w:type="dxa"/>
          </w:tcPr>
          <w:p w:rsidR="00557A6F" w:rsidRDefault="00557A6F" w:rsidP="00557A6F">
            <w:r>
              <w:t>561</w:t>
            </w:r>
          </w:p>
        </w:tc>
        <w:tc>
          <w:tcPr>
            <w:tcW w:w="4080" w:type="dxa"/>
          </w:tcPr>
          <w:p w:rsidR="00557A6F" w:rsidRDefault="00557A6F" w:rsidP="00557A6F">
            <w:r>
              <w:t>Tilskudd til samiske formål</w:t>
            </w:r>
          </w:p>
        </w:tc>
        <w:tc>
          <w:tcPr>
            <w:tcW w:w="1020" w:type="dxa"/>
          </w:tcPr>
          <w:p w:rsidR="00557A6F" w:rsidRDefault="00557A6F" w:rsidP="00557A6F">
            <w:pPr>
              <w:jc w:val="right"/>
            </w:pPr>
            <w:r>
              <w:t>12 166</w:t>
            </w: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p>
        </w:tc>
      </w:tr>
      <w:tr w:rsidR="00557A6F" w:rsidTr="00557A6F">
        <w:trPr>
          <w:trHeight w:val="380"/>
        </w:trPr>
        <w:tc>
          <w:tcPr>
            <w:tcW w:w="1020" w:type="dxa"/>
          </w:tcPr>
          <w:p w:rsidR="00557A6F" w:rsidRDefault="00557A6F" w:rsidP="00557A6F">
            <w:r>
              <w:t>563</w:t>
            </w:r>
          </w:p>
        </w:tc>
        <w:tc>
          <w:tcPr>
            <w:tcW w:w="4080" w:type="dxa"/>
          </w:tcPr>
          <w:p w:rsidR="00557A6F" w:rsidRDefault="00557A6F" w:rsidP="00557A6F">
            <w:r>
              <w:t>Internasjonalt reindriftssenter</w:t>
            </w:r>
          </w:p>
        </w:tc>
        <w:tc>
          <w:tcPr>
            <w:tcW w:w="1020" w:type="dxa"/>
          </w:tcPr>
          <w:p w:rsidR="00557A6F" w:rsidRDefault="00557A6F" w:rsidP="00557A6F">
            <w:pPr>
              <w:jc w:val="right"/>
            </w:pPr>
            <w:r>
              <w:t>8 281</w:t>
            </w:r>
          </w:p>
        </w:tc>
        <w:tc>
          <w:tcPr>
            <w:tcW w:w="1020" w:type="dxa"/>
          </w:tcPr>
          <w:p w:rsidR="00557A6F" w:rsidRDefault="00557A6F" w:rsidP="00557A6F">
            <w:pPr>
              <w:jc w:val="right"/>
            </w:pPr>
            <w:r>
              <w:t>9 110</w:t>
            </w:r>
          </w:p>
        </w:tc>
        <w:tc>
          <w:tcPr>
            <w:tcW w:w="1020" w:type="dxa"/>
          </w:tcPr>
          <w:p w:rsidR="00557A6F" w:rsidRDefault="00557A6F" w:rsidP="00557A6F">
            <w:pPr>
              <w:jc w:val="right"/>
            </w:pPr>
            <w:r>
              <w:t>9 297</w:t>
            </w:r>
          </w:p>
        </w:tc>
        <w:tc>
          <w:tcPr>
            <w:tcW w:w="1020" w:type="dxa"/>
          </w:tcPr>
          <w:p w:rsidR="00557A6F" w:rsidRDefault="00557A6F" w:rsidP="00557A6F">
            <w:pPr>
              <w:jc w:val="right"/>
            </w:pPr>
            <w:r>
              <w:t>2,1</w:t>
            </w:r>
          </w:p>
        </w:tc>
      </w:tr>
      <w:tr w:rsidR="00557A6F" w:rsidTr="00557A6F">
        <w:trPr>
          <w:trHeight w:val="380"/>
        </w:trPr>
        <w:tc>
          <w:tcPr>
            <w:tcW w:w="1020" w:type="dxa"/>
          </w:tcPr>
          <w:p w:rsidR="00557A6F" w:rsidRDefault="00557A6F" w:rsidP="00557A6F"/>
        </w:tc>
        <w:tc>
          <w:tcPr>
            <w:tcW w:w="4080" w:type="dxa"/>
          </w:tcPr>
          <w:p w:rsidR="00557A6F" w:rsidRDefault="00557A6F" w:rsidP="00557A6F">
            <w:r>
              <w:rPr>
                <w:rStyle w:val="kursiv"/>
                <w:sz w:val="21"/>
                <w:szCs w:val="21"/>
              </w:rPr>
              <w:t>Sum kategori 13.60</w:t>
            </w:r>
          </w:p>
        </w:tc>
        <w:tc>
          <w:tcPr>
            <w:tcW w:w="1020" w:type="dxa"/>
          </w:tcPr>
          <w:p w:rsidR="00557A6F" w:rsidRDefault="00557A6F" w:rsidP="00557A6F">
            <w:pPr>
              <w:jc w:val="right"/>
            </w:pPr>
            <w:r>
              <w:rPr>
                <w:rStyle w:val="kursiv"/>
                <w:sz w:val="21"/>
                <w:szCs w:val="21"/>
              </w:rPr>
              <w:t>336 967</w:t>
            </w:r>
          </w:p>
        </w:tc>
        <w:tc>
          <w:tcPr>
            <w:tcW w:w="1020" w:type="dxa"/>
          </w:tcPr>
          <w:p w:rsidR="00557A6F" w:rsidRDefault="00557A6F" w:rsidP="00557A6F">
            <w:pPr>
              <w:jc w:val="right"/>
            </w:pPr>
            <w:r>
              <w:rPr>
                <w:rStyle w:val="kursiv"/>
                <w:sz w:val="21"/>
                <w:szCs w:val="21"/>
              </w:rPr>
              <w:t>518 636</w:t>
            </w:r>
          </w:p>
        </w:tc>
        <w:tc>
          <w:tcPr>
            <w:tcW w:w="1020" w:type="dxa"/>
          </w:tcPr>
          <w:p w:rsidR="00557A6F" w:rsidRDefault="00557A6F" w:rsidP="00557A6F">
            <w:pPr>
              <w:jc w:val="right"/>
            </w:pPr>
            <w:r>
              <w:rPr>
                <w:rStyle w:val="kursiv"/>
                <w:sz w:val="21"/>
                <w:szCs w:val="21"/>
              </w:rPr>
              <w:t>534 949</w:t>
            </w:r>
          </w:p>
        </w:tc>
        <w:tc>
          <w:tcPr>
            <w:tcW w:w="1020" w:type="dxa"/>
          </w:tcPr>
          <w:p w:rsidR="00557A6F" w:rsidRDefault="00557A6F" w:rsidP="00557A6F">
            <w:pPr>
              <w:jc w:val="right"/>
            </w:pPr>
            <w:r>
              <w:rPr>
                <w:rStyle w:val="kursiv"/>
                <w:sz w:val="21"/>
                <w:szCs w:val="21"/>
              </w:rPr>
              <w:t>3,1</w:t>
            </w:r>
          </w:p>
        </w:tc>
      </w:tr>
      <w:tr w:rsidR="00557A6F" w:rsidTr="00557A6F">
        <w:trPr>
          <w:trHeight w:val="380"/>
        </w:trPr>
        <w:tc>
          <w:tcPr>
            <w:tcW w:w="1020" w:type="dxa"/>
          </w:tcPr>
          <w:p w:rsidR="00557A6F" w:rsidRDefault="00557A6F" w:rsidP="00557A6F"/>
        </w:tc>
        <w:tc>
          <w:tcPr>
            <w:tcW w:w="4080" w:type="dxa"/>
          </w:tcPr>
          <w:p w:rsidR="00557A6F" w:rsidRDefault="00557A6F" w:rsidP="00557A6F">
            <w:r>
              <w:rPr>
                <w:rStyle w:val="halvfet0"/>
                <w:sz w:val="21"/>
                <w:szCs w:val="21"/>
              </w:rPr>
              <w:t>Nasjonale minoriteter</w:t>
            </w: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p>
        </w:tc>
      </w:tr>
      <w:tr w:rsidR="00557A6F" w:rsidTr="00557A6F">
        <w:trPr>
          <w:trHeight w:val="380"/>
        </w:trPr>
        <w:tc>
          <w:tcPr>
            <w:tcW w:w="1020" w:type="dxa"/>
          </w:tcPr>
          <w:p w:rsidR="00557A6F" w:rsidRDefault="00557A6F" w:rsidP="00557A6F">
            <w:r>
              <w:t>567</w:t>
            </w:r>
          </w:p>
        </w:tc>
        <w:tc>
          <w:tcPr>
            <w:tcW w:w="4080" w:type="dxa"/>
          </w:tcPr>
          <w:p w:rsidR="00557A6F" w:rsidRDefault="00557A6F" w:rsidP="00557A6F">
            <w:r>
              <w:t>Nasjonale minoriteter</w:t>
            </w:r>
          </w:p>
        </w:tc>
        <w:tc>
          <w:tcPr>
            <w:tcW w:w="1020" w:type="dxa"/>
          </w:tcPr>
          <w:p w:rsidR="00557A6F" w:rsidRDefault="00557A6F" w:rsidP="00557A6F">
            <w:pPr>
              <w:jc w:val="right"/>
            </w:pPr>
            <w:r>
              <w:t>36 690</w:t>
            </w:r>
          </w:p>
        </w:tc>
        <w:tc>
          <w:tcPr>
            <w:tcW w:w="1020" w:type="dxa"/>
          </w:tcPr>
          <w:p w:rsidR="00557A6F" w:rsidRDefault="00557A6F" w:rsidP="00557A6F">
            <w:pPr>
              <w:jc w:val="right"/>
            </w:pPr>
            <w:r>
              <w:t>48 516</w:t>
            </w:r>
          </w:p>
        </w:tc>
        <w:tc>
          <w:tcPr>
            <w:tcW w:w="1020" w:type="dxa"/>
          </w:tcPr>
          <w:p w:rsidR="00557A6F" w:rsidRDefault="00557A6F" w:rsidP="00557A6F">
            <w:pPr>
              <w:jc w:val="right"/>
            </w:pPr>
            <w:r>
              <w:t>48 718</w:t>
            </w:r>
          </w:p>
        </w:tc>
        <w:tc>
          <w:tcPr>
            <w:tcW w:w="1020" w:type="dxa"/>
          </w:tcPr>
          <w:p w:rsidR="00557A6F" w:rsidRDefault="00557A6F" w:rsidP="00557A6F">
            <w:pPr>
              <w:jc w:val="right"/>
            </w:pPr>
            <w:r>
              <w:t>0,4</w:t>
            </w:r>
          </w:p>
        </w:tc>
      </w:tr>
      <w:tr w:rsidR="00557A6F" w:rsidTr="00557A6F">
        <w:trPr>
          <w:trHeight w:val="380"/>
        </w:trPr>
        <w:tc>
          <w:tcPr>
            <w:tcW w:w="1020" w:type="dxa"/>
          </w:tcPr>
          <w:p w:rsidR="00557A6F" w:rsidRDefault="00557A6F" w:rsidP="00557A6F"/>
        </w:tc>
        <w:tc>
          <w:tcPr>
            <w:tcW w:w="4080" w:type="dxa"/>
          </w:tcPr>
          <w:p w:rsidR="00557A6F" w:rsidRDefault="00557A6F" w:rsidP="00557A6F">
            <w:r>
              <w:rPr>
                <w:rStyle w:val="kursiv"/>
                <w:sz w:val="21"/>
                <w:szCs w:val="21"/>
              </w:rPr>
              <w:t>Sum kategori 13.67</w:t>
            </w:r>
          </w:p>
        </w:tc>
        <w:tc>
          <w:tcPr>
            <w:tcW w:w="1020" w:type="dxa"/>
          </w:tcPr>
          <w:p w:rsidR="00557A6F" w:rsidRDefault="00557A6F" w:rsidP="00557A6F">
            <w:pPr>
              <w:jc w:val="right"/>
            </w:pPr>
            <w:r>
              <w:rPr>
                <w:rStyle w:val="kursiv"/>
                <w:sz w:val="21"/>
                <w:szCs w:val="21"/>
              </w:rPr>
              <w:t>36 690</w:t>
            </w:r>
          </w:p>
        </w:tc>
        <w:tc>
          <w:tcPr>
            <w:tcW w:w="1020" w:type="dxa"/>
          </w:tcPr>
          <w:p w:rsidR="00557A6F" w:rsidRDefault="00557A6F" w:rsidP="00557A6F">
            <w:pPr>
              <w:jc w:val="right"/>
            </w:pPr>
            <w:r>
              <w:rPr>
                <w:rStyle w:val="kursiv"/>
                <w:sz w:val="21"/>
                <w:szCs w:val="21"/>
              </w:rPr>
              <w:t>48 516</w:t>
            </w:r>
          </w:p>
        </w:tc>
        <w:tc>
          <w:tcPr>
            <w:tcW w:w="1020" w:type="dxa"/>
          </w:tcPr>
          <w:p w:rsidR="00557A6F" w:rsidRDefault="00557A6F" w:rsidP="00557A6F">
            <w:pPr>
              <w:jc w:val="right"/>
            </w:pPr>
            <w:r>
              <w:rPr>
                <w:rStyle w:val="kursiv"/>
                <w:sz w:val="21"/>
                <w:szCs w:val="21"/>
              </w:rPr>
              <w:t>48 718</w:t>
            </w:r>
          </w:p>
        </w:tc>
        <w:tc>
          <w:tcPr>
            <w:tcW w:w="1020" w:type="dxa"/>
          </w:tcPr>
          <w:p w:rsidR="00557A6F" w:rsidRDefault="00557A6F" w:rsidP="00557A6F">
            <w:pPr>
              <w:jc w:val="right"/>
            </w:pPr>
            <w:r>
              <w:rPr>
                <w:rStyle w:val="kursiv"/>
                <w:sz w:val="21"/>
                <w:szCs w:val="21"/>
              </w:rPr>
              <w:t>0,4</w:t>
            </w:r>
          </w:p>
        </w:tc>
      </w:tr>
      <w:tr w:rsidR="00557A6F" w:rsidTr="00557A6F">
        <w:trPr>
          <w:trHeight w:val="380"/>
        </w:trPr>
        <w:tc>
          <w:tcPr>
            <w:tcW w:w="1020" w:type="dxa"/>
          </w:tcPr>
          <w:p w:rsidR="00557A6F" w:rsidRDefault="00557A6F" w:rsidP="00557A6F"/>
        </w:tc>
        <w:tc>
          <w:tcPr>
            <w:tcW w:w="4080" w:type="dxa"/>
          </w:tcPr>
          <w:p w:rsidR="00557A6F" w:rsidRDefault="00557A6F" w:rsidP="00557A6F">
            <w:r>
              <w:rPr>
                <w:rStyle w:val="halvfet0"/>
                <w:sz w:val="21"/>
                <w:szCs w:val="21"/>
              </w:rPr>
              <w:t>Kommunesektoren mv.</w:t>
            </w: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p>
        </w:tc>
      </w:tr>
      <w:tr w:rsidR="00557A6F" w:rsidTr="00557A6F">
        <w:trPr>
          <w:trHeight w:val="380"/>
        </w:trPr>
        <w:tc>
          <w:tcPr>
            <w:tcW w:w="1020" w:type="dxa"/>
          </w:tcPr>
          <w:p w:rsidR="00557A6F" w:rsidRDefault="00557A6F" w:rsidP="00557A6F">
            <w:r>
              <w:t>571</w:t>
            </w:r>
          </w:p>
        </w:tc>
        <w:tc>
          <w:tcPr>
            <w:tcW w:w="4080" w:type="dxa"/>
          </w:tcPr>
          <w:p w:rsidR="00557A6F" w:rsidRDefault="00557A6F" w:rsidP="00557A6F">
            <w:r>
              <w:t>Rammetilskudd til kommuner</w:t>
            </w:r>
          </w:p>
        </w:tc>
        <w:tc>
          <w:tcPr>
            <w:tcW w:w="1020" w:type="dxa"/>
          </w:tcPr>
          <w:p w:rsidR="00557A6F" w:rsidRDefault="00557A6F" w:rsidP="00557A6F">
            <w:pPr>
              <w:jc w:val="right"/>
            </w:pPr>
            <w:r>
              <w:t>131 181 922</w:t>
            </w:r>
          </w:p>
        </w:tc>
        <w:tc>
          <w:tcPr>
            <w:tcW w:w="1020" w:type="dxa"/>
          </w:tcPr>
          <w:p w:rsidR="00557A6F" w:rsidRDefault="00557A6F" w:rsidP="00557A6F">
            <w:pPr>
              <w:jc w:val="right"/>
            </w:pPr>
            <w:r>
              <w:t>136 790 889</w:t>
            </w:r>
          </w:p>
        </w:tc>
        <w:tc>
          <w:tcPr>
            <w:tcW w:w="1020" w:type="dxa"/>
          </w:tcPr>
          <w:p w:rsidR="00557A6F" w:rsidRDefault="00557A6F" w:rsidP="00557A6F">
            <w:pPr>
              <w:jc w:val="right"/>
            </w:pPr>
            <w:r>
              <w:t>142 141 331</w:t>
            </w:r>
          </w:p>
        </w:tc>
        <w:tc>
          <w:tcPr>
            <w:tcW w:w="1020" w:type="dxa"/>
          </w:tcPr>
          <w:p w:rsidR="00557A6F" w:rsidRDefault="00557A6F" w:rsidP="00557A6F">
            <w:pPr>
              <w:jc w:val="right"/>
            </w:pPr>
            <w:r>
              <w:t>3,9</w:t>
            </w:r>
          </w:p>
        </w:tc>
      </w:tr>
      <w:tr w:rsidR="00557A6F" w:rsidTr="00557A6F">
        <w:trPr>
          <w:trHeight w:val="380"/>
        </w:trPr>
        <w:tc>
          <w:tcPr>
            <w:tcW w:w="1020" w:type="dxa"/>
          </w:tcPr>
          <w:p w:rsidR="00557A6F" w:rsidRDefault="00557A6F" w:rsidP="00557A6F">
            <w:r>
              <w:t>572</w:t>
            </w:r>
          </w:p>
        </w:tc>
        <w:tc>
          <w:tcPr>
            <w:tcW w:w="4080" w:type="dxa"/>
          </w:tcPr>
          <w:p w:rsidR="00557A6F" w:rsidRDefault="00557A6F" w:rsidP="00557A6F">
            <w:r>
              <w:t>Rammetilskudd til fylkeskomm</w:t>
            </w:r>
            <w:r>
              <w:t>u</w:t>
            </w:r>
            <w:r>
              <w:t>ner</w:t>
            </w:r>
          </w:p>
        </w:tc>
        <w:tc>
          <w:tcPr>
            <w:tcW w:w="1020" w:type="dxa"/>
          </w:tcPr>
          <w:p w:rsidR="00557A6F" w:rsidRDefault="00557A6F" w:rsidP="00557A6F">
            <w:pPr>
              <w:jc w:val="right"/>
            </w:pPr>
            <w:r>
              <w:t>33 724 368</w:t>
            </w:r>
          </w:p>
        </w:tc>
        <w:tc>
          <w:tcPr>
            <w:tcW w:w="1020" w:type="dxa"/>
          </w:tcPr>
          <w:p w:rsidR="00557A6F" w:rsidRDefault="00557A6F" w:rsidP="00557A6F">
            <w:pPr>
              <w:jc w:val="right"/>
            </w:pPr>
            <w:r>
              <w:t>34 621 331</w:t>
            </w:r>
          </w:p>
        </w:tc>
        <w:tc>
          <w:tcPr>
            <w:tcW w:w="1020" w:type="dxa"/>
          </w:tcPr>
          <w:p w:rsidR="00557A6F" w:rsidRDefault="00557A6F" w:rsidP="00557A6F">
            <w:pPr>
              <w:jc w:val="right"/>
            </w:pPr>
            <w:r>
              <w:t>36 841 410</w:t>
            </w:r>
          </w:p>
        </w:tc>
        <w:tc>
          <w:tcPr>
            <w:tcW w:w="1020" w:type="dxa"/>
          </w:tcPr>
          <w:p w:rsidR="00557A6F" w:rsidRDefault="00557A6F" w:rsidP="00557A6F">
            <w:pPr>
              <w:jc w:val="right"/>
            </w:pPr>
            <w:r>
              <w:t>6,4</w:t>
            </w:r>
          </w:p>
        </w:tc>
      </w:tr>
      <w:tr w:rsidR="00557A6F" w:rsidTr="00557A6F">
        <w:trPr>
          <w:trHeight w:val="380"/>
        </w:trPr>
        <w:tc>
          <w:tcPr>
            <w:tcW w:w="1020" w:type="dxa"/>
          </w:tcPr>
          <w:p w:rsidR="00557A6F" w:rsidRDefault="00557A6F" w:rsidP="00557A6F">
            <w:r>
              <w:t>573</w:t>
            </w:r>
          </w:p>
        </w:tc>
        <w:tc>
          <w:tcPr>
            <w:tcW w:w="4080" w:type="dxa"/>
          </w:tcPr>
          <w:p w:rsidR="00557A6F" w:rsidRDefault="00557A6F" w:rsidP="00557A6F">
            <w:r>
              <w:t>Kommunereform</w:t>
            </w:r>
          </w:p>
        </w:tc>
        <w:tc>
          <w:tcPr>
            <w:tcW w:w="1020" w:type="dxa"/>
          </w:tcPr>
          <w:p w:rsidR="00557A6F" w:rsidRDefault="00557A6F" w:rsidP="00557A6F">
            <w:pPr>
              <w:jc w:val="right"/>
            </w:pPr>
            <w:r>
              <w:t>57 764</w:t>
            </w:r>
          </w:p>
        </w:tc>
        <w:tc>
          <w:tcPr>
            <w:tcW w:w="1020" w:type="dxa"/>
          </w:tcPr>
          <w:p w:rsidR="00557A6F" w:rsidRDefault="00557A6F" w:rsidP="00557A6F">
            <w:pPr>
              <w:jc w:val="right"/>
            </w:pPr>
            <w:r>
              <w:t>50 000</w:t>
            </w:r>
          </w:p>
        </w:tc>
        <w:tc>
          <w:tcPr>
            <w:tcW w:w="1020" w:type="dxa"/>
          </w:tcPr>
          <w:p w:rsidR="00557A6F" w:rsidRDefault="00557A6F" w:rsidP="00557A6F">
            <w:pPr>
              <w:jc w:val="right"/>
            </w:pPr>
            <w:r>
              <w:t>871 786</w:t>
            </w:r>
          </w:p>
        </w:tc>
        <w:tc>
          <w:tcPr>
            <w:tcW w:w="1020" w:type="dxa"/>
          </w:tcPr>
          <w:p w:rsidR="00557A6F" w:rsidRDefault="00557A6F" w:rsidP="00557A6F">
            <w:pPr>
              <w:jc w:val="right"/>
            </w:pPr>
            <w:r>
              <w:t>1 643,6</w:t>
            </w:r>
          </w:p>
        </w:tc>
      </w:tr>
      <w:tr w:rsidR="00557A6F" w:rsidTr="00557A6F">
        <w:trPr>
          <w:trHeight w:val="380"/>
        </w:trPr>
        <w:tc>
          <w:tcPr>
            <w:tcW w:w="1020" w:type="dxa"/>
          </w:tcPr>
          <w:p w:rsidR="00557A6F" w:rsidRDefault="00557A6F" w:rsidP="00557A6F">
            <w:r>
              <w:t>575</w:t>
            </w:r>
          </w:p>
        </w:tc>
        <w:tc>
          <w:tcPr>
            <w:tcW w:w="4080" w:type="dxa"/>
          </w:tcPr>
          <w:p w:rsidR="00557A6F" w:rsidRDefault="00557A6F" w:rsidP="00557A6F">
            <w:r>
              <w:t>Ressurskrevende tjenester</w:t>
            </w:r>
          </w:p>
        </w:tc>
        <w:tc>
          <w:tcPr>
            <w:tcW w:w="1020" w:type="dxa"/>
          </w:tcPr>
          <w:p w:rsidR="00557A6F" w:rsidRDefault="00557A6F" w:rsidP="00557A6F">
            <w:pPr>
              <w:jc w:val="right"/>
            </w:pPr>
            <w:r>
              <w:t>9 325 617</w:t>
            </w:r>
          </w:p>
        </w:tc>
        <w:tc>
          <w:tcPr>
            <w:tcW w:w="1020" w:type="dxa"/>
          </w:tcPr>
          <w:p w:rsidR="00557A6F" w:rsidRDefault="00557A6F" w:rsidP="00557A6F">
            <w:pPr>
              <w:jc w:val="right"/>
            </w:pPr>
            <w:r>
              <w:t>10 222 112</w:t>
            </w:r>
          </w:p>
        </w:tc>
        <w:tc>
          <w:tcPr>
            <w:tcW w:w="1020" w:type="dxa"/>
          </w:tcPr>
          <w:p w:rsidR="00557A6F" w:rsidRDefault="00557A6F" w:rsidP="00557A6F">
            <w:pPr>
              <w:jc w:val="right"/>
            </w:pPr>
            <w:r>
              <w:t>10 767 694</w:t>
            </w:r>
          </w:p>
        </w:tc>
        <w:tc>
          <w:tcPr>
            <w:tcW w:w="1020" w:type="dxa"/>
          </w:tcPr>
          <w:p w:rsidR="00557A6F" w:rsidRDefault="00557A6F" w:rsidP="00557A6F">
            <w:pPr>
              <w:jc w:val="right"/>
            </w:pPr>
            <w:r>
              <w:t>5,3</w:t>
            </w:r>
          </w:p>
        </w:tc>
      </w:tr>
      <w:tr w:rsidR="00557A6F" w:rsidTr="00557A6F">
        <w:trPr>
          <w:trHeight w:val="380"/>
        </w:trPr>
        <w:tc>
          <w:tcPr>
            <w:tcW w:w="1020" w:type="dxa"/>
          </w:tcPr>
          <w:p w:rsidR="00557A6F" w:rsidRDefault="00557A6F" w:rsidP="00557A6F">
            <w:r>
              <w:t>577</w:t>
            </w:r>
          </w:p>
        </w:tc>
        <w:tc>
          <w:tcPr>
            <w:tcW w:w="4080" w:type="dxa"/>
          </w:tcPr>
          <w:p w:rsidR="00557A6F" w:rsidRDefault="00557A6F" w:rsidP="00557A6F">
            <w:r>
              <w:t>Tilskudd til de politiske partier</w:t>
            </w:r>
          </w:p>
        </w:tc>
        <w:tc>
          <w:tcPr>
            <w:tcW w:w="1020" w:type="dxa"/>
          </w:tcPr>
          <w:p w:rsidR="00557A6F" w:rsidRDefault="00557A6F" w:rsidP="00557A6F">
            <w:pPr>
              <w:jc w:val="right"/>
            </w:pPr>
            <w:r>
              <w:t>457 181</w:t>
            </w:r>
          </w:p>
        </w:tc>
        <w:tc>
          <w:tcPr>
            <w:tcW w:w="1020" w:type="dxa"/>
          </w:tcPr>
          <w:p w:rsidR="00557A6F" w:rsidRDefault="00557A6F" w:rsidP="00557A6F">
            <w:pPr>
              <w:jc w:val="right"/>
            </w:pPr>
            <w:r>
              <w:t>470 251</w:t>
            </w:r>
          </w:p>
        </w:tc>
        <w:tc>
          <w:tcPr>
            <w:tcW w:w="1020" w:type="dxa"/>
          </w:tcPr>
          <w:p w:rsidR="00557A6F" w:rsidRDefault="00557A6F" w:rsidP="00557A6F">
            <w:pPr>
              <w:jc w:val="right"/>
            </w:pPr>
            <w:r>
              <w:t>468 074</w:t>
            </w:r>
          </w:p>
        </w:tc>
        <w:tc>
          <w:tcPr>
            <w:tcW w:w="1020" w:type="dxa"/>
          </w:tcPr>
          <w:p w:rsidR="00557A6F" w:rsidRDefault="00557A6F" w:rsidP="00557A6F">
            <w:pPr>
              <w:jc w:val="right"/>
            </w:pPr>
            <w:r>
              <w:t>-0,5</w:t>
            </w:r>
          </w:p>
        </w:tc>
      </w:tr>
      <w:tr w:rsidR="00557A6F" w:rsidTr="00557A6F">
        <w:trPr>
          <w:trHeight w:val="380"/>
        </w:trPr>
        <w:tc>
          <w:tcPr>
            <w:tcW w:w="1020" w:type="dxa"/>
          </w:tcPr>
          <w:p w:rsidR="00557A6F" w:rsidRDefault="00557A6F" w:rsidP="00557A6F">
            <w:r>
              <w:t>578</w:t>
            </w:r>
          </w:p>
        </w:tc>
        <w:tc>
          <w:tcPr>
            <w:tcW w:w="4080" w:type="dxa"/>
          </w:tcPr>
          <w:p w:rsidR="00557A6F" w:rsidRDefault="00557A6F" w:rsidP="00557A6F">
            <w:r>
              <w:t>Valgdirektoratet</w:t>
            </w:r>
          </w:p>
        </w:tc>
        <w:tc>
          <w:tcPr>
            <w:tcW w:w="1020" w:type="dxa"/>
          </w:tcPr>
          <w:p w:rsidR="00557A6F" w:rsidRDefault="00557A6F" w:rsidP="00557A6F">
            <w:pPr>
              <w:jc w:val="right"/>
            </w:pPr>
            <w:r>
              <w:t>46 667</w:t>
            </w:r>
          </w:p>
        </w:tc>
        <w:tc>
          <w:tcPr>
            <w:tcW w:w="1020" w:type="dxa"/>
          </w:tcPr>
          <w:p w:rsidR="00557A6F" w:rsidRDefault="00557A6F" w:rsidP="00557A6F">
            <w:pPr>
              <w:jc w:val="right"/>
            </w:pPr>
            <w:r>
              <w:t>112 945</w:t>
            </w:r>
          </w:p>
        </w:tc>
        <w:tc>
          <w:tcPr>
            <w:tcW w:w="1020" w:type="dxa"/>
          </w:tcPr>
          <w:p w:rsidR="00557A6F" w:rsidRDefault="00557A6F" w:rsidP="00557A6F">
            <w:pPr>
              <w:jc w:val="right"/>
            </w:pPr>
            <w:r>
              <w:t>57 436</w:t>
            </w:r>
          </w:p>
        </w:tc>
        <w:tc>
          <w:tcPr>
            <w:tcW w:w="1020" w:type="dxa"/>
          </w:tcPr>
          <w:p w:rsidR="00557A6F" w:rsidRDefault="00557A6F" w:rsidP="00557A6F">
            <w:pPr>
              <w:jc w:val="right"/>
            </w:pPr>
            <w:r>
              <w:t>-49,1</w:t>
            </w:r>
          </w:p>
        </w:tc>
      </w:tr>
      <w:tr w:rsidR="00557A6F" w:rsidTr="00557A6F">
        <w:trPr>
          <w:trHeight w:val="380"/>
        </w:trPr>
        <w:tc>
          <w:tcPr>
            <w:tcW w:w="1020" w:type="dxa"/>
          </w:tcPr>
          <w:p w:rsidR="00557A6F" w:rsidRDefault="00557A6F" w:rsidP="00557A6F">
            <w:r>
              <w:t>579</w:t>
            </w:r>
          </w:p>
        </w:tc>
        <w:tc>
          <w:tcPr>
            <w:tcW w:w="4080" w:type="dxa"/>
          </w:tcPr>
          <w:p w:rsidR="00557A6F" w:rsidRDefault="00557A6F" w:rsidP="00557A6F">
            <w:r>
              <w:t>Valgutgifter</w:t>
            </w:r>
          </w:p>
        </w:tc>
        <w:tc>
          <w:tcPr>
            <w:tcW w:w="1020" w:type="dxa"/>
          </w:tcPr>
          <w:p w:rsidR="00557A6F" w:rsidRDefault="00557A6F" w:rsidP="00557A6F">
            <w:pPr>
              <w:jc w:val="right"/>
            </w:pPr>
            <w:r>
              <w:t>8 518</w:t>
            </w:r>
          </w:p>
        </w:tc>
        <w:tc>
          <w:tcPr>
            <w:tcW w:w="1020" w:type="dxa"/>
          </w:tcPr>
          <w:p w:rsidR="00557A6F" w:rsidRDefault="00557A6F" w:rsidP="00557A6F">
            <w:pPr>
              <w:jc w:val="right"/>
            </w:pPr>
            <w:r>
              <w:t>11 469</w:t>
            </w:r>
          </w:p>
        </w:tc>
        <w:tc>
          <w:tcPr>
            <w:tcW w:w="1020" w:type="dxa"/>
          </w:tcPr>
          <w:p w:rsidR="00557A6F" w:rsidRDefault="00557A6F" w:rsidP="00557A6F">
            <w:pPr>
              <w:jc w:val="right"/>
            </w:pPr>
            <w:r>
              <w:t>11 662</w:t>
            </w:r>
          </w:p>
        </w:tc>
        <w:tc>
          <w:tcPr>
            <w:tcW w:w="1020" w:type="dxa"/>
          </w:tcPr>
          <w:p w:rsidR="00557A6F" w:rsidRDefault="00557A6F" w:rsidP="00557A6F">
            <w:pPr>
              <w:jc w:val="right"/>
            </w:pPr>
            <w:r>
              <w:t>1,7</w:t>
            </w:r>
          </w:p>
        </w:tc>
      </w:tr>
      <w:tr w:rsidR="00557A6F" w:rsidTr="00557A6F">
        <w:trPr>
          <w:trHeight w:val="380"/>
        </w:trPr>
        <w:tc>
          <w:tcPr>
            <w:tcW w:w="1020" w:type="dxa"/>
          </w:tcPr>
          <w:p w:rsidR="00557A6F" w:rsidRDefault="00557A6F" w:rsidP="00557A6F"/>
        </w:tc>
        <w:tc>
          <w:tcPr>
            <w:tcW w:w="4080" w:type="dxa"/>
          </w:tcPr>
          <w:p w:rsidR="00557A6F" w:rsidRDefault="00557A6F" w:rsidP="00557A6F">
            <w:r>
              <w:rPr>
                <w:rStyle w:val="kursiv"/>
                <w:sz w:val="21"/>
                <w:szCs w:val="21"/>
              </w:rPr>
              <w:t>Sum kategori 13.70</w:t>
            </w:r>
          </w:p>
        </w:tc>
        <w:tc>
          <w:tcPr>
            <w:tcW w:w="1020" w:type="dxa"/>
          </w:tcPr>
          <w:p w:rsidR="00557A6F" w:rsidRDefault="00557A6F" w:rsidP="00557A6F">
            <w:pPr>
              <w:jc w:val="right"/>
            </w:pPr>
            <w:r>
              <w:rPr>
                <w:rStyle w:val="kursiv"/>
                <w:sz w:val="21"/>
                <w:szCs w:val="21"/>
              </w:rPr>
              <w:t>174 802 037</w:t>
            </w:r>
          </w:p>
        </w:tc>
        <w:tc>
          <w:tcPr>
            <w:tcW w:w="1020" w:type="dxa"/>
          </w:tcPr>
          <w:p w:rsidR="00557A6F" w:rsidRDefault="00557A6F" w:rsidP="00557A6F">
            <w:pPr>
              <w:jc w:val="right"/>
            </w:pPr>
            <w:r>
              <w:rPr>
                <w:rStyle w:val="kursiv"/>
                <w:sz w:val="21"/>
                <w:szCs w:val="21"/>
              </w:rPr>
              <w:t>182 278 997</w:t>
            </w:r>
          </w:p>
        </w:tc>
        <w:tc>
          <w:tcPr>
            <w:tcW w:w="1020" w:type="dxa"/>
          </w:tcPr>
          <w:p w:rsidR="00557A6F" w:rsidRDefault="00557A6F" w:rsidP="00557A6F">
            <w:pPr>
              <w:jc w:val="right"/>
            </w:pPr>
            <w:r>
              <w:rPr>
                <w:rStyle w:val="kursiv"/>
                <w:sz w:val="21"/>
                <w:szCs w:val="21"/>
              </w:rPr>
              <w:t>191 159 393</w:t>
            </w:r>
          </w:p>
        </w:tc>
        <w:tc>
          <w:tcPr>
            <w:tcW w:w="1020" w:type="dxa"/>
          </w:tcPr>
          <w:p w:rsidR="00557A6F" w:rsidRDefault="00557A6F" w:rsidP="00557A6F">
            <w:pPr>
              <w:jc w:val="right"/>
            </w:pPr>
            <w:r>
              <w:rPr>
                <w:rStyle w:val="kursiv"/>
                <w:sz w:val="21"/>
                <w:szCs w:val="21"/>
              </w:rPr>
              <w:t>4,9</w:t>
            </w:r>
          </w:p>
        </w:tc>
      </w:tr>
      <w:tr w:rsidR="00557A6F" w:rsidTr="00557A6F">
        <w:trPr>
          <w:trHeight w:val="380"/>
        </w:trPr>
        <w:tc>
          <w:tcPr>
            <w:tcW w:w="1020" w:type="dxa"/>
          </w:tcPr>
          <w:p w:rsidR="00557A6F" w:rsidRDefault="00557A6F" w:rsidP="00557A6F"/>
        </w:tc>
        <w:tc>
          <w:tcPr>
            <w:tcW w:w="4080" w:type="dxa"/>
          </w:tcPr>
          <w:p w:rsidR="00557A6F" w:rsidRDefault="00557A6F" w:rsidP="00557A6F">
            <w:r>
              <w:rPr>
                <w:rStyle w:val="halvfet0"/>
                <w:sz w:val="21"/>
                <w:szCs w:val="21"/>
              </w:rPr>
              <w:t>Bolig, bomiljø og bygg</w:t>
            </w: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p>
        </w:tc>
      </w:tr>
      <w:tr w:rsidR="00557A6F" w:rsidTr="00557A6F">
        <w:trPr>
          <w:trHeight w:val="380"/>
        </w:trPr>
        <w:tc>
          <w:tcPr>
            <w:tcW w:w="1020" w:type="dxa"/>
          </w:tcPr>
          <w:p w:rsidR="00557A6F" w:rsidRDefault="00557A6F" w:rsidP="00557A6F">
            <w:r>
              <w:t>580</w:t>
            </w:r>
          </w:p>
        </w:tc>
        <w:tc>
          <w:tcPr>
            <w:tcW w:w="4080" w:type="dxa"/>
          </w:tcPr>
          <w:p w:rsidR="00557A6F" w:rsidRDefault="00557A6F" w:rsidP="00557A6F">
            <w:r>
              <w:t>Bostøtte</w:t>
            </w:r>
          </w:p>
        </w:tc>
        <w:tc>
          <w:tcPr>
            <w:tcW w:w="1020" w:type="dxa"/>
          </w:tcPr>
          <w:p w:rsidR="00557A6F" w:rsidRDefault="00557A6F" w:rsidP="00557A6F">
            <w:pPr>
              <w:jc w:val="right"/>
            </w:pPr>
            <w:r>
              <w:t>2 697 056</w:t>
            </w: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p>
        </w:tc>
      </w:tr>
      <w:tr w:rsidR="00557A6F" w:rsidTr="00557A6F">
        <w:trPr>
          <w:trHeight w:val="380"/>
        </w:trPr>
        <w:tc>
          <w:tcPr>
            <w:tcW w:w="1020" w:type="dxa"/>
          </w:tcPr>
          <w:p w:rsidR="00557A6F" w:rsidRDefault="00557A6F" w:rsidP="00557A6F">
            <w:r>
              <w:t>581</w:t>
            </w:r>
          </w:p>
        </w:tc>
        <w:tc>
          <w:tcPr>
            <w:tcW w:w="4080" w:type="dxa"/>
          </w:tcPr>
          <w:p w:rsidR="00557A6F" w:rsidRDefault="00557A6F" w:rsidP="00557A6F">
            <w:r>
              <w:t>Bolig- og bomiljøtiltak</w:t>
            </w:r>
          </w:p>
        </w:tc>
        <w:tc>
          <w:tcPr>
            <w:tcW w:w="1020" w:type="dxa"/>
          </w:tcPr>
          <w:p w:rsidR="00557A6F" w:rsidRDefault="00557A6F" w:rsidP="00557A6F">
            <w:pPr>
              <w:jc w:val="right"/>
            </w:pPr>
            <w:r>
              <w:t>1 284 666</w:t>
            </w:r>
          </w:p>
        </w:tc>
        <w:tc>
          <w:tcPr>
            <w:tcW w:w="1020" w:type="dxa"/>
          </w:tcPr>
          <w:p w:rsidR="00557A6F" w:rsidRDefault="00557A6F" w:rsidP="00557A6F">
            <w:pPr>
              <w:jc w:val="right"/>
            </w:pPr>
            <w:r>
              <w:t>4 076 216</w:t>
            </w:r>
          </w:p>
        </w:tc>
        <w:tc>
          <w:tcPr>
            <w:tcW w:w="1020" w:type="dxa"/>
          </w:tcPr>
          <w:p w:rsidR="00557A6F" w:rsidRDefault="00557A6F" w:rsidP="00557A6F">
            <w:pPr>
              <w:jc w:val="right"/>
            </w:pPr>
            <w:r>
              <w:t>3 388 639</w:t>
            </w:r>
          </w:p>
        </w:tc>
        <w:tc>
          <w:tcPr>
            <w:tcW w:w="1020" w:type="dxa"/>
          </w:tcPr>
          <w:p w:rsidR="00557A6F" w:rsidRDefault="00557A6F" w:rsidP="00557A6F">
            <w:pPr>
              <w:jc w:val="right"/>
            </w:pPr>
            <w:r>
              <w:t>-16,9</w:t>
            </w:r>
          </w:p>
        </w:tc>
      </w:tr>
      <w:tr w:rsidR="00557A6F" w:rsidTr="00557A6F">
        <w:trPr>
          <w:trHeight w:val="380"/>
        </w:trPr>
        <w:tc>
          <w:tcPr>
            <w:tcW w:w="1020" w:type="dxa"/>
          </w:tcPr>
          <w:p w:rsidR="00557A6F" w:rsidRDefault="00557A6F" w:rsidP="00557A6F">
            <w:r>
              <w:t>585</w:t>
            </w:r>
          </w:p>
        </w:tc>
        <w:tc>
          <w:tcPr>
            <w:tcW w:w="4080" w:type="dxa"/>
          </w:tcPr>
          <w:p w:rsidR="00557A6F" w:rsidRDefault="00557A6F" w:rsidP="00557A6F">
            <w:r>
              <w:t>Husleietvistutvalget</w:t>
            </w:r>
          </w:p>
        </w:tc>
        <w:tc>
          <w:tcPr>
            <w:tcW w:w="1020" w:type="dxa"/>
          </w:tcPr>
          <w:p w:rsidR="00557A6F" w:rsidRDefault="00557A6F" w:rsidP="00557A6F">
            <w:pPr>
              <w:jc w:val="right"/>
            </w:pPr>
            <w:r>
              <w:t>30 337</w:t>
            </w:r>
          </w:p>
        </w:tc>
        <w:tc>
          <w:tcPr>
            <w:tcW w:w="1020" w:type="dxa"/>
          </w:tcPr>
          <w:p w:rsidR="00557A6F" w:rsidRDefault="00557A6F" w:rsidP="00557A6F">
            <w:pPr>
              <w:jc w:val="right"/>
            </w:pPr>
            <w:r>
              <w:t>29 874</w:t>
            </w:r>
          </w:p>
        </w:tc>
        <w:tc>
          <w:tcPr>
            <w:tcW w:w="1020" w:type="dxa"/>
          </w:tcPr>
          <w:p w:rsidR="00557A6F" w:rsidRDefault="00557A6F" w:rsidP="00557A6F">
            <w:pPr>
              <w:jc w:val="right"/>
            </w:pPr>
            <w:r>
              <w:t>30 821</w:t>
            </w:r>
          </w:p>
        </w:tc>
        <w:tc>
          <w:tcPr>
            <w:tcW w:w="1020" w:type="dxa"/>
          </w:tcPr>
          <w:p w:rsidR="00557A6F" w:rsidRDefault="00557A6F" w:rsidP="00557A6F">
            <w:pPr>
              <w:jc w:val="right"/>
            </w:pPr>
            <w:r>
              <w:t>3,2</w:t>
            </w:r>
          </w:p>
        </w:tc>
      </w:tr>
      <w:tr w:rsidR="00557A6F" w:rsidTr="00557A6F">
        <w:trPr>
          <w:trHeight w:val="380"/>
        </w:trPr>
        <w:tc>
          <w:tcPr>
            <w:tcW w:w="1020" w:type="dxa"/>
          </w:tcPr>
          <w:p w:rsidR="00557A6F" w:rsidRDefault="00557A6F" w:rsidP="00557A6F">
            <w:r>
              <w:t>587</w:t>
            </w:r>
          </w:p>
        </w:tc>
        <w:tc>
          <w:tcPr>
            <w:tcW w:w="4080" w:type="dxa"/>
          </w:tcPr>
          <w:p w:rsidR="00557A6F" w:rsidRDefault="00557A6F" w:rsidP="00557A6F">
            <w:r>
              <w:t>Direktoratet for byggkvalitet</w:t>
            </w:r>
          </w:p>
        </w:tc>
        <w:tc>
          <w:tcPr>
            <w:tcW w:w="1020" w:type="dxa"/>
          </w:tcPr>
          <w:p w:rsidR="00557A6F" w:rsidRDefault="00557A6F" w:rsidP="00557A6F">
            <w:pPr>
              <w:jc w:val="right"/>
            </w:pPr>
            <w:r>
              <w:t>148 564</w:t>
            </w:r>
          </w:p>
        </w:tc>
        <w:tc>
          <w:tcPr>
            <w:tcW w:w="1020" w:type="dxa"/>
          </w:tcPr>
          <w:p w:rsidR="00557A6F" w:rsidRDefault="00557A6F" w:rsidP="00557A6F">
            <w:pPr>
              <w:jc w:val="right"/>
            </w:pPr>
            <w:r>
              <w:t>155 724</w:t>
            </w:r>
          </w:p>
        </w:tc>
        <w:tc>
          <w:tcPr>
            <w:tcW w:w="1020" w:type="dxa"/>
          </w:tcPr>
          <w:p w:rsidR="00557A6F" w:rsidRDefault="00557A6F" w:rsidP="00557A6F">
            <w:pPr>
              <w:jc w:val="right"/>
            </w:pPr>
            <w:r>
              <w:t>156 107</w:t>
            </w:r>
          </w:p>
        </w:tc>
        <w:tc>
          <w:tcPr>
            <w:tcW w:w="1020" w:type="dxa"/>
          </w:tcPr>
          <w:p w:rsidR="00557A6F" w:rsidRDefault="00557A6F" w:rsidP="00557A6F">
            <w:pPr>
              <w:jc w:val="right"/>
            </w:pPr>
            <w:r>
              <w:t>0,2</w:t>
            </w:r>
          </w:p>
        </w:tc>
      </w:tr>
      <w:tr w:rsidR="00557A6F" w:rsidTr="00557A6F">
        <w:trPr>
          <w:trHeight w:val="380"/>
        </w:trPr>
        <w:tc>
          <w:tcPr>
            <w:tcW w:w="1020" w:type="dxa"/>
          </w:tcPr>
          <w:p w:rsidR="00557A6F" w:rsidRDefault="00557A6F" w:rsidP="00557A6F">
            <w:r>
              <w:t>2412</w:t>
            </w:r>
          </w:p>
        </w:tc>
        <w:tc>
          <w:tcPr>
            <w:tcW w:w="4080" w:type="dxa"/>
          </w:tcPr>
          <w:p w:rsidR="00557A6F" w:rsidRDefault="00557A6F" w:rsidP="00557A6F">
            <w:r>
              <w:t>Husbanken</w:t>
            </w:r>
          </w:p>
        </w:tc>
        <w:tc>
          <w:tcPr>
            <w:tcW w:w="1020" w:type="dxa"/>
          </w:tcPr>
          <w:p w:rsidR="00557A6F" w:rsidRDefault="00557A6F" w:rsidP="00557A6F">
            <w:pPr>
              <w:jc w:val="right"/>
            </w:pPr>
            <w:r>
              <w:t>16 092 494</w:t>
            </w:r>
          </w:p>
        </w:tc>
        <w:tc>
          <w:tcPr>
            <w:tcW w:w="1020" w:type="dxa"/>
          </w:tcPr>
          <w:p w:rsidR="00557A6F" w:rsidRDefault="00557A6F" w:rsidP="00557A6F">
            <w:pPr>
              <w:jc w:val="right"/>
            </w:pPr>
            <w:r>
              <w:t>14 750 086</w:t>
            </w:r>
          </w:p>
        </w:tc>
        <w:tc>
          <w:tcPr>
            <w:tcW w:w="1020" w:type="dxa"/>
          </w:tcPr>
          <w:p w:rsidR="00557A6F" w:rsidRDefault="00557A6F" w:rsidP="00557A6F">
            <w:pPr>
              <w:jc w:val="right"/>
            </w:pPr>
            <w:r>
              <w:t>15 272 694</w:t>
            </w:r>
          </w:p>
        </w:tc>
        <w:tc>
          <w:tcPr>
            <w:tcW w:w="1020" w:type="dxa"/>
          </w:tcPr>
          <w:p w:rsidR="00557A6F" w:rsidRDefault="00557A6F" w:rsidP="00557A6F">
            <w:pPr>
              <w:jc w:val="right"/>
            </w:pPr>
            <w:r>
              <w:t>3,5</w:t>
            </w:r>
          </w:p>
        </w:tc>
      </w:tr>
      <w:tr w:rsidR="00557A6F" w:rsidTr="00557A6F">
        <w:trPr>
          <w:trHeight w:val="380"/>
        </w:trPr>
        <w:tc>
          <w:tcPr>
            <w:tcW w:w="1020" w:type="dxa"/>
          </w:tcPr>
          <w:p w:rsidR="00557A6F" w:rsidRDefault="00557A6F" w:rsidP="00557A6F"/>
        </w:tc>
        <w:tc>
          <w:tcPr>
            <w:tcW w:w="4080" w:type="dxa"/>
          </w:tcPr>
          <w:p w:rsidR="00557A6F" w:rsidRDefault="00557A6F" w:rsidP="00557A6F">
            <w:r>
              <w:rPr>
                <w:rStyle w:val="kursiv"/>
                <w:sz w:val="21"/>
                <w:szCs w:val="21"/>
              </w:rPr>
              <w:t>Sum kategori 13.80</w:t>
            </w:r>
          </w:p>
        </w:tc>
        <w:tc>
          <w:tcPr>
            <w:tcW w:w="1020" w:type="dxa"/>
          </w:tcPr>
          <w:p w:rsidR="00557A6F" w:rsidRDefault="00557A6F" w:rsidP="00557A6F">
            <w:pPr>
              <w:jc w:val="right"/>
            </w:pPr>
            <w:r>
              <w:rPr>
                <w:rStyle w:val="kursiv"/>
                <w:sz w:val="21"/>
                <w:szCs w:val="21"/>
              </w:rPr>
              <w:t>20 253 117</w:t>
            </w:r>
          </w:p>
        </w:tc>
        <w:tc>
          <w:tcPr>
            <w:tcW w:w="1020" w:type="dxa"/>
          </w:tcPr>
          <w:p w:rsidR="00557A6F" w:rsidRDefault="00557A6F" w:rsidP="00557A6F">
            <w:pPr>
              <w:jc w:val="right"/>
            </w:pPr>
            <w:r>
              <w:rPr>
                <w:rStyle w:val="kursiv"/>
                <w:sz w:val="21"/>
                <w:szCs w:val="21"/>
              </w:rPr>
              <w:t>19 011 900</w:t>
            </w:r>
          </w:p>
        </w:tc>
        <w:tc>
          <w:tcPr>
            <w:tcW w:w="1020" w:type="dxa"/>
          </w:tcPr>
          <w:p w:rsidR="00557A6F" w:rsidRDefault="00557A6F" w:rsidP="00557A6F">
            <w:pPr>
              <w:jc w:val="right"/>
            </w:pPr>
            <w:r>
              <w:rPr>
                <w:rStyle w:val="kursiv"/>
                <w:sz w:val="21"/>
                <w:szCs w:val="21"/>
              </w:rPr>
              <w:t>18 848 261</w:t>
            </w:r>
          </w:p>
        </w:tc>
        <w:tc>
          <w:tcPr>
            <w:tcW w:w="1020" w:type="dxa"/>
          </w:tcPr>
          <w:p w:rsidR="00557A6F" w:rsidRDefault="00557A6F" w:rsidP="00557A6F">
            <w:pPr>
              <w:jc w:val="right"/>
            </w:pPr>
            <w:r>
              <w:rPr>
                <w:rStyle w:val="kursiv"/>
                <w:sz w:val="21"/>
                <w:szCs w:val="21"/>
              </w:rPr>
              <w:t>-0,9</w:t>
            </w:r>
          </w:p>
        </w:tc>
      </w:tr>
      <w:tr w:rsidR="00557A6F" w:rsidTr="00557A6F">
        <w:trPr>
          <w:trHeight w:val="640"/>
        </w:trPr>
        <w:tc>
          <w:tcPr>
            <w:tcW w:w="1020" w:type="dxa"/>
          </w:tcPr>
          <w:p w:rsidR="00557A6F" w:rsidRDefault="00557A6F" w:rsidP="00557A6F"/>
        </w:tc>
        <w:tc>
          <w:tcPr>
            <w:tcW w:w="4080" w:type="dxa"/>
          </w:tcPr>
          <w:p w:rsidR="00557A6F" w:rsidRDefault="00557A6F" w:rsidP="00557A6F">
            <w:r>
              <w:rPr>
                <w:rStyle w:val="halvfet0"/>
                <w:sz w:val="21"/>
                <w:szCs w:val="21"/>
              </w:rPr>
              <w:t>Planlegging, byutvikling og geodata</w:t>
            </w: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p>
        </w:tc>
      </w:tr>
      <w:tr w:rsidR="00557A6F" w:rsidTr="00557A6F">
        <w:trPr>
          <w:trHeight w:val="380"/>
        </w:trPr>
        <w:tc>
          <w:tcPr>
            <w:tcW w:w="1020" w:type="dxa"/>
          </w:tcPr>
          <w:p w:rsidR="00557A6F" w:rsidRDefault="00557A6F" w:rsidP="00557A6F">
            <w:r>
              <w:t>590</w:t>
            </w:r>
          </w:p>
        </w:tc>
        <w:tc>
          <w:tcPr>
            <w:tcW w:w="4080" w:type="dxa"/>
          </w:tcPr>
          <w:p w:rsidR="00557A6F" w:rsidRDefault="00557A6F" w:rsidP="00557A6F">
            <w:r>
              <w:t>Planlegging og byutvikling</w:t>
            </w:r>
          </w:p>
        </w:tc>
        <w:tc>
          <w:tcPr>
            <w:tcW w:w="1020" w:type="dxa"/>
          </w:tcPr>
          <w:p w:rsidR="00557A6F" w:rsidRDefault="00557A6F" w:rsidP="00557A6F">
            <w:pPr>
              <w:jc w:val="right"/>
            </w:pPr>
            <w:r>
              <w:t>94 390</w:t>
            </w:r>
          </w:p>
        </w:tc>
        <w:tc>
          <w:tcPr>
            <w:tcW w:w="1020" w:type="dxa"/>
          </w:tcPr>
          <w:p w:rsidR="00557A6F" w:rsidRDefault="00557A6F" w:rsidP="00557A6F">
            <w:pPr>
              <w:jc w:val="right"/>
            </w:pPr>
            <w:r>
              <w:t>102 847</w:t>
            </w:r>
          </w:p>
        </w:tc>
        <w:tc>
          <w:tcPr>
            <w:tcW w:w="1020" w:type="dxa"/>
          </w:tcPr>
          <w:p w:rsidR="00557A6F" w:rsidRDefault="00557A6F" w:rsidP="00557A6F">
            <w:pPr>
              <w:jc w:val="right"/>
            </w:pPr>
            <w:r>
              <w:t>111 454</w:t>
            </w:r>
          </w:p>
        </w:tc>
        <w:tc>
          <w:tcPr>
            <w:tcW w:w="1020" w:type="dxa"/>
          </w:tcPr>
          <w:p w:rsidR="00557A6F" w:rsidRDefault="00557A6F" w:rsidP="00557A6F">
            <w:pPr>
              <w:jc w:val="right"/>
            </w:pPr>
            <w:r>
              <w:t>8,4</w:t>
            </w:r>
          </w:p>
        </w:tc>
      </w:tr>
      <w:tr w:rsidR="00557A6F" w:rsidTr="00557A6F">
        <w:trPr>
          <w:trHeight w:val="380"/>
        </w:trPr>
        <w:tc>
          <w:tcPr>
            <w:tcW w:w="1020" w:type="dxa"/>
          </w:tcPr>
          <w:p w:rsidR="00557A6F" w:rsidRDefault="00557A6F" w:rsidP="00557A6F">
            <w:r>
              <w:t>595</w:t>
            </w:r>
          </w:p>
        </w:tc>
        <w:tc>
          <w:tcPr>
            <w:tcW w:w="4080" w:type="dxa"/>
          </w:tcPr>
          <w:p w:rsidR="00557A6F" w:rsidRDefault="00557A6F" w:rsidP="00557A6F">
            <w:r>
              <w:t>Statens kartverk</w:t>
            </w:r>
          </w:p>
        </w:tc>
        <w:tc>
          <w:tcPr>
            <w:tcW w:w="1020" w:type="dxa"/>
          </w:tcPr>
          <w:p w:rsidR="00557A6F" w:rsidRDefault="00557A6F" w:rsidP="00557A6F">
            <w:pPr>
              <w:jc w:val="right"/>
            </w:pPr>
            <w:r>
              <w:t>1 245 171</w:t>
            </w:r>
          </w:p>
        </w:tc>
        <w:tc>
          <w:tcPr>
            <w:tcW w:w="1020" w:type="dxa"/>
          </w:tcPr>
          <w:p w:rsidR="00557A6F" w:rsidRDefault="00557A6F" w:rsidP="00557A6F">
            <w:pPr>
              <w:jc w:val="right"/>
            </w:pPr>
            <w:r>
              <w:t>1 122 541</w:t>
            </w:r>
          </w:p>
        </w:tc>
        <w:tc>
          <w:tcPr>
            <w:tcW w:w="1020" w:type="dxa"/>
          </w:tcPr>
          <w:p w:rsidR="00557A6F" w:rsidRDefault="00557A6F" w:rsidP="00557A6F">
            <w:pPr>
              <w:jc w:val="right"/>
            </w:pPr>
            <w:r>
              <w:t>1 214 843</w:t>
            </w:r>
          </w:p>
        </w:tc>
        <w:tc>
          <w:tcPr>
            <w:tcW w:w="1020" w:type="dxa"/>
          </w:tcPr>
          <w:p w:rsidR="00557A6F" w:rsidRDefault="00557A6F" w:rsidP="00557A6F">
            <w:pPr>
              <w:jc w:val="right"/>
            </w:pPr>
            <w:r>
              <w:t>8,2</w:t>
            </w:r>
          </w:p>
        </w:tc>
      </w:tr>
      <w:tr w:rsidR="00557A6F" w:rsidTr="00557A6F">
        <w:trPr>
          <w:trHeight w:val="380"/>
        </w:trPr>
        <w:tc>
          <w:tcPr>
            <w:tcW w:w="1020" w:type="dxa"/>
          </w:tcPr>
          <w:p w:rsidR="00557A6F" w:rsidRDefault="00557A6F" w:rsidP="00557A6F"/>
        </w:tc>
        <w:tc>
          <w:tcPr>
            <w:tcW w:w="4080" w:type="dxa"/>
          </w:tcPr>
          <w:p w:rsidR="00557A6F" w:rsidRDefault="00557A6F" w:rsidP="00557A6F">
            <w:r>
              <w:rPr>
                <w:rStyle w:val="kursiv"/>
                <w:sz w:val="21"/>
                <w:szCs w:val="21"/>
              </w:rPr>
              <w:t>Sum kategori 13.90</w:t>
            </w:r>
          </w:p>
        </w:tc>
        <w:tc>
          <w:tcPr>
            <w:tcW w:w="1020" w:type="dxa"/>
          </w:tcPr>
          <w:p w:rsidR="00557A6F" w:rsidRDefault="00557A6F" w:rsidP="00557A6F">
            <w:pPr>
              <w:jc w:val="right"/>
            </w:pPr>
            <w:r>
              <w:rPr>
                <w:rStyle w:val="kursiv"/>
                <w:sz w:val="21"/>
                <w:szCs w:val="21"/>
              </w:rPr>
              <w:t>1 339 561</w:t>
            </w:r>
          </w:p>
        </w:tc>
        <w:tc>
          <w:tcPr>
            <w:tcW w:w="1020" w:type="dxa"/>
          </w:tcPr>
          <w:p w:rsidR="00557A6F" w:rsidRDefault="00557A6F" w:rsidP="00557A6F">
            <w:pPr>
              <w:jc w:val="right"/>
            </w:pPr>
            <w:r>
              <w:rPr>
                <w:rStyle w:val="kursiv"/>
                <w:sz w:val="21"/>
                <w:szCs w:val="21"/>
              </w:rPr>
              <w:t>1 225 388</w:t>
            </w:r>
          </w:p>
        </w:tc>
        <w:tc>
          <w:tcPr>
            <w:tcW w:w="1020" w:type="dxa"/>
          </w:tcPr>
          <w:p w:rsidR="00557A6F" w:rsidRDefault="00557A6F" w:rsidP="00557A6F">
            <w:pPr>
              <w:jc w:val="right"/>
            </w:pPr>
            <w:r>
              <w:rPr>
                <w:rStyle w:val="kursiv"/>
                <w:sz w:val="21"/>
                <w:szCs w:val="21"/>
              </w:rPr>
              <w:t>1 326 297</w:t>
            </w:r>
          </w:p>
        </w:tc>
        <w:tc>
          <w:tcPr>
            <w:tcW w:w="1020" w:type="dxa"/>
          </w:tcPr>
          <w:p w:rsidR="00557A6F" w:rsidRDefault="00557A6F" w:rsidP="00557A6F">
            <w:pPr>
              <w:jc w:val="right"/>
            </w:pPr>
            <w:r>
              <w:rPr>
                <w:rStyle w:val="kursiv"/>
                <w:sz w:val="21"/>
                <w:szCs w:val="21"/>
              </w:rPr>
              <w:t>8,2</w:t>
            </w:r>
          </w:p>
        </w:tc>
      </w:tr>
      <w:tr w:rsidR="00557A6F" w:rsidTr="00557A6F">
        <w:trPr>
          <w:trHeight w:val="380"/>
        </w:trPr>
        <w:tc>
          <w:tcPr>
            <w:tcW w:w="1020" w:type="dxa"/>
          </w:tcPr>
          <w:p w:rsidR="00557A6F" w:rsidRDefault="00557A6F" w:rsidP="00557A6F"/>
        </w:tc>
        <w:tc>
          <w:tcPr>
            <w:tcW w:w="4080" w:type="dxa"/>
          </w:tcPr>
          <w:p w:rsidR="00557A6F" w:rsidRDefault="00557A6F" w:rsidP="00557A6F">
            <w:r>
              <w:t>Sum programområde 13</w:t>
            </w:r>
          </w:p>
        </w:tc>
        <w:tc>
          <w:tcPr>
            <w:tcW w:w="1020" w:type="dxa"/>
          </w:tcPr>
          <w:p w:rsidR="00557A6F" w:rsidRDefault="00557A6F" w:rsidP="00557A6F">
            <w:pPr>
              <w:jc w:val="right"/>
            </w:pPr>
            <w:r>
              <w:t>209 005 761</w:t>
            </w:r>
          </w:p>
        </w:tc>
        <w:tc>
          <w:tcPr>
            <w:tcW w:w="1020" w:type="dxa"/>
          </w:tcPr>
          <w:p w:rsidR="00557A6F" w:rsidRDefault="00557A6F" w:rsidP="00557A6F">
            <w:pPr>
              <w:jc w:val="right"/>
            </w:pPr>
            <w:r>
              <w:t>215 576 715</w:t>
            </w:r>
          </w:p>
        </w:tc>
        <w:tc>
          <w:tcPr>
            <w:tcW w:w="1020" w:type="dxa"/>
          </w:tcPr>
          <w:p w:rsidR="00557A6F" w:rsidRDefault="00557A6F" w:rsidP="00557A6F">
            <w:pPr>
              <w:jc w:val="right"/>
            </w:pPr>
            <w:r>
              <w:t>223 942 060</w:t>
            </w:r>
          </w:p>
        </w:tc>
        <w:tc>
          <w:tcPr>
            <w:tcW w:w="1020" w:type="dxa"/>
          </w:tcPr>
          <w:p w:rsidR="00557A6F" w:rsidRDefault="00557A6F" w:rsidP="00557A6F">
            <w:pPr>
              <w:jc w:val="right"/>
            </w:pPr>
            <w:r>
              <w:t>3,9</w:t>
            </w:r>
          </w:p>
        </w:tc>
      </w:tr>
      <w:tr w:rsidR="00557A6F" w:rsidTr="00557A6F">
        <w:trPr>
          <w:trHeight w:val="380"/>
        </w:trPr>
        <w:tc>
          <w:tcPr>
            <w:tcW w:w="1020" w:type="dxa"/>
          </w:tcPr>
          <w:p w:rsidR="00557A6F" w:rsidRDefault="00557A6F" w:rsidP="00557A6F"/>
        </w:tc>
        <w:tc>
          <w:tcPr>
            <w:tcW w:w="4080" w:type="dxa"/>
          </w:tcPr>
          <w:p w:rsidR="00557A6F" w:rsidRDefault="00557A6F" w:rsidP="00557A6F">
            <w:r>
              <w:t>Sum utgifter</w:t>
            </w:r>
          </w:p>
        </w:tc>
        <w:tc>
          <w:tcPr>
            <w:tcW w:w="1020" w:type="dxa"/>
          </w:tcPr>
          <w:p w:rsidR="00557A6F" w:rsidRDefault="00557A6F" w:rsidP="00557A6F">
            <w:pPr>
              <w:jc w:val="right"/>
            </w:pPr>
            <w:r>
              <w:t>209 363 106</w:t>
            </w:r>
          </w:p>
        </w:tc>
        <w:tc>
          <w:tcPr>
            <w:tcW w:w="1020" w:type="dxa"/>
          </w:tcPr>
          <w:p w:rsidR="00557A6F" w:rsidRDefault="00557A6F" w:rsidP="00557A6F">
            <w:pPr>
              <w:jc w:val="right"/>
            </w:pPr>
            <w:r>
              <w:t>216 010 612</w:t>
            </w:r>
          </w:p>
        </w:tc>
        <w:tc>
          <w:tcPr>
            <w:tcW w:w="1020" w:type="dxa"/>
          </w:tcPr>
          <w:p w:rsidR="00557A6F" w:rsidRDefault="00557A6F" w:rsidP="00557A6F">
            <w:pPr>
              <w:jc w:val="right"/>
            </w:pPr>
            <w:r>
              <w:t>224 233 152</w:t>
            </w:r>
          </w:p>
        </w:tc>
        <w:tc>
          <w:tcPr>
            <w:tcW w:w="1020" w:type="dxa"/>
          </w:tcPr>
          <w:p w:rsidR="00557A6F" w:rsidRDefault="00557A6F" w:rsidP="00557A6F">
            <w:pPr>
              <w:jc w:val="right"/>
            </w:pPr>
            <w:r>
              <w:t>3,8</w:t>
            </w:r>
          </w:p>
        </w:tc>
      </w:tr>
    </w:tbl>
    <w:p w:rsidR="00557A6F" w:rsidRDefault="00557A6F" w:rsidP="00557A6F">
      <w:pPr>
        <w:pStyle w:val="Overskrift2"/>
      </w:pPr>
      <w:r>
        <w:t>Inntekter fordelt på programkategori og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557A6F" w:rsidTr="00557A6F">
        <w:trPr>
          <w:trHeight w:val="860"/>
        </w:trPr>
        <w:tc>
          <w:tcPr>
            <w:tcW w:w="1020" w:type="dxa"/>
            <w:shd w:val="clear" w:color="auto" w:fill="FFFFFF"/>
          </w:tcPr>
          <w:p w:rsidR="00557A6F" w:rsidRDefault="00557A6F" w:rsidP="00557A6F">
            <w:pPr>
              <w:pStyle w:val="Tabellnavn"/>
            </w:pPr>
            <w:r>
              <w:t>UIPOKL</w:t>
            </w:r>
          </w:p>
          <w:p w:rsidR="00557A6F" w:rsidRDefault="00557A6F" w:rsidP="00557A6F"/>
        </w:tc>
        <w:tc>
          <w:tcPr>
            <w:tcW w:w="4080" w:type="dxa"/>
          </w:tcPr>
          <w:p w:rsidR="00557A6F" w:rsidRDefault="00557A6F" w:rsidP="00557A6F"/>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r>
              <w:t>(i 1 000 kr)</w:t>
            </w:r>
          </w:p>
        </w:tc>
      </w:tr>
      <w:tr w:rsidR="00557A6F" w:rsidTr="00557A6F">
        <w:trPr>
          <w:trHeight w:val="600"/>
        </w:trPr>
        <w:tc>
          <w:tcPr>
            <w:tcW w:w="1020" w:type="dxa"/>
          </w:tcPr>
          <w:p w:rsidR="00557A6F" w:rsidRDefault="00557A6F" w:rsidP="00557A6F">
            <w:r>
              <w:t>Kap.</w:t>
            </w:r>
          </w:p>
        </w:tc>
        <w:tc>
          <w:tcPr>
            <w:tcW w:w="4080" w:type="dxa"/>
          </w:tcPr>
          <w:p w:rsidR="00557A6F" w:rsidRDefault="00557A6F" w:rsidP="00557A6F">
            <w:r>
              <w:t>Betegnelse</w:t>
            </w:r>
          </w:p>
        </w:tc>
        <w:tc>
          <w:tcPr>
            <w:tcW w:w="1020" w:type="dxa"/>
          </w:tcPr>
          <w:p w:rsidR="00557A6F" w:rsidRDefault="00557A6F" w:rsidP="00557A6F">
            <w:pPr>
              <w:jc w:val="right"/>
            </w:pPr>
            <w:r>
              <w:t>Reg</w:t>
            </w:r>
            <w:r>
              <w:t>n</w:t>
            </w:r>
            <w:r>
              <w:t>skap 2018</w:t>
            </w:r>
          </w:p>
        </w:tc>
        <w:tc>
          <w:tcPr>
            <w:tcW w:w="1020" w:type="dxa"/>
          </w:tcPr>
          <w:p w:rsidR="00557A6F" w:rsidRDefault="00557A6F" w:rsidP="00557A6F">
            <w:pPr>
              <w:jc w:val="right"/>
            </w:pPr>
            <w:r>
              <w:t xml:space="preserve">Saldert </w:t>
            </w:r>
            <w:r>
              <w:br/>
              <w:t>budsjett 2019</w:t>
            </w:r>
          </w:p>
        </w:tc>
        <w:tc>
          <w:tcPr>
            <w:tcW w:w="1020" w:type="dxa"/>
          </w:tcPr>
          <w:p w:rsidR="00557A6F" w:rsidRDefault="00557A6F" w:rsidP="00557A6F">
            <w:pPr>
              <w:jc w:val="right"/>
            </w:pPr>
            <w:r>
              <w:t xml:space="preserve">Forslag </w:t>
            </w:r>
            <w:r>
              <w:br/>
              <w:t>2020</w:t>
            </w:r>
          </w:p>
        </w:tc>
        <w:tc>
          <w:tcPr>
            <w:tcW w:w="1020" w:type="dxa"/>
          </w:tcPr>
          <w:p w:rsidR="00557A6F" w:rsidRDefault="00557A6F" w:rsidP="00557A6F">
            <w:pPr>
              <w:jc w:val="right"/>
            </w:pPr>
            <w:r>
              <w:t xml:space="preserve">Pst. endr. </w:t>
            </w:r>
            <w:r>
              <w:br/>
              <w:t>19/20</w:t>
            </w:r>
          </w:p>
        </w:tc>
      </w:tr>
      <w:tr w:rsidR="00557A6F" w:rsidTr="00557A6F">
        <w:trPr>
          <w:trHeight w:val="380"/>
        </w:trPr>
        <w:tc>
          <w:tcPr>
            <w:tcW w:w="1020" w:type="dxa"/>
          </w:tcPr>
          <w:p w:rsidR="00557A6F" w:rsidRDefault="00557A6F" w:rsidP="00557A6F"/>
        </w:tc>
        <w:tc>
          <w:tcPr>
            <w:tcW w:w="4080" w:type="dxa"/>
          </w:tcPr>
          <w:p w:rsidR="00557A6F" w:rsidRDefault="00557A6F" w:rsidP="00557A6F">
            <w:r>
              <w:rPr>
                <w:rStyle w:val="halvfet0"/>
                <w:sz w:val="21"/>
                <w:szCs w:val="21"/>
              </w:rPr>
              <w:t>Administrasjon</w:t>
            </w: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p>
        </w:tc>
      </w:tr>
      <w:tr w:rsidR="00557A6F" w:rsidTr="00557A6F">
        <w:trPr>
          <w:trHeight w:val="640"/>
        </w:trPr>
        <w:tc>
          <w:tcPr>
            <w:tcW w:w="1020" w:type="dxa"/>
          </w:tcPr>
          <w:p w:rsidR="00557A6F" w:rsidRDefault="00557A6F" w:rsidP="00557A6F">
            <w:r>
              <w:t>3500</w:t>
            </w:r>
          </w:p>
        </w:tc>
        <w:tc>
          <w:tcPr>
            <w:tcW w:w="4080" w:type="dxa"/>
          </w:tcPr>
          <w:p w:rsidR="00557A6F" w:rsidRDefault="00557A6F" w:rsidP="00557A6F">
            <w:r>
              <w:t>Kommunal- og moderniseringsdepart</w:t>
            </w:r>
            <w:r>
              <w:t>e</w:t>
            </w:r>
            <w:r>
              <w:t>mentet</w:t>
            </w:r>
          </w:p>
        </w:tc>
        <w:tc>
          <w:tcPr>
            <w:tcW w:w="1020" w:type="dxa"/>
          </w:tcPr>
          <w:p w:rsidR="00557A6F" w:rsidRDefault="00557A6F" w:rsidP="00557A6F">
            <w:pPr>
              <w:jc w:val="right"/>
            </w:pPr>
            <w:r>
              <w:t>1 237</w:t>
            </w: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p>
        </w:tc>
      </w:tr>
      <w:tr w:rsidR="00557A6F" w:rsidTr="00557A6F">
        <w:trPr>
          <w:trHeight w:val="640"/>
        </w:trPr>
        <w:tc>
          <w:tcPr>
            <w:tcW w:w="1020" w:type="dxa"/>
          </w:tcPr>
          <w:p w:rsidR="00557A6F" w:rsidRDefault="00557A6F" w:rsidP="00557A6F">
            <w:r>
              <w:t>3510</w:t>
            </w:r>
          </w:p>
        </w:tc>
        <w:tc>
          <w:tcPr>
            <w:tcW w:w="4080" w:type="dxa"/>
          </w:tcPr>
          <w:p w:rsidR="00557A6F" w:rsidRDefault="00557A6F" w:rsidP="00557A6F">
            <w:r>
              <w:t>Departementenes sikkerhets- og serviceo</w:t>
            </w:r>
            <w:r>
              <w:t>r</w:t>
            </w:r>
            <w:r>
              <w:t>ganisasjon</w:t>
            </w:r>
          </w:p>
        </w:tc>
        <w:tc>
          <w:tcPr>
            <w:tcW w:w="1020" w:type="dxa"/>
          </w:tcPr>
          <w:p w:rsidR="00557A6F" w:rsidRDefault="00557A6F" w:rsidP="00557A6F">
            <w:pPr>
              <w:jc w:val="right"/>
            </w:pPr>
            <w:r>
              <w:t>171 462</w:t>
            </w:r>
          </w:p>
        </w:tc>
        <w:tc>
          <w:tcPr>
            <w:tcW w:w="1020" w:type="dxa"/>
          </w:tcPr>
          <w:p w:rsidR="00557A6F" w:rsidRDefault="00557A6F" w:rsidP="00557A6F">
            <w:pPr>
              <w:jc w:val="right"/>
            </w:pPr>
            <w:r>
              <w:t>89 706</w:t>
            </w:r>
          </w:p>
        </w:tc>
        <w:tc>
          <w:tcPr>
            <w:tcW w:w="1020" w:type="dxa"/>
          </w:tcPr>
          <w:p w:rsidR="00557A6F" w:rsidRDefault="00557A6F" w:rsidP="00557A6F">
            <w:pPr>
              <w:jc w:val="right"/>
            </w:pPr>
            <w:r>
              <w:t>85 056</w:t>
            </w:r>
          </w:p>
        </w:tc>
        <w:tc>
          <w:tcPr>
            <w:tcW w:w="1020" w:type="dxa"/>
          </w:tcPr>
          <w:p w:rsidR="00557A6F" w:rsidRDefault="00557A6F" w:rsidP="00557A6F">
            <w:pPr>
              <w:jc w:val="right"/>
            </w:pPr>
            <w:r>
              <w:t>-5,2</w:t>
            </w:r>
          </w:p>
        </w:tc>
      </w:tr>
      <w:tr w:rsidR="00557A6F" w:rsidTr="00557A6F">
        <w:trPr>
          <w:trHeight w:val="380"/>
        </w:trPr>
        <w:tc>
          <w:tcPr>
            <w:tcW w:w="1020" w:type="dxa"/>
          </w:tcPr>
          <w:p w:rsidR="00557A6F" w:rsidRDefault="00557A6F" w:rsidP="00557A6F"/>
        </w:tc>
        <w:tc>
          <w:tcPr>
            <w:tcW w:w="4080" w:type="dxa"/>
          </w:tcPr>
          <w:p w:rsidR="00557A6F" w:rsidRDefault="00557A6F" w:rsidP="00557A6F">
            <w:r>
              <w:rPr>
                <w:rStyle w:val="kursiv"/>
                <w:sz w:val="21"/>
                <w:szCs w:val="21"/>
              </w:rPr>
              <w:t>Sum kategori 13.00</w:t>
            </w:r>
          </w:p>
        </w:tc>
        <w:tc>
          <w:tcPr>
            <w:tcW w:w="1020" w:type="dxa"/>
          </w:tcPr>
          <w:p w:rsidR="00557A6F" w:rsidRDefault="00557A6F" w:rsidP="00557A6F">
            <w:pPr>
              <w:jc w:val="right"/>
            </w:pPr>
            <w:r>
              <w:rPr>
                <w:rStyle w:val="kursiv"/>
                <w:sz w:val="21"/>
                <w:szCs w:val="21"/>
              </w:rPr>
              <w:t>172 699</w:t>
            </w:r>
          </w:p>
        </w:tc>
        <w:tc>
          <w:tcPr>
            <w:tcW w:w="1020" w:type="dxa"/>
          </w:tcPr>
          <w:p w:rsidR="00557A6F" w:rsidRDefault="00557A6F" w:rsidP="00557A6F">
            <w:pPr>
              <w:jc w:val="right"/>
            </w:pPr>
            <w:r>
              <w:rPr>
                <w:rStyle w:val="kursiv"/>
                <w:sz w:val="21"/>
                <w:szCs w:val="21"/>
              </w:rPr>
              <w:t>89 706</w:t>
            </w:r>
          </w:p>
        </w:tc>
        <w:tc>
          <w:tcPr>
            <w:tcW w:w="1020" w:type="dxa"/>
          </w:tcPr>
          <w:p w:rsidR="00557A6F" w:rsidRDefault="00557A6F" w:rsidP="00557A6F">
            <w:pPr>
              <w:jc w:val="right"/>
            </w:pPr>
            <w:r>
              <w:rPr>
                <w:rStyle w:val="kursiv"/>
                <w:sz w:val="21"/>
                <w:szCs w:val="21"/>
              </w:rPr>
              <w:t>85 056</w:t>
            </w:r>
          </w:p>
        </w:tc>
        <w:tc>
          <w:tcPr>
            <w:tcW w:w="1020" w:type="dxa"/>
          </w:tcPr>
          <w:p w:rsidR="00557A6F" w:rsidRDefault="00557A6F" w:rsidP="00557A6F">
            <w:pPr>
              <w:jc w:val="right"/>
            </w:pPr>
            <w:r>
              <w:rPr>
                <w:rStyle w:val="kursiv"/>
                <w:sz w:val="21"/>
                <w:szCs w:val="21"/>
              </w:rPr>
              <w:t>-5,2</w:t>
            </w:r>
          </w:p>
        </w:tc>
      </w:tr>
      <w:tr w:rsidR="00557A6F" w:rsidTr="00557A6F">
        <w:trPr>
          <w:trHeight w:val="380"/>
        </w:trPr>
        <w:tc>
          <w:tcPr>
            <w:tcW w:w="1020" w:type="dxa"/>
          </w:tcPr>
          <w:p w:rsidR="00557A6F" w:rsidRDefault="00557A6F" w:rsidP="00557A6F"/>
        </w:tc>
        <w:tc>
          <w:tcPr>
            <w:tcW w:w="4080" w:type="dxa"/>
          </w:tcPr>
          <w:p w:rsidR="00557A6F" w:rsidRDefault="00557A6F" w:rsidP="00557A6F">
            <w:r>
              <w:rPr>
                <w:rStyle w:val="halvfet0"/>
                <w:sz w:val="21"/>
                <w:szCs w:val="21"/>
              </w:rPr>
              <w:t>Fylkesmannsembetene</w:t>
            </w: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p>
        </w:tc>
      </w:tr>
      <w:tr w:rsidR="00557A6F" w:rsidTr="00557A6F">
        <w:trPr>
          <w:trHeight w:val="380"/>
        </w:trPr>
        <w:tc>
          <w:tcPr>
            <w:tcW w:w="1020" w:type="dxa"/>
          </w:tcPr>
          <w:p w:rsidR="00557A6F" w:rsidRDefault="00557A6F" w:rsidP="00557A6F">
            <w:r>
              <w:t>3525</w:t>
            </w:r>
          </w:p>
        </w:tc>
        <w:tc>
          <w:tcPr>
            <w:tcW w:w="4080" w:type="dxa"/>
          </w:tcPr>
          <w:p w:rsidR="00557A6F" w:rsidRDefault="00557A6F" w:rsidP="00557A6F">
            <w:r>
              <w:t>Fylkesmannsembetene</w:t>
            </w:r>
          </w:p>
        </w:tc>
        <w:tc>
          <w:tcPr>
            <w:tcW w:w="1020" w:type="dxa"/>
          </w:tcPr>
          <w:p w:rsidR="00557A6F" w:rsidRDefault="00557A6F" w:rsidP="00557A6F">
            <w:pPr>
              <w:jc w:val="right"/>
            </w:pPr>
            <w:r>
              <w:t>119 120</w:t>
            </w:r>
          </w:p>
        </w:tc>
        <w:tc>
          <w:tcPr>
            <w:tcW w:w="1020" w:type="dxa"/>
          </w:tcPr>
          <w:p w:rsidR="00557A6F" w:rsidRDefault="00557A6F" w:rsidP="00557A6F">
            <w:pPr>
              <w:jc w:val="right"/>
            </w:pPr>
            <w:r>
              <w:t>167 804</w:t>
            </w:r>
          </w:p>
        </w:tc>
        <w:tc>
          <w:tcPr>
            <w:tcW w:w="1020" w:type="dxa"/>
          </w:tcPr>
          <w:p w:rsidR="00557A6F" w:rsidRDefault="00557A6F" w:rsidP="00557A6F">
            <w:pPr>
              <w:jc w:val="right"/>
            </w:pPr>
            <w:r>
              <w:t>172 308</w:t>
            </w:r>
          </w:p>
        </w:tc>
        <w:tc>
          <w:tcPr>
            <w:tcW w:w="1020" w:type="dxa"/>
          </w:tcPr>
          <w:p w:rsidR="00557A6F" w:rsidRDefault="00557A6F" w:rsidP="00557A6F">
            <w:pPr>
              <w:jc w:val="right"/>
            </w:pPr>
            <w:r>
              <w:t>2,7</w:t>
            </w:r>
          </w:p>
        </w:tc>
      </w:tr>
      <w:tr w:rsidR="00557A6F" w:rsidTr="00557A6F">
        <w:trPr>
          <w:trHeight w:val="380"/>
        </w:trPr>
        <w:tc>
          <w:tcPr>
            <w:tcW w:w="1020" w:type="dxa"/>
          </w:tcPr>
          <w:p w:rsidR="00557A6F" w:rsidRDefault="00557A6F" w:rsidP="00557A6F"/>
        </w:tc>
        <w:tc>
          <w:tcPr>
            <w:tcW w:w="4080" w:type="dxa"/>
          </w:tcPr>
          <w:p w:rsidR="00557A6F" w:rsidRDefault="00557A6F" w:rsidP="00557A6F">
            <w:r>
              <w:rPr>
                <w:rStyle w:val="kursiv"/>
                <w:sz w:val="21"/>
                <w:szCs w:val="21"/>
              </w:rPr>
              <w:t>Sum kategori 13.25</w:t>
            </w:r>
          </w:p>
        </w:tc>
        <w:tc>
          <w:tcPr>
            <w:tcW w:w="1020" w:type="dxa"/>
          </w:tcPr>
          <w:p w:rsidR="00557A6F" w:rsidRDefault="00557A6F" w:rsidP="00557A6F">
            <w:pPr>
              <w:jc w:val="right"/>
            </w:pPr>
            <w:r>
              <w:rPr>
                <w:rStyle w:val="kursiv"/>
                <w:sz w:val="21"/>
                <w:szCs w:val="21"/>
              </w:rPr>
              <w:t>119 120</w:t>
            </w:r>
          </w:p>
        </w:tc>
        <w:tc>
          <w:tcPr>
            <w:tcW w:w="1020" w:type="dxa"/>
          </w:tcPr>
          <w:p w:rsidR="00557A6F" w:rsidRDefault="00557A6F" w:rsidP="00557A6F">
            <w:pPr>
              <w:jc w:val="right"/>
            </w:pPr>
            <w:r>
              <w:rPr>
                <w:rStyle w:val="kursiv"/>
                <w:sz w:val="21"/>
                <w:szCs w:val="21"/>
              </w:rPr>
              <w:t>167 804</w:t>
            </w:r>
          </w:p>
        </w:tc>
        <w:tc>
          <w:tcPr>
            <w:tcW w:w="1020" w:type="dxa"/>
          </w:tcPr>
          <w:p w:rsidR="00557A6F" w:rsidRDefault="00557A6F" w:rsidP="00557A6F">
            <w:pPr>
              <w:jc w:val="right"/>
            </w:pPr>
            <w:r>
              <w:rPr>
                <w:rStyle w:val="kursiv"/>
                <w:sz w:val="21"/>
                <w:szCs w:val="21"/>
              </w:rPr>
              <w:t>172 308</w:t>
            </w:r>
          </w:p>
        </w:tc>
        <w:tc>
          <w:tcPr>
            <w:tcW w:w="1020" w:type="dxa"/>
          </w:tcPr>
          <w:p w:rsidR="00557A6F" w:rsidRDefault="00557A6F" w:rsidP="00557A6F">
            <w:pPr>
              <w:jc w:val="right"/>
            </w:pPr>
            <w:r>
              <w:rPr>
                <w:rStyle w:val="kursiv"/>
                <w:sz w:val="21"/>
                <w:szCs w:val="21"/>
              </w:rPr>
              <w:t>2,7</w:t>
            </w:r>
          </w:p>
        </w:tc>
      </w:tr>
      <w:tr w:rsidR="00557A6F" w:rsidTr="00557A6F">
        <w:trPr>
          <w:trHeight w:val="640"/>
        </w:trPr>
        <w:tc>
          <w:tcPr>
            <w:tcW w:w="1020" w:type="dxa"/>
          </w:tcPr>
          <w:p w:rsidR="00557A6F" w:rsidRDefault="00557A6F" w:rsidP="00557A6F"/>
        </w:tc>
        <w:tc>
          <w:tcPr>
            <w:tcW w:w="4080" w:type="dxa"/>
          </w:tcPr>
          <w:p w:rsidR="00557A6F" w:rsidRDefault="00557A6F" w:rsidP="00557A6F">
            <w:r>
              <w:rPr>
                <w:rStyle w:val="halvfet0"/>
                <w:sz w:val="21"/>
                <w:szCs w:val="21"/>
              </w:rPr>
              <w:t>Statlige byggeprosjekter og eiendomsfo</w:t>
            </w:r>
            <w:r>
              <w:rPr>
                <w:rStyle w:val="halvfet0"/>
                <w:sz w:val="21"/>
                <w:szCs w:val="21"/>
              </w:rPr>
              <w:t>r</w:t>
            </w:r>
            <w:r>
              <w:rPr>
                <w:rStyle w:val="halvfet0"/>
                <w:sz w:val="21"/>
                <w:szCs w:val="21"/>
              </w:rPr>
              <w:t>valtning</w:t>
            </w: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p>
        </w:tc>
      </w:tr>
      <w:tr w:rsidR="00557A6F" w:rsidTr="00557A6F">
        <w:trPr>
          <w:trHeight w:val="640"/>
        </w:trPr>
        <w:tc>
          <w:tcPr>
            <w:tcW w:w="1020" w:type="dxa"/>
          </w:tcPr>
          <w:p w:rsidR="00557A6F" w:rsidRDefault="00557A6F" w:rsidP="00557A6F">
            <w:r>
              <w:t>3533</w:t>
            </w:r>
          </w:p>
        </w:tc>
        <w:tc>
          <w:tcPr>
            <w:tcW w:w="4080" w:type="dxa"/>
          </w:tcPr>
          <w:p w:rsidR="00557A6F" w:rsidRDefault="00557A6F" w:rsidP="00557A6F">
            <w:r>
              <w:t>Eiendommer utenfor husleieor</w:t>
            </w:r>
            <w:r>
              <w:t>d</w:t>
            </w:r>
            <w:r>
              <w:t>ningen</w:t>
            </w:r>
          </w:p>
        </w:tc>
        <w:tc>
          <w:tcPr>
            <w:tcW w:w="1020" w:type="dxa"/>
          </w:tcPr>
          <w:p w:rsidR="00557A6F" w:rsidRDefault="00557A6F" w:rsidP="00557A6F">
            <w:pPr>
              <w:jc w:val="right"/>
            </w:pPr>
            <w:r>
              <w:t>5 707</w:t>
            </w:r>
          </w:p>
        </w:tc>
        <w:tc>
          <w:tcPr>
            <w:tcW w:w="1020" w:type="dxa"/>
          </w:tcPr>
          <w:p w:rsidR="00557A6F" w:rsidRDefault="00557A6F" w:rsidP="00557A6F">
            <w:pPr>
              <w:jc w:val="right"/>
            </w:pPr>
            <w:r>
              <w:t>2 383</w:t>
            </w:r>
          </w:p>
        </w:tc>
        <w:tc>
          <w:tcPr>
            <w:tcW w:w="1020" w:type="dxa"/>
          </w:tcPr>
          <w:p w:rsidR="00557A6F" w:rsidRDefault="00557A6F" w:rsidP="00557A6F">
            <w:pPr>
              <w:jc w:val="right"/>
            </w:pPr>
            <w:r>
              <w:t>2 447</w:t>
            </w:r>
          </w:p>
        </w:tc>
        <w:tc>
          <w:tcPr>
            <w:tcW w:w="1020" w:type="dxa"/>
          </w:tcPr>
          <w:p w:rsidR="00557A6F" w:rsidRDefault="00557A6F" w:rsidP="00557A6F">
            <w:pPr>
              <w:jc w:val="right"/>
            </w:pPr>
            <w:r>
              <w:t>2,7</w:t>
            </w:r>
          </w:p>
        </w:tc>
      </w:tr>
      <w:tr w:rsidR="00557A6F" w:rsidTr="00557A6F">
        <w:trPr>
          <w:trHeight w:val="380"/>
        </w:trPr>
        <w:tc>
          <w:tcPr>
            <w:tcW w:w="1020" w:type="dxa"/>
          </w:tcPr>
          <w:p w:rsidR="00557A6F" w:rsidRDefault="00557A6F" w:rsidP="00557A6F">
            <w:r>
              <w:t>5445</w:t>
            </w:r>
          </w:p>
        </w:tc>
        <w:tc>
          <w:tcPr>
            <w:tcW w:w="4080" w:type="dxa"/>
          </w:tcPr>
          <w:p w:rsidR="00557A6F" w:rsidRDefault="00557A6F" w:rsidP="00557A6F">
            <w:r>
              <w:t>Statsbygg</w:t>
            </w:r>
          </w:p>
        </w:tc>
        <w:tc>
          <w:tcPr>
            <w:tcW w:w="1020" w:type="dxa"/>
          </w:tcPr>
          <w:p w:rsidR="00557A6F" w:rsidRDefault="00557A6F" w:rsidP="00557A6F">
            <w:pPr>
              <w:jc w:val="right"/>
            </w:pPr>
            <w:r>
              <w:t>1 381 218</w:t>
            </w:r>
          </w:p>
        </w:tc>
        <w:tc>
          <w:tcPr>
            <w:tcW w:w="1020" w:type="dxa"/>
          </w:tcPr>
          <w:p w:rsidR="00557A6F" w:rsidRDefault="00557A6F" w:rsidP="00557A6F">
            <w:pPr>
              <w:jc w:val="right"/>
            </w:pPr>
            <w:r>
              <w:t>1 242 976</w:t>
            </w:r>
          </w:p>
        </w:tc>
        <w:tc>
          <w:tcPr>
            <w:tcW w:w="1020" w:type="dxa"/>
          </w:tcPr>
          <w:p w:rsidR="00557A6F" w:rsidRDefault="00557A6F" w:rsidP="00557A6F">
            <w:pPr>
              <w:jc w:val="right"/>
            </w:pPr>
            <w:r>
              <w:t>1 132 272</w:t>
            </w:r>
          </w:p>
        </w:tc>
        <w:tc>
          <w:tcPr>
            <w:tcW w:w="1020" w:type="dxa"/>
          </w:tcPr>
          <w:p w:rsidR="00557A6F" w:rsidRDefault="00557A6F" w:rsidP="00557A6F">
            <w:pPr>
              <w:jc w:val="right"/>
            </w:pPr>
            <w:r>
              <w:t>-8,9</w:t>
            </w:r>
          </w:p>
        </w:tc>
      </w:tr>
      <w:tr w:rsidR="00557A6F" w:rsidTr="00557A6F">
        <w:trPr>
          <w:trHeight w:val="380"/>
        </w:trPr>
        <w:tc>
          <w:tcPr>
            <w:tcW w:w="1020" w:type="dxa"/>
          </w:tcPr>
          <w:p w:rsidR="00557A6F" w:rsidRDefault="00557A6F" w:rsidP="00557A6F">
            <w:r>
              <w:t>5446</w:t>
            </w:r>
          </w:p>
        </w:tc>
        <w:tc>
          <w:tcPr>
            <w:tcW w:w="4080" w:type="dxa"/>
          </w:tcPr>
          <w:p w:rsidR="00557A6F" w:rsidRDefault="00557A6F" w:rsidP="00557A6F">
            <w:r>
              <w:t>Salg av eiendom, Fornebu</w:t>
            </w:r>
          </w:p>
        </w:tc>
        <w:tc>
          <w:tcPr>
            <w:tcW w:w="1020" w:type="dxa"/>
          </w:tcPr>
          <w:p w:rsidR="00557A6F" w:rsidRDefault="00557A6F" w:rsidP="00557A6F">
            <w:pPr>
              <w:jc w:val="right"/>
            </w:pPr>
            <w:r>
              <w:t>323</w:t>
            </w:r>
          </w:p>
        </w:tc>
        <w:tc>
          <w:tcPr>
            <w:tcW w:w="1020" w:type="dxa"/>
          </w:tcPr>
          <w:p w:rsidR="00557A6F" w:rsidRDefault="00557A6F" w:rsidP="00557A6F">
            <w:pPr>
              <w:jc w:val="right"/>
            </w:pPr>
            <w:r>
              <w:t>200</w:t>
            </w:r>
          </w:p>
        </w:tc>
        <w:tc>
          <w:tcPr>
            <w:tcW w:w="1020" w:type="dxa"/>
          </w:tcPr>
          <w:p w:rsidR="00557A6F" w:rsidRDefault="00557A6F" w:rsidP="00557A6F">
            <w:pPr>
              <w:jc w:val="right"/>
            </w:pPr>
            <w:r>
              <w:t>200</w:t>
            </w:r>
          </w:p>
        </w:tc>
        <w:tc>
          <w:tcPr>
            <w:tcW w:w="1020" w:type="dxa"/>
          </w:tcPr>
          <w:p w:rsidR="00557A6F" w:rsidRDefault="00557A6F" w:rsidP="00557A6F">
            <w:pPr>
              <w:jc w:val="right"/>
            </w:pPr>
            <w:r>
              <w:t>0,0</w:t>
            </w:r>
          </w:p>
        </w:tc>
      </w:tr>
      <w:tr w:rsidR="00557A6F" w:rsidTr="00557A6F">
        <w:trPr>
          <w:trHeight w:val="380"/>
        </w:trPr>
        <w:tc>
          <w:tcPr>
            <w:tcW w:w="1020" w:type="dxa"/>
          </w:tcPr>
          <w:p w:rsidR="00557A6F" w:rsidRDefault="00557A6F" w:rsidP="00557A6F"/>
        </w:tc>
        <w:tc>
          <w:tcPr>
            <w:tcW w:w="4080" w:type="dxa"/>
          </w:tcPr>
          <w:p w:rsidR="00557A6F" w:rsidRDefault="00557A6F" w:rsidP="00557A6F">
            <w:r>
              <w:rPr>
                <w:rStyle w:val="kursiv"/>
                <w:sz w:val="21"/>
                <w:szCs w:val="21"/>
              </w:rPr>
              <w:t>Sum kategori 13.30</w:t>
            </w:r>
          </w:p>
        </w:tc>
        <w:tc>
          <w:tcPr>
            <w:tcW w:w="1020" w:type="dxa"/>
          </w:tcPr>
          <w:p w:rsidR="00557A6F" w:rsidRDefault="00557A6F" w:rsidP="00557A6F">
            <w:pPr>
              <w:jc w:val="right"/>
            </w:pPr>
            <w:r>
              <w:rPr>
                <w:rStyle w:val="kursiv"/>
                <w:sz w:val="21"/>
                <w:szCs w:val="21"/>
              </w:rPr>
              <w:t>1 387 248</w:t>
            </w:r>
          </w:p>
        </w:tc>
        <w:tc>
          <w:tcPr>
            <w:tcW w:w="1020" w:type="dxa"/>
          </w:tcPr>
          <w:p w:rsidR="00557A6F" w:rsidRDefault="00557A6F" w:rsidP="00557A6F">
            <w:pPr>
              <w:jc w:val="right"/>
            </w:pPr>
            <w:r>
              <w:rPr>
                <w:rStyle w:val="kursiv"/>
                <w:sz w:val="21"/>
                <w:szCs w:val="21"/>
              </w:rPr>
              <w:t>1 245 559</w:t>
            </w:r>
          </w:p>
        </w:tc>
        <w:tc>
          <w:tcPr>
            <w:tcW w:w="1020" w:type="dxa"/>
          </w:tcPr>
          <w:p w:rsidR="00557A6F" w:rsidRDefault="00557A6F" w:rsidP="00557A6F">
            <w:pPr>
              <w:jc w:val="right"/>
            </w:pPr>
            <w:r>
              <w:rPr>
                <w:rStyle w:val="kursiv"/>
                <w:sz w:val="21"/>
                <w:szCs w:val="21"/>
              </w:rPr>
              <w:t>1 134 919</w:t>
            </w:r>
          </w:p>
        </w:tc>
        <w:tc>
          <w:tcPr>
            <w:tcW w:w="1020" w:type="dxa"/>
          </w:tcPr>
          <w:p w:rsidR="00557A6F" w:rsidRDefault="00557A6F" w:rsidP="00557A6F">
            <w:pPr>
              <w:jc w:val="right"/>
            </w:pPr>
            <w:r>
              <w:rPr>
                <w:rStyle w:val="kursiv"/>
                <w:sz w:val="21"/>
                <w:szCs w:val="21"/>
              </w:rPr>
              <w:t>-8,9</w:t>
            </w:r>
          </w:p>
        </w:tc>
      </w:tr>
      <w:tr w:rsidR="00557A6F" w:rsidTr="00557A6F">
        <w:trPr>
          <w:trHeight w:val="640"/>
        </w:trPr>
        <w:tc>
          <w:tcPr>
            <w:tcW w:w="1020" w:type="dxa"/>
          </w:tcPr>
          <w:p w:rsidR="00557A6F" w:rsidRDefault="00557A6F" w:rsidP="00557A6F"/>
        </w:tc>
        <w:tc>
          <w:tcPr>
            <w:tcW w:w="4080" w:type="dxa"/>
          </w:tcPr>
          <w:p w:rsidR="00557A6F" w:rsidRDefault="00557A6F" w:rsidP="00557A6F">
            <w:r>
              <w:rPr>
                <w:rStyle w:val="halvfet0"/>
                <w:sz w:val="21"/>
                <w:szCs w:val="21"/>
              </w:rPr>
              <w:t>Forvaltningsutvikling, IT- og eko</w:t>
            </w:r>
            <w:r>
              <w:rPr>
                <w:rStyle w:val="halvfet0"/>
                <w:sz w:val="21"/>
                <w:szCs w:val="21"/>
              </w:rPr>
              <w:t>m</w:t>
            </w:r>
            <w:r>
              <w:rPr>
                <w:rStyle w:val="halvfet0"/>
                <w:sz w:val="21"/>
                <w:szCs w:val="21"/>
              </w:rPr>
              <w:t>politikk</w:t>
            </w: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p>
        </w:tc>
      </w:tr>
      <w:tr w:rsidR="00557A6F" w:rsidTr="00557A6F">
        <w:trPr>
          <w:trHeight w:val="380"/>
        </w:trPr>
        <w:tc>
          <w:tcPr>
            <w:tcW w:w="1020" w:type="dxa"/>
          </w:tcPr>
          <w:p w:rsidR="00557A6F" w:rsidRDefault="00557A6F" w:rsidP="00557A6F">
            <w:r>
              <w:t>3540</w:t>
            </w:r>
          </w:p>
        </w:tc>
        <w:tc>
          <w:tcPr>
            <w:tcW w:w="4080" w:type="dxa"/>
          </w:tcPr>
          <w:p w:rsidR="00557A6F" w:rsidRDefault="00557A6F" w:rsidP="00557A6F">
            <w:r>
              <w:t>Digitaliseringsdirektoratet</w:t>
            </w:r>
          </w:p>
        </w:tc>
        <w:tc>
          <w:tcPr>
            <w:tcW w:w="1020" w:type="dxa"/>
          </w:tcPr>
          <w:p w:rsidR="00557A6F" w:rsidRDefault="00557A6F" w:rsidP="00557A6F">
            <w:pPr>
              <w:jc w:val="right"/>
            </w:pPr>
            <w:r>
              <w:t>83 088</w:t>
            </w:r>
          </w:p>
        </w:tc>
        <w:tc>
          <w:tcPr>
            <w:tcW w:w="1020" w:type="dxa"/>
          </w:tcPr>
          <w:p w:rsidR="00557A6F" w:rsidRDefault="00557A6F" w:rsidP="00557A6F">
            <w:pPr>
              <w:jc w:val="right"/>
            </w:pPr>
            <w:r>
              <w:t>91 246</w:t>
            </w:r>
          </w:p>
        </w:tc>
        <w:tc>
          <w:tcPr>
            <w:tcW w:w="1020" w:type="dxa"/>
          </w:tcPr>
          <w:p w:rsidR="00557A6F" w:rsidRDefault="00557A6F" w:rsidP="00557A6F">
            <w:pPr>
              <w:jc w:val="right"/>
            </w:pPr>
            <w:r>
              <w:t>172 877</w:t>
            </w:r>
          </w:p>
        </w:tc>
        <w:tc>
          <w:tcPr>
            <w:tcW w:w="1020" w:type="dxa"/>
          </w:tcPr>
          <w:p w:rsidR="00557A6F" w:rsidRDefault="00557A6F" w:rsidP="00557A6F">
            <w:pPr>
              <w:jc w:val="right"/>
            </w:pPr>
            <w:r>
              <w:t>89,5</w:t>
            </w:r>
          </w:p>
        </w:tc>
      </w:tr>
      <w:tr w:rsidR="00557A6F" w:rsidTr="00557A6F">
        <w:trPr>
          <w:trHeight w:val="380"/>
        </w:trPr>
        <w:tc>
          <w:tcPr>
            <w:tcW w:w="1020" w:type="dxa"/>
          </w:tcPr>
          <w:p w:rsidR="00557A6F" w:rsidRDefault="00557A6F" w:rsidP="00557A6F">
            <w:r>
              <w:t>3542</w:t>
            </w:r>
          </w:p>
        </w:tc>
        <w:tc>
          <w:tcPr>
            <w:tcW w:w="4080" w:type="dxa"/>
          </w:tcPr>
          <w:p w:rsidR="00557A6F" w:rsidRDefault="00557A6F" w:rsidP="00557A6F">
            <w:r>
              <w:t>Internasjonalt samarbeid</w:t>
            </w: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r>
              <w:t>2 259</w:t>
            </w:r>
          </w:p>
        </w:tc>
        <w:tc>
          <w:tcPr>
            <w:tcW w:w="1020" w:type="dxa"/>
          </w:tcPr>
          <w:p w:rsidR="00557A6F" w:rsidRDefault="00557A6F" w:rsidP="00557A6F">
            <w:pPr>
              <w:jc w:val="right"/>
            </w:pPr>
          </w:p>
        </w:tc>
      </w:tr>
      <w:tr w:rsidR="00557A6F" w:rsidTr="00557A6F">
        <w:trPr>
          <w:trHeight w:val="380"/>
        </w:trPr>
        <w:tc>
          <w:tcPr>
            <w:tcW w:w="1020" w:type="dxa"/>
          </w:tcPr>
          <w:p w:rsidR="00557A6F" w:rsidRDefault="00557A6F" w:rsidP="00557A6F">
            <w:r>
              <w:t>3543</w:t>
            </w:r>
          </w:p>
        </w:tc>
        <w:tc>
          <w:tcPr>
            <w:tcW w:w="4080" w:type="dxa"/>
          </w:tcPr>
          <w:p w:rsidR="00557A6F" w:rsidRDefault="00557A6F" w:rsidP="00557A6F">
            <w:r>
              <w:t>Nasjonal kommunikasjonsmy</w:t>
            </w:r>
            <w:r>
              <w:t>n</w:t>
            </w:r>
            <w:r>
              <w:t>dighet</w:t>
            </w: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r>
              <w:t>597</w:t>
            </w:r>
          </w:p>
        </w:tc>
        <w:tc>
          <w:tcPr>
            <w:tcW w:w="1020" w:type="dxa"/>
          </w:tcPr>
          <w:p w:rsidR="00557A6F" w:rsidRDefault="00557A6F" w:rsidP="00557A6F">
            <w:pPr>
              <w:jc w:val="right"/>
            </w:pPr>
          </w:p>
        </w:tc>
      </w:tr>
      <w:tr w:rsidR="00557A6F" w:rsidTr="00557A6F">
        <w:trPr>
          <w:trHeight w:val="640"/>
        </w:trPr>
        <w:tc>
          <w:tcPr>
            <w:tcW w:w="1020" w:type="dxa"/>
          </w:tcPr>
          <w:p w:rsidR="00557A6F" w:rsidRDefault="00557A6F" w:rsidP="00557A6F">
            <w:r>
              <w:t>5570</w:t>
            </w:r>
          </w:p>
        </w:tc>
        <w:tc>
          <w:tcPr>
            <w:tcW w:w="4080" w:type="dxa"/>
          </w:tcPr>
          <w:p w:rsidR="00557A6F" w:rsidRDefault="00557A6F" w:rsidP="00557A6F">
            <w:r>
              <w:t>Sektoravgifter under Kommunal- og m</w:t>
            </w:r>
            <w:r>
              <w:t>o</w:t>
            </w:r>
            <w:r>
              <w:t>derniseringsdepartementet</w:t>
            </w: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r>
              <w:t>247 880</w:t>
            </w:r>
          </w:p>
        </w:tc>
        <w:tc>
          <w:tcPr>
            <w:tcW w:w="1020" w:type="dxa"/>
          </w:tcPr>
          <w:p w:rsidR="00557A6F" w:rsidRDefault="00557A6F" w:rsidP="00557A6F">
            <w:pPr>
              <w:jc w:val="right"/>
            </w:pPr>
          </w:p>
        </w:tc>
      </w:tr>
      <w:tr w:rsidR="00557A6F" w:rsidTr="00557A6F">
        <w:trPr>
          <w:trHeight w:val="380"/>
        </w:trPr>
        <w:tc>
          <w:tcPr>
            <w:tcW w:w="1020" w:type="dxa"/>
          </w:tcPr>
          <w:p w:rsidR="00557A6F" w:rsidRDefault="00557A6F" w:rsidP="00557A6F"/>
        </w:tc>
        <w:tc>
          <w:tcPr>
            <w:tcW w:w="4080" w:type="dxa"/>
          </w:tcPr>
          <w:p w:rsidR="00557A6F" w:rsidRDefault="00557A6F" w:rsidP="00557A6F">
            <w:r>
              <w:rPr>
                <w:rStyle w:val="kursiv"/>
                <w:sz w:val="21"/>
                <w:szCs w:val="21"/>
              </w:rPr>
              <w:t>Sum kategori 13.40</w:t>
            </w:r>
          </w:p>
        </w:tc>
        <w:tc>
          <w:tcPr>
            <w:tcW w:w="1020" w:type="dxa"/>
          </w:tcPr>
          <w:p w:rsidR="00557A6F" w:rsidRDefault="00557A6F" w:rsidP="00557A6F">
            <w:pPr>
              <w:jc w:val="right"/>
            </w:pPr>
            <w:r>
              <w:rPr>
                <w:rStyle w:val="kursiv"/>
                <w:sz w:val="21"/>
                <w:szCs w:val="21"/>
              </w:rPr>
              <w:t>83 088</w:t>
            </w:r>
          </w:p>
        </w:tc>
        <w:tc>
          <w:tcPr>
            <w:tcW w:w="1020" w:type="dxa"/>
          </w:tcPr>
          <w:p w:rsidR="00557A6F" w:rsidRDefault="00557A6F" w:rsidP="00557A6F">
            <w:pPr>
              <w:jc w:val="right"/>
            </w:pPr>
            <w:r>
              <w:rPr>
                <w:rStyle w:val="kursiv"/>
                <w:sz w:val="21"/>
                <w:szCs w:val="21"/>
              </w:rPr>
              <w:t>91 246</w:t>
            </w:r>
          </w:p>
        </w:tc>
        <w:tc>
          <w:tcPr>
            <w:tcW w:w="1020" w:type="dxa"/>
          </w:tcPr>
          <w:p w:rsidR="00557A6F" w:rsidRDefault="00557A6F" w:rsidP="00557A6F">
            <w:pPr>
              <w:jc w:val="right"/>
            </w:pPr>
            <w:r>
              <w:rPr>
                <w:rStyle w:val="kursiv"/>
                <w:sz w:val="21"/>
                <w:szCs w:val="21"/>
              </w:rPr>
              <w:t>423 613</w:t>
            </w:r>
          </w:p>
        </w:tc>
        <w:tc>
          <w:tcPr>
            <w:tcW w:w="1020" w:type="dxa"/>
          </w:tcPr>
          <w:p w:rsidR="00557A6F" w:rsidRDefault="00557A6F" w:rsidP="00557A6F">
            <w:pPr>
              <w:jc w:val="right"/>
            </w:pPr>
            <w:r>
              <w:rPr>
                <w:rStyle w:val="kursiv"/>
                <w:sz w:val="21"/>
                <w:szCs w:val="21"/>
              </w:rPr>
              <w:t>364,3</w:t>
            </w:r>
          </w:p>
        </w:tc>
      </w:tr>
      <w:tr w:rsidR="00557A6F" w:rsidTr="00557A6F">
        <w:trPr>
          <w:trHeight w:val="380"/>
        </w:trPr>
        <w:tc>
          <w:tcPr>
            <w:tcW w:w="1020" w:type="dxa"/>
          </w:tcPr>
          <w:p w:rsidR="00557A6F" w:rsidRDefault="00557A6F" w:rsidP="00557A6F"/>
        </w:tc>
        <w:tc>
          <w:tcPr>
            <w:tcW w:w="4080" w:type="dxa"/>
          </w:tcPr>
          <w:p w:rsidR="00557A6F" w:rsidRDefault="00557A6F" w:rsidP="00557A6F">
            <w:r>
              <w:rPr>
                <w:rStyle w:val="halvfet0"/>
                <w:sz w:val="21"/>
                <w:szCs w:val="21"/>
              </w:rPr>
              <w:t>Personvern</w:t>
            </w: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p>
        </w:tc>
      </w:tr>
      <w:tr w:rsidR="00557A6F" w:rsidTr="00557A6F">
        <w:trPr>
          <w:trHeight w:val="380"/>
        </w:trPr>
        <w:tc>
          <w:tcPr>
            <w:tcW w:w="1020" w:type="dxa"/>
          </w:tcPr>
          <w:p w:rsidR="00557A6F" w:rsidRDefault="00557A6F" w:rsidP="00557A6F">
            <w:r>
              <w:t>3545</w:t>
            </w:r>
          </w:p>
        </w:tc>
        <w:tc>
          <w:tcPr>
            <w:tcW w:w="4080" w:type="dxa"/>
          </w:tcPr>
          <w:p w:rsidR="00557A6F" w:rsidRDefault="00557A6F" w:rsidP="00557A6F">
            <w:r>
              <w:t>Datatilsynet</w:t>
            </w:r>
          </w:p>
        </w:tc>
        <w:tc>
          <w:tcPr>
            <w:tcW w:w="1020" w:type="dxa"/>
          </w:tcPr>
          <w:p w:rsidR="00557A6F" w:rsidRDefault="00557A6F" w:rsidP="00557A6F">
            <w:pPr>
              <w:jc w:val="right"/>
            </w:pPr>
            <w:r>
              <w:t>7 581</w:t>
            </w: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p>
        </w:tc>
      </w:tr>
      <w:tr w:rsidR="00557A6F" w:rsidTr="00557A6F">
        <w:trPr>
          <w:trHeight w:val="380"/>
        </w:trPr>
        <w:tc>
          <w:tcPr>
            <w:tcW w:w="1020" w:type="dxa"/>
          </w:tcPr>
          <w:p w:rsidR="00557A6F" w:rsidRDefault="00557A6F" w:rsidP="00557A6F"/>
        </w:tc>
        <w:tc>
          <w:tcPr>
            <w:tcW w:w="4080" w:type="dxa"/>
          </w:tcPr>
          <w:p w:rsidR="00557A6F" w:rsidRDefault="00557A6F" w:rsidP="00557A6F">
            <w:r>
              <w:rPr>
                <w:rStyle w:val="kursiv"/>
                <w:sz w:val="21"/>
                <w:szCs w:val="21"/>
              </w:rPr>
              <w:t>Sum kategori 13.45</w:t>
            </w:r>
          </w:p>
        </w:tc>
        <w:tc>
          <w:tcPr>
            <w:tcW w:w="1020" w:type="dxa"/>
          </w:tcPr>
          <w:p w:rsidR="00557A6F" w:rsidRDefault="00557A6F" w:rsidP="00557A6F">
            <w:pPr>
              <w:jc w:val="right"/>
            </w:pPr>
            <w:r>
              <w:rPr>
                <w:rStyle w:val="kursiv"/>
                <w:sz w:val="21"/>
                <w:szCs w:val="21"/>
              </w:rPr>
              <w:t>7 581</w:t>
            </w: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p>
        </w:tc>
      </w:tr>
      <w:tr w:rsidR="00557A6F" w:rsidTr="00557A6F">
        <w:trPr>
          <w:trHeight w:val="380"/>
        </w:trPr>
        <w:tc>
          <w:tcPr>
            <w:tcW w:w="1020" w:type="dxa"/>
          </w:tcPr>
          <w:p w:rsidR="00557A6F" w:rsidRDefault="00557A6F" w:rsidP="00557A6F"/>
        </w:tc>
        <w:tc>
          <w:tcPr>
            <w:tcW w:w="4080" w:type="dxa"/>
          </w:tcPr>
          <w:p w:rsidR="00557A6F" w:rsidRDefault="00557A6F" w:rsidP="00557A6F">
            <w:r>
              <w:rPr>
                <w:rStyle w:val="halvfet0"/>
                <w:sz w:val="21"/>
                <w:szCs w:val="21"/>
              </w:rPr>
              <w:t>Distrikts- og regionalpolitikk</w:t>
            </w: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p>
        </w:tc>
      </w:tr>
      <w:tr w:rsidR="00557A6F" w:rsidTr="00557A6F">
        <w:trPr>
          <w:trHeight w:val="640"/>
        </w:trPr>
        <w:tc>
          <w:tcPr>
            <w:tcW w:w="1020" w:type="dxa"/>
          </w:tcPr>
          <w:p w:rsidR="00557A6F" w:rsidRDefault="00557A6F" w:rsidP="00557A6F">
            <w:r>
              <w:t>3554</w:t>
            </w:r>
          </w:p>
        </w:tc>
        <w:tc>
          <w:tcPr>
            <w:tcW w:w="4080" w:type="dxa"/>
          </w:tcPr>
          <w:p w:rsidR="00557A6F" w:rsidRDefault="00557A6F" w:rsidP="00557A6F">
            <w:r>
              <w:t>Kompetansesenter for distriktsu</w:t>
            </w:r>
            <w:r>
              <w:t>t</w:t>
            </w:r>
            <w:r>
              <w:t>vikling</w:t>
            </w:r>
          </w:p>
        </w:tc>
        <w:tc>
          <w:tcPr>
            <w:tcW w:w="1020" w:type="dxa"/>
          </w:tcPr>
          <w:p w:rsidR="00557A6F" w:rsidRDefault="00557A6F" w:rsidP="00557A6F">
            <w:pPr>
              <w:jc w:val="right"/>
            </w:pPr>
            <w:r>
              <w:t>53</w:t>
            </w: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p>
        </w:tc>
      </w:tr>
      <w:tr w:rsidR="00557A6F" w:rsidTr="00557A6F">
        <w:trPr>
          <w:trHeight w:val="380"/>
        </w:trPr>
        <w:tc>
          <w:tcPr>
            <w:tcW w:w="1020" w:type="dxa"/>
          </w:tcPr>
          <w:p w:rsidR="00557A6F" w:rsidRDefault="00557A6F" w:rsidP="00557A6F"/>
        </w:tc>
        <w:tc>
          <w:tcPr>
            <w:tcW w:w="4080" w:type="dxa"/>
          </w:tcPr>
          <w:p w:rsidR="00557A6F" w:rsidRDefault="00557A6F" w:rsidP="00557A6F">
            <w:r>
              <w:rPr>
                <w:rStyle w:val="kursiv"/>
                <w:sz w:val="21"/>
                <w:szCs w:val="21"/>
              </w:rPr>
              <w:t>Sum kategori 13.50</w:t>
            </w:r>
          </w:p>
        </w:tc>
        <w:tc>
          <w:tcPr>
            <w:tcW w:w="1020" w:type="dxa"/>
          </w:tcPr>
          <w:p w:rsidR="00557A6F" w:rsidRDefault="00557A6F" w:rsidP="00557A6F">
            <w:pPr>
              <w:jc w:val="right"/>
            </w:pPr>
            <w:r>
              <w:rPr>
                <w:rStyle w:val="kursiv"/>
                <w:sz w:val="21"/>
                <w:szCs w:val="21"/>
              </w:rPr>
              <w:t>53</w:t>
            </w: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p>
        </w:tc>
      </w:tr>
      <w:tr w:rsidR="00557A6F" w:rsidTr="00557A6F">
        <w:trPr>
          <w:trHeight w:val="380"/>
        </w:trPr>
        <w:tc>
          <w:tcPr>
            <w:tcW w:w="1020" w:type="dxa"/>
          </w:tcPr>
          <w:p w:rsidR="00557A6F" w:rsidRDefault="00557A6F" w:rsidP="00557A6F"/>
        </w:tc>
        <w:tc>
          <w:tcPr>
            <w:tcW w:w="4080" w:type="dxa"/>
          </w:tcPr>
          <w:p w:rsidR="00557A6F" w:rsidRDefault="00557A6F" w:rsidP="00557A6F">
            <w:r>
              <w:rPr>
                <w:rStyle w:val="halvfet0"/>
                <w:sz w:val="21"/>
                <w:szCs w:val="21"/>
              </w:rPr>
              <w:t>Samiske formål</w:t>
            </w: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p>
        </w:tc>
      </w:tr>
      <w:tr w:rsidR="00557A6F" w:rsidTr="00557A6F">
        <w:trPr>
          <w:trHeight w:val="380"/>
        </w:trPr>
        <w:tc>
          <w:tcPr>
            <w:tcW w:w="1020" w:type="dxa"/>
          </w:tcPr>
          <w:p w:rsidR="00557A6F" w:rsidRDefault="00557A6F" w:rsidP="00557A6F">
            <w:r>
              <w:t>3563</w:t>
            </w:r>
          </w:p>
        </w:tc>
        <w:tc>
          <w:tcPr>
            <w:tcW w:w="4080" w:type="dxa"/>
          </w:tcPr>
          <w:p w:rsidR="00557A6F" w:rsidRDefault="00557A6F" w:rsidP="00557A6F">
            <w:r>
              <w:t>Internasjonalt reindriftssenter</w:t>
            </w:r>
          </w:p>
        </w:tc>
        <w:tc>
          <w:tcPr>
            <w:tcW w:w="1020" w:type="dxa"/>
          </w:tcPr>
          <w:p w:rsidR="00557A6F" w:rsidRDefault="00557A6F" w:rsidP="00557A6F">
            <w:pPr>
              <w:jc w:val="right"/>
            </w:pPr>
            <w:r>
              <w:t>3 126</w:t>
            </w:r>
          </w:p>
        </w:tc>
        <w:tc>
          <w:tcPr>
            <w:tcW w:w="1020" w:type="dxa"/>
          </w:tcPr>
          <w:p w:rsidR="00557A6F" w:rsidRDefault="00557A6F" w:rsidP="00557A6F">
            <w:pPr>
              <w:jc w:val="right"/>
            </w:pPr>
            <w:r>
              <w:t>2 988</w:t>
            </w:r>
          </w:p>
        </w:tc>
        <w:tc>
          <w:tcPr>
            <w:tcW w:w="1020" w:type="dxa"/>
          </w:tcPr>
          <w:p w:rsidR="00557A6F" w:rsidRDefault="00557A6F" w:rsidP="00557A6F">
            <w:pPr>
              <w:jc w:val="right"/>
            </w:pPr>
            <w:r>
              <w:t>3 068</w:t>
            </w:r>
          </w:p>
        </w:tc>
        <w:tc>
          <w:tcPr>
            <w:tcW w:w="1020" w:type="dxa"/>
          </w:tcPr>
          <w:p w:rsidR="00557A6F" w:rsidRDefault="00557A6F" w:rsidP="00557A6F">
            <w:pPr>
              <w:jc w:val="right"/>
            </w:pPr>
            <w:r>
              <w:t>2,7</w:t>
            </w:r>
          </w:p>
        </w:tc>
      </w:tr>
      <w:tr w:rsidR="00557A6F" w:rsidTr="00557A6F">
        <w:trPr>
          <w:trHeight w:val="380"/>
        </w:trPr>
        <w:tc>
          <w:tcPr>
            <w:tcW w:w="1020" w:type="dxa"/>
          </w:tcPr>
          <w:p w:rsidR="00557A6F" w:rsidRDefault="00557A6F" w:rsidP="00557A6F"/>
        </w:tc>
        <w:tc>
          <w:tcPr>
            <w:tcW w:w="4080" w:type="dxa"/>
          </w:tcPr>
          <w:p w:rsidR="00557A6F" w:rsidRDefault="00557A6F" w:rsidP="00557A6F">
            <w:r>
              <w:rPr>
                <w:rStyle w:val="kursiv"/>
                <w:sz w:val="21"/>
                <w:szCs w:val="21"/>
              </w:rPr>
              <w:t>Sum kategori 13.60</w:t>
            </w:r>
          </w:p>
        </w:tc>
        <w:tc>
          <w:tcPr>
            <w:tcW w:w="1020" w:type="dxa"/>
          </w:tcPr>
          <w:p w:rsidR="00557A6F" w:rsidRDefault="00557A6F" w:rsidP="00557A6F">
            <w:pPr>
              <w:jc w:val="right"/>
            </w:pPr>
            <w:r>
              <w:rPr>
                <w:rStyle w:val="kursiv"/>
                <w:sz w:val="21"/>
                <w:szCs w:val="21"/>
              </w:rPr>
              <w:t>3 126</w:t>
            </w:r>
          </w:p>
        </w:tc>
        <w:tc>
          <w:tcPr>
            <w:tcW w:w="1020" w:type="dxa"/>
          </w:tcPr>
          <w:p w:rsidR="00557A6F" w:rsidRDefault="00557A6F" w:rsidP="00557A6F">
            <w:pPr>
              <w:jc w:val="right"/>
            </w:pPr>
            <w:r>
              <w:rPr>
                <w:rStyle w:val="kursiv"/>
                <w:sz w:val="21"/>
                <w:szCs w:val="21"/>
              </w:rPr>
              <w:t>2 988</w:t>
            </w:r>
          </w:p>
        </w:tc>
        <w:tc>
          <w:tcPr>
            <w:tcW w:w="1020" w:type="dxa"/>
          </w:tcPr>
          <w:p w:rsidR="00557A6F" w:rsidRDefault="00557A6F" w:rsidP="00557A6F">
            <w:pPr>
              <w:jc w:val="right"/>
            </w:pPr>
            <w:r>
              <w:rPr>
                <w:rStyle w:val="kursiv"/>
                <w:sz w:val="21"/>
                <w:szCs w:val="21"/>
              </w:rPr>
              <w:t>3 068</w:t>
            </w:r>
          </w:p>
        </w:tc>
        <w:tc>
          <w:tcPr>
            <w:tcW w:w="1020" w:type="dxa"/>
          </w:tcPr>
          <w:p w:rsidR="00557A6F" w:rsidRDefault="00557A6F" w:rsidP="00557A6F">
            <w:pPr>
              <w:jc w:val="right"/>
            </w:pPr>
            <w:r>
              <w:rPr>
                <w:rStyle w:val="kursiv"/>
                <w:sz w:val="21"/>
                <w:szCs w:val="21"/>
              </w:rPr>
              <w:t>2,7</w:t>
            </w:r>
          </w:p>
        </w:tc>
      </w:tr>
      <w:tr w:rsidR="00557A6F" w:rsidTr="00557A6F">
        <w:trPr>
          <w:trHeight w:val="380"/>
        </w:trPr>
        <w:tc>
          <w:tcPr>
            <w:tcW w:w="1020" w:type="dxa"/>
          </w:tcPr>
          <w:p w:rsidR="00557A6F" w:rsidRDefault="00557A6F" w:rsidP="00557A6F"/>
        </w:tc>
        <w:tc>
          <w:tcPr>
            <w:tcW w:w="4080" w:type="dxa"/>
          </w:tcPr>
          <w:p w:rsidR="00557A6F" w:rsidRDefault="00557A6F" w:rsidP="00557A6F">
            <w:r>
              <w:rPr>
                <w:rStyle w:val="halvfet0"/>
                <w:sz w:val="21"/>
                <w:szCs w:val="21"/>
              </w:rPr>
              <w:t>Kommunesektoren mv.</w:t>
            </w: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p>
        </w:tc>
      </w:tr>
      <w:tr w:rsidR="00557A6F" w:rsidTr="00557A6F">
        <w:trPr>
          <w:trHeight w:val="380"/>
        </w:trPr>
        <w:tc>
          <w:tcPr>
            <w:tcW w:w="1020" w:type="dxa"/>
          </w:tcPr>
          <w:p w:rsidR="00557A6F" w:rsidRDefault="00557A6F" w:rsidP="00557A6F">
            <w:r>
              <w:t>3571</w:t>
            </w:r>
          </w:p>
        </w:tc>
        <w:tc>
          <w:tcPr>
            <w:tcW w:w="4080" w:type="dxa"/>
          </w:tcPr>
          <w:p w:rsidR="00557A6F" w:rsidRDefault="00557A6F" w:rsidP="00557A6F">
            <w:r>
              <w:t>Tilbakeføring av forskudd</w:t>
            </w:r>
          </w:p>
        </w:tc>
        <w:tc>
          <w:tcPr>
            <w:tcW w:w="1020" w:type="dxa"/>
          </w:tcPr>
          <w:p w:rsidR="00557A6F" w:rsidRDefault="00557A6F" w:rsidP="00557A6F">
            <w:pPr>
              <w:jc w:val="right"/>
            </w:pPr>
            <w:r>
              <w:t>3 016</w:t>
            </w: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p>
        </w:tc>
      </w:tr>
      <w:tr w:rsidR="00557A6F" w:rsidTr="00557A6F">
        <w:trPr>
          <w:trHeight w:val="380"/>
        </w:trPr>
        <w:tc>
          <w:tcPr>
            <w:tcW w:w="1020" w:type="dxa"/>
          </w:tcPr>
          <w:p w:rsidR="00557A6F" w:rsidRDefault="00557A6F" w:rsidP="00557A6F">
            <w:r>
              <w:t>5616</w:t>
            </w:r>
          </w:p>
        </w:tc>
        <w:tc>
          <w:tcPr>
            <w:tcW w:w="4080" w:type="dxa"/>
          </w:tcPr>
          <w:p w:rsidR="00557A6F" w:rsidRDefault="00557A6F" w:rsidP="00557A6F">
            <w:r>
              <w:t>Kommunalbanken AS</w:t>
            </w:r>
          </w:p>
        </w:tc>
        <w:tc>
          <w:tcPr>
            <w:tcW w:w="1020" w:type="dxa"/>
          </w:tcPr>
          <w:p w:rsidR="00557A6F" w:rsidRDefault="00557A6F" w:rsidP="00557A6F">
            <w:pPr>
              <w:jc w:val="right"/>
            </w:pPr>
            <w:r>
              <w:t>443 000</w:t>
            </w:r>
          </w:p>
        </w:tc>
        <w:tc>
          <w:tcPr>
            <w:tcW w:w="1020" w:type="dxa"/>
          </w:tcPr>
          <w:p w:rsidR="00557A6F" w:rsidRDefault="00557A6F" w:rsidP="00557A6F">
            <w:pPr>
              <w:jc w:val="right"/>
            </w:pPr>
            <w:r>
              <w:t>481 000</w:t>
            </w:r>
          </w:p>
        </w:tc>
        <w:tc>
          <w:tcPr>
            <w:tcW w:w="1020" w:type="dxa"/>
          </w:tcPr>
          <w:p w:rsidR="00557A6F" w:rsidRDefault="00557A6F" w:rsidP="00557A6F">
            <w:pPr>
              <w:jc w:val="right"/>
            </w:pPr>
            <w:r>
              <w:t>510 000</w:t>
            </w:r>
          </w:p>
        </w:tc>
        <w:tc>
          <w:tcPr>
            <w:tcW w:w="1020" w:type="dxa"/>
          </w:tcPr>
          <w:p w:rsidR="00557A6F" w:rsidRDefault="00557A6F" w:rsidP="00557A6F">
            <w:pPr>
              <w:jc w:val="right"/>
            </w:pPr>
            <w:r>
              <w:t>6,0</w:t>
            </w:r>
          </w:p>
        </w:tc>
      </w:tr>
      <w:tr w:rsidR="00557A6F" w:rsidTr="00557A6F">
        <w:trPr>
          <w:trHeight w:val="380"/>
        </w:trPr>
        <w:tc>
          <w:tcPr>
            <w:tcW w:w="1020" w:type="dxa"/>
          </w:tcPr>
          <w:p w:rsidR="00557A6F" w:rsidRDefault="00557A6F" w:rsidP="00557A6F"/>
        </w:tc>
        <w:tc>
          <w:tcPr>
            <w:tcW w:w="4080" w:type="dxa"/>
          </w:tcPr>
          <w:p w:rsidR="00557A6F" w:rsidRDefault="00557A6F" w:rsidP="00557A6F">
            <w:r>
              <w:rPr>
                <w:rStyle w:val="kursiv"/>
                <w:sz w:val="21"/>
                <w:szCs w:val="21"/>
              </w:rPr>
              <w:t>Sum kategori 13.70</w:t>
            </w:r>
          </w:p>
        </w:tc>
        <w:tc>
          <w:tcPr>
            <w:tcW w:w="1020" w:type="dxa"/>
          </w:tcPr>
          <w:p w:rsidR="00557A6F" w:rsidRDefault="00557A6F" w:rsidP="00557A6F">
            <w:pPr>
              <w:jc w:val="right"/>
            </w:pPr>
            <w:r>
              <w:rPr>
                <w:rStyle w:val="kursiv"/>
                <w:sz w:val="21"/>
                <w:szCs w:val="21"/>
              </w:rPr>
              <w:t>446 016</w:t>
            </w:r>
          </w:p>
        </w:tc>
        <w:tc>
          <w:tcPr>
            <w:tcW w:w="1020" w:type="dxa"/>
          </w:tcPr>
          <w:p w:rsidR="00557A6F" w:rsidRDefault="00557A6F" w:rsidP="00557A6F">
            <w:pPr>
              <w:jc w:val="right"/>
            </w:pPr>
            <w:r>
              <w:rPr>
                <w:rStyle w:val="kursiv"/>
                <w:sz w:val="21"/>
                <w:szCs w:val="21"/>
              </w:rPr>
              <w:t>481 000</w:t>
            </w:r>
          </w:p>
        </w:tc>
        <w:tc>
          <w:tcPr>
            <w:tcW w:w="1020" w:type="dxa"/>
          </w:tcPr>
          <w:p w:rsidR="00557A6F" w:rsidRDefault="00557A6F" w:rsidP="00557A6F">
            <w:pPr>
              <w:jc w:val="right"/>
            </w:pPr>
            <w:r>
              <w:rPr>
                <w:rStyle w:val="kursiv"/>
                <w:sz w:val="21"/>
                <w:szCs w:val="21"/>
              </w:rPr>
              <w:t>510 000</w:t>
            </w:r>
          </w:p>
        </w:tc>
        <w:tc>
          <w:tcPr>
            <w:tcW w:w="1020" w:type="dxa"/>
          </w:tcPr>
          <w:p w:rsidR="00557A6F" w:rsidRDefault="00557A6F" w:rsidP="00557A6F">
            <w:pPr>
              <w:jc w:val="right"/>
            </w:pPr>
            <w:r>
              <w:rPr>
                <w:rStyle w:val="kursiv"/>
                <w:sz w:val="21"/>
                <w:szCs w:val="21"/>
              </w:rPr>
              <w:t>6,0</w:t>
            </w:r>
          </w:p>
        </w:tc>
      </w:tr>
      <w:tr w:rsidR="00557A6F" w:rsidTr="00557A6F">
        <w:trPr>
          <w:trHeight w:val="380"/>
        </w:trPr>
        <w:tc>
          <w:tcPr>
            <w:tcW w:w="1020" w:type="dxa"/>
          </w:tcPr>
          <w:p w:rsidR="00557A6F" w:rsidRDefault="00557A6F" w:rsidP="00557A6F"/>
        </w:tc>
        <w:tc>
          <w:tcPr>
            <w:tcW w:w="4080" w:type="dxa"/>
          </w:tcPr>
          <w:p w:rsidR="00557A6F" w:rsidRDefault="00557A6F" w:rsidP="00557A6F">
            <w:r>
              <w:rPr>
                <w:rStyle w:val="halvfet0"/>
                <w:sz w:val="21"/>
                <w:szCs w:val="21"/>
              </w:rPr>
              <w:t>Bolig, bomiljø og bygg</w:t>
            </w: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p>
        </w:tc>
      </w:tr>
      <w:tr w:rsidR="00557A6F" w:rsidTr="00557A6F">
        <w:trPr>
          <w:trHeight w:val="380"/>
        </w:trPr>
        <w:tc>
          <w:tcPr>
            <w:tcW w:w="1020" w:type="dxa"/>
          </w:tcPr>
          <w:p w:rsidR="00557A6F" w:rsidRDefault="00557A6F" w:rsidP="00557A6F">
            <w:r>
              <w:t>3585</w:t>
            </w:r>
          </w:p>
        </w:tc>
        <w:tc>
          <w:tcPr>
            <w:tcW w:w="4080" w:type="dxa"/>
          </w:tcPr>
          <w:p w:rsidR="00557A6F" w:rsidRDefault="00557A6F" w:rsidP="00557A6F">
            <w:r>
              <w:t>Husleietvistutvalget</w:t>
            </w:r>
          </w:p>
        </w:tc>
        <w:tc>
          <w:tcPr>
            <w:tcW w:w="1020" w:type="dxa"/>
          </w:tcPr>
          <w:p w:rsidR="00557A6F" w:rsidRDefault="00557A6F" w:rsidP="00557A6F">
            <w:pPr>
              <w:jc w:val="right"/>
            </w:pPr>
            <w:r>
              <w:t>1 621</w:t>
            </w:r>
          </w:p>
        </w:tc>
        <w:tc>
          <w:tcPr>
            <w:tcW w:w="1020" w:type="dxa"/>
          </w:tcPr>
          <w:p w:rsidR="00557A6F" w:rsidRDefault="00557A6F" w:rsidP="00557A6F">
            <w:pPr>
              <w:jc w:val="right"/>
            </w:pPr>
            <w:r>
              <w:t>1 472</w:t>
            </w:r>
          </w:p>
        </w:tc>
        <w:tc>
          <w:tcPr>
            <w:tcW w:w="1020" w:type="dxa"/>
          </w:tcPr>
          <w:p w:rsidR="00557A6F" w:rsidRDefault="00557A6F" w:rsidP="00557A6F">
            <w:pPr>
              <w:jc w:val="right"/>
            </w:pPr>
            <w:r>
              <w:t>1 915</w:t>
            </w:r>
          </w:p>
        </w:tc>
        <w:tc>
          <w:tcPr>
            <w:tcW w:w="1020" w:type="dxa"/>
          </w:tcPr>
          <w:p w:rsidR="00557A6F" w:rsidRDefault="00557A6F" w:rsidP="00557A6F">
            <w:pPr>
              <w:jc w:val="right"/>
            </w:pPr>
            <w:r>
              <w:t>30,1</w:t>
            </w:r>
          </w:p>
        </w:tc>
      </w:tr>
      <w:tr w:rsidR="00557A6F" w:rsidTr="00557A6F">
        <w:trPr>
          <w:trHeight w:val="380"/>
        </w:trPr>
        <w:tc>
          <w:tcPr>
            <w:tcW w:w="1020" w:type="dxa"/>
          </w:tcPr>
          <w:p w:rsidR="00557A6F" w:rsidRDefault="00557A6F" w:rsidP="00557A6F">
            <w:r>
              <w:t>3587</w:t>
            </w:r>
          </w:p>
        </w:tc>
        <w:tc>
          <w:tcPr>
            <w:tcW w:w="4080" w:type="dxa"/>
          </w:tcPr>
          <w:p w:rsidR="00557A6F" w:rsidRDefault="00557A6F" w:rsidP="00557A6F">
            <w:r>
              <w:t>Direktoratet for byggkvalitet</w:t>
            </w:r>
          </w:p>
        </w:tc>
        <w:tc>
          <w:tcPr>
            <w:tcW w:w="1020" w:type="dxa"/>
          </w:tcPr>
          <w:p w:rsidR="00557A6F" w:rsidRDefault="00557A6F" w:rsidP="00557A6F">
            <w:pPr>
              <w:jc w:val="right"/>
            </w:pPr>
            <w:r>
              <w:t>42 278</w:t>
            </w:r>
          </w:p>
        </w:tc>
        <w:tc>
          <w:tcPr>
            <w:tcW w:w="1020" w:type="dxa"/>
          </w:tcPr>
          <w:p w:rsidR="00557A6F" w:rsidRDefault="00557A6F" w:rsidP="00557A6F">
            <w:pPr>
              <w:jc w:val="right"/>
            </w:pPr>
            <w:r>
              <w:t>44 137</w:t>
            </w:r>
          </w:p>
        </w:tc>
        <w:tc>
          <w:tcPr>
            <w:tcW w:w="1020" w:type="dxa"/>
          </w:tcPr>
          <w:p w:rsidR="00557A6F" w:rsidRDefault="00557A6F" w:rsidP="00557A6F">
            <w:pPr>
              <w:jc w:val="right"/>
            </w:pPr>
            <w:r>
              <w:t>41 108</w:t>
            </w:r>
          </w:p>
        </w:tc>
        <w:tc>
          <w:tcPr>
            <w:tcW w:w="1020" w:type="dxa"/>
          </w:tcPr>
          <w:p w:rsidR="00557A6F" w:rsidRDefault="00557A6F" w:rsidP="00557A6F">
            <w:pPr>
              <w:jc w:val="right"/>
            </w:pPr>
            <w:r>
              <w:t>-6,9</w:t>
            </w:r>
          </w:p>
        </w:tc>
      </w:tr>
      <w:tr w:rsidR="00557A6F" w:rsidTr="00557A6F">
        <w:trPr>
          <w:trHeight w:val="380"/>
        </w:trPr>
        <w:tc>
          <w:tcPr>
            <w:tcW w:w="1020" w:type="dxa"/>
          </w:tcPr>
          <w:p w:rsidR="00557A6F" w:rsidRDefault="00557A6F" w:rsidP="00557A6F">
            <w:r>
              <w:t>5312</w:t>
            </w:r>
          </w:p>
        </w:tc>
        <w:tc>
          <w:tcPr>
            <w:tcW w:w="4080" w:type="dxa"/>
          </w:tcPr>
          <w:p w:rsidR="00557A6F" w:rsidRDefault="00557A6F" w:rsidP="00557A6F">
            <w:r>
              <w:t>Husbanken</w:t>
            </w:r>
          </w:p>
        </w:tc>
        <w:tc>
          <w:tcPr>
            <w:tcW w:w="1020" w:type="dxa"/>
          </w:tcPr>
          <w:p w:rsidR="00557A6F" w:rsidRDefault="00557A6F" w:rsidP="00557A6F">
            <w:pPr>
              <w:jc w:val="right"/>
            </w:pPr>
            <w:r>
              <w:t>12 491 281</w:t>
            </w:r>
          </w:p>
        </w:tc>
        <w:tc>
          <w:tcPr>
            <w:tcW w:w="1020" w:type="dxa"/>
          </w:tcPr>
          <w:p w:rsidR="00557A6F" w:rsidRDefault="00557A6F" w:rsidP="00557A6F">
            <w:pPr>
              <w:jc w:val="right"/>
            </w:pPr>
            <w:r>
              <w:t>12 423 383</w:t>
            </w:r>
          </w:p>
        </w:tc>
        <w:tc>
          <w:tcPr>
            <w:tcW w:w="1020" w:type="dxa"/>
          </w:tcPr>
          <w:p w:rsidR="00557A6F" w:rsidRDefault="00557A6F" w:rsidP="00557A6F">
            <w:pPr>
              <w:jc w:val="right"/>
            </w:pPr>
            <w:r>
              <w:t>12 782 663</w:t>
            </w:r>
          </w:p>
        </w:tc>
        <w:tc>
          <w:tcPr>
            <w:tcW w:w="1020" w:type="dxa"/>
          </w:tcPr>
          <w:p w:rsidR="00557A6F" w:rsidRDefault="00557A6F" w:rsidP="00557A6F">
            <w:pPr>
              <w:jc w:val="right"/>
            </w:pPr>
            <w:r>
              <w:t>2,9</w:t>
            </w:r>
          </w:p>
        </w:tc>
      </w:tr>
      <w:tr w:rsidR="00557A6F" w:rsidTr="00557A6F">
        <w:trPr>
          <w:trHeight w:val="380"/>
        </w:trPr>
        <w:tc>
          <w:tcPr>
            <w:tcW w:w="1020" w:type="dxa"/>
          </w:tcPr>
          <w:p w:rsidR="00557A6F" w:rsidRDefault="00557A6F" w:rsidP="00557A6F">
            <w:r>
              <w:lastRenderedPageBreak/>
              <w:t>5615</w:t>
            </w:r>
          </w:p>
        </w:tc>
        <w:tc>
          <w:tcPr>
            <w:tcW w:w="4080" w:type="dxa"/>
          </w:tcPr>
          <w:p w:rsidR="00557A6F" w:rsidRDefault="00557A6F" w:rsidP="00557A6F">
            <w:r>
              <w:t>Husbanken</w:t>
            </w:r>
          </w:p>
        </w:tc>
        <w:tc>
          <w:tcPr>
            <w:tcW w:w="1020" w:type="dxa"/>
          </w:tcPr>
          <w:p w:rsidR="00557A6F" w:rsidRDefault="00557A6F" w:rsidP="00557A6F">
            <w:pPr>
              <w:jc w:val="right"/>
            </w:pPr>
            <w:r>
              <w:t>2 893 508</w:t>
            </w:r>
          </w:p>
        </w:tc>
        <w:tc>
          <w:tcPr>
            <w:tcW w:w="1020" w:type="dxa"/>
          </w:tcPr>
          <w:p w:rsidR="00557A6F" w:rsidRDefault="00557A6F" w:rsidP="00557A6F">
            <w:pPr>
              <w:jc w:val="right"/>
            </w:pPr>
            <w:r>
              <w:t>3 309 000</w:t>
            </w:r>
          </w:p>
        </w:tc>
        <w:tc>
          <w:tcPr>
            <w:tcW w:w="1020" w:type="dxa"/>
          </w:tcPr>
          <w:p w:rsidR="00557A6F" w:rsidRDefault="00557A6F" w:rsidP="00557A6F">
            <w:pPr>
              <w:jc w:val="right"/>
            </w:pPr>
            <w:r>
              <w:t>3 386 000</w:t>
            </w:r>
          </w:p>
        </w:tc>
        <w:tc>
          <w:tcPr>
            <w:tcW w:w="1020" w:type="dxa"/>
          </w:tcPr>
          <w:p w:rsidR="00557A6F" w:rsidRDefault="00557A6F" w:rsidP="00557A6F">
            <w:pPr>
              <w:jc w:val="right"/>
            </w:pPr>
            <w:r>
              <w:t>2,3</w:t>
            </w:r>
          </w:p>
        </w:tc>
      </w:tr>
      <w:tr w:rsidR="00557A6F" w:rsidTr="00557A6F">
        <w:trPr>
          <w:trHeight w:val="380"/>
        </w:trPr>
        <w:tc>
          <w:tcPr>
            <w:tcW w:w="1020" w:type="dxa"/>
          </w:tcPr>
          <w:p w:rsidR="00557A6F" w:rsidRDefault="00557A6F" w:rsidP="00557A6F"/>
        </w:tc>
        <w:tc>
          <w:tcPr>
            <w:tcW w:w="4080" w:type="dxa"/>
          </w:tcPr>
          <w:p w:rsidR="00557A6F" w:rsidRDefault="00557A6F" w:rsidP="00557A6F">
            <w:r>
              <w:rPr>
                <w:rStyle w:val="kursiv"/>
                <w:sz w:val="21"/>
                <w:szCs w:val="21"/>
              </w:rPr>
              <w:t>Sum kategori 13.80</w:t>
            </w:r>
          </w:p>
        </w:tc>
        <w:tc>
          <w:tcPr>
            <w:tcW w:w="1020" w:type="dxa"/>
          </w:tcPr>
          <w:p w:rsidR="00557A6F" w:rsidRDefault="00557A6F" w:rsidP="00557A6F">
            <w:pPr>
              <w:jc w:val="right"/>
            </w:pPr>
            <w:r>
              <w:rPr>
                <w:rStyle w:val="kursiv"/>
                <w:sz w:val="21"/>
                <w:szCs w:val="21"/>
              </w:rPr>
              <w:t>15 428 688</w:t>
            </w:r>
          </w:p>
        </w:tc>
        <w:tc>
          <w:tcPr>
            <w:tcW w:w="1020" w:type="dxa"/>
          </w:tcPr>
          <w:p w:rsidR="00557A6F" w:rsidRDefault="00557A6F" w:rsidP="00557A6F">
            <w:pPr>
              <w:jc w:val="right"/>
            </w:pPr>
            <w:r>
              <w:rPr>
                <w:rStyle w:val="kursiv"/>
                <w:sz w:val="21"/>
                <w:szCs w:val="21"/>
              </w:rPr>
              <w:t>15 777 992</w:t>
            </w:r>
          </w:p>
        </w:tc>
        <w:tc>
          <w:tcPr>
            <w:tcW w:w="1020" w:type="dxa"/>
          </w:tcPr>
          <w:p w:rsidR="00557A6F" w:rsidRDefault="00557A6F" w:rsidP="00557A6F">
            <w:pPr>
              <w:jc w:val="right"/>
            </w:pPr>
            <w:r>
              <w:rPr>
                <w:rStyle w:val="kursiv"/>
                <w:sz w:val="21"/>
                <w:szCs w:val="21"/>
              </w:rPr>
              <w:t>16 211 686</w:t>
            </w:r>
          </w:p>
        </w:tc>
        <w:tc>
          <w:tcPr>
            <w:tcW w:w="1020" w:type="dxa"/>
          </w:tcPr>
          <w:p w:rsidR="00557A6F" w:rsidRDefault="00557A6F" w:rsidP="00557A6F">
            <w:pPr>
              <w:jc w:val="right"/>
            </w:pPr>
            <w:r>
              <w:rPr>
                <w:rStyle w:val="kursiv"/>
                <w:sz w:val="21"/>
                <w:szCs w:val="21"/>
              </w:rPr>
              <w:t>2,7</w:t>
            </w:r>
          </w:p>
        </w:tc>
      </w:tr>
      <w:tr w:rsidR="00557A6F" w:rsidTr="00557A6F">
        <w:trPr>
          <w:trHeight w:val="640"/>
        </w:trPr>
        <w:tc>
          <w:tcPr>
            <w:tcW w:w="1020" w:type="dxa"/>
          </w:tcPr>
          <w:p w:rsidR="00557A6F" w:rsidRDefault="00557A6F" w:rsidP="00557A6F"/>
        </w:tc>
        <w:tc>
          <w:tcPr>
            <w:tcW w:w="4080" w:type="dxa"/>
          </w:tcPr>
          <w:p w:rsidR="00557A6F" w:rsidRDefault="00557A6F" w:rsidP="00557A6F">
            <w:r>
              <w:rPr>
                <w:rStyle w:val="halvfet0"/>
                <w:sz w:val="21"/>
                <w:szCs w:val="21"/>
              </w:rPr>
              <w:t>Planlegging, byutvikling og geodata</w:t>
            </w: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p>
        </w:tc>
      </w:tr>
      <w:tr w:rsidR="00557A6F" w:rsidTr="00557A6F">
        <w:trPr>
          <w:trHeight w:val="380"/>
        </w:trPr>
        <w:tc>
          <w:tcPr>
            <w:tcW w:w="1020" w:type="dxa"/>
          </w:tcPr>
          <w:p w:rsidR="00557A6F" w:rsidRDefault="00557A6F" w:rsidP="00557A6F">
            <w:r>
              <w:t>3595</w:t>
            </w:r>
          </w:p>
        </w:tc>
        <w:tc>
          <w:tcPr>
            <w:tcW w:w="4080" w:type="dxa"/>
          </w:tcPr>
          <w:p w:rsidR="00557A6F" w:rsidRDefault="00557A6F" w:rsidP="00557A6F">
            <w:r>
              <w:t>Statens kartverk</w:t>
            </w:r>
          </w:p>
        </w:tc>
        <w:tc>
          <w:tcPr>
            <w:tcW w:w="1020" w:type="dxa"/>
          </w:tcPr>
          <w:p w:rsidR="00557A6F" w:rsidRDefault="00557A6F" w:rsidP="00557A6F">
            <w:pPr>
              <w:jc w:val="right"/>
            </w:pPr>
            <w:r>
              <w:t>852 535</w:t>
            </w:r>
          </w:p>
        </w:tc>
        <w:tc>
          <w:tcPr>
            <w:tcW w:w="1020" w:type="dxa"/>
          </w:tcPr>
          <w:p w:rsidR="00557A6F" w:rsidRDefault="00557A6F" w:rsidP="00557A6F">
            <w:pPr>
              <w:jc w:val="right"/>
            </w:pPr>
            <w:r>
              <w:t>755 081</w:t>
            </w:r>
          </w:p>
        </w:tc>
        <w:tc>
          <w:tcPr>
            <w:tcW w:w="1020" w:type="dxa"/>
          </w:tcPr>
          <w:p w:rsidR="00557A6F" w:rsidRDefault="00557A6F" w:rsidP="00557A6F">
            <w:pPr>
              <w:jc w:val="right"/>
            </w:pPr>
            <w:r>
              <w:t>809 531</w:t>
            </w:r>
          </w:p>
        </w:tc>
        <w:tc>
          <w:tcPr>
            <w:tcW w:w="1020" w:type="dxa"/>
          </w:tcPr>
          <w:p w:rsidR="00557A6F" w:rsidRDefault="00557A6F" w:rsidP="00557A6F">
            <w:pPr>
              <w:jc w:val="right"/>
            </w:pPr>
            <w:r>
              <w:t>7,2</w:t>
            </w:r>
          </w:p>
        </w:tc>
      </w:tr>
      <w:tr w:rsidR="00557A6F" w:rsidTr="00557A6F">
        <w:trPr>
          <w:trHeight w:val="380"/>
        </w:trPr>
        <w:tc>
          <w:tcPr>
            <w:tcW w:w="1020" w:type="dxa"/>
          </w:tcPr>
          <w:p w:rsidR="00557A6F" w:rsidRDefault="00557A6F" w:rsidP="00557A6F"/>
        </w:tc>
        <w:tc>
          <w:tcPr>
            <w:tcW w:w="4080" w:type="dxa"/>
          </w:tcPr>
          <w:p w:rsidR="00557A6F" w:rsidRDefault="00557A6F" w:rsidP="00557A6F">
            <w:r>
              <w:rPr>
                <w:rStyle w:val="kursiv"/>
                <w:sz w:val="21"/>
                <w:szCs w:val="21"/>
              </w:rPr>
              <w:t>Sum kategori 13.90</w:t>
            </w:r>
          </w:p>
        </w:tc>
        <w:tc>
          <w:tcPr>
            <w:tcW w:w="1020" w:type="dxa"/>
          </w:tcPr>
          <w:p w:rsidR="00557A6F" w:rsidRDefault="00557A6F" w:rsidP="00557A6F">
            <w:pPr>
              <w:jc w:val="right"/>
            </w:pPr>
            <w:r>
              <w:rPr>
                <w:rStyle w:val="kursiv"/>
                <w:sz w:val="21"/>
                <w:szCs w:val="21"/>
              </w:rPr>
              <w:t>852 535</w:t>
            </w:r>
          </w:p>
        </w:tc>
        <w:tc>
          <w:tcPr>
            <w:tcW w:w="1020" w:type="dxa"/>
          </w:tcPr>
          <w:p w:rsidR="00557A6F" w:rsidRDefault="00557A6F" w:rsidP="00557A6F">
            <w:pPr>
              <w:jc w:val="right"/>
            </w:pPr>
            <w:r>
              <w:rPr>
                <w:rStyle w:val="kursiv"/>
                <w:sz w:val="21"/>
                <w:szCs w:val="21"/>
              </w:rPr>
              <w:t>755 081</w:t>
            </w:r>
          </w:p>
        </w:tc>
        <w:tc>
          <w:tcPr>
            <w:tcW w:w="1020" w:type="dxa"/>
          </w:tcPr>
          <w:p w:rsidR="00557A6F" w:rsidRDefault="00557A6F" w:rsidP="00557A6F">
            <w:pPr>
              <w:jc w:val="right"/>
            </w:pPr>
            <w:r>
              <w:rPr>
                <w:rStyle w:val="kursiv"/>
                <w:sz w:val="21"/>
                <w:szCs w:val="21"/>
              </w:rPr>
              <w:t>809 531</w:t>
            </w:r>
          </w:p>
        </w:tc>
        <w:tc>
          <w:tcPr>
            <w:tcW w:w="1020" w:type="dxa"/>
          </w:tcPr>
          <w:p w:rsidR="00557A6F" w:rsidRDefault="00557A6F" w:rsidP="00557A6F">
            <w:pPr>
              <w:jc w:val="right"/>
            </w:pPr>
            <w:r>
              <w:rPr>
                <w:rStyle w:val="kursiv"/>
                <w:sz w:val="21"/>
                <w:szCs w:val="21"/>
              </w:rPr>
              <w:t>7,2</w:t>
            </w:r>
          </w:p>
        </w:tc>
      </w:tr>
      <w:tr w:rsidR="00557A6F" w:rsidTr="00557A6F">
        <w:trPr>
          <w:trHeight w:val="380"/>
        </w:trPr>
        <w:tc>
          <w:tcPr>
            <w:tcW w:w="1020" w:type="dxa"/>
          </w:tcPr>
          <w:p w:rsidR="00557A6F" w:rsidRDefault="00557A6F" w:rsidP="00557A6F"/>
        </w:tc>
        <w:tc>
          <w:tcPr>
            <w:tcW w:w="4080" w:type="dxa"/>
          </w:tcPr>
          <w:p w:rsidR="00557A6F" w:rsidRDefault="00557A6F" w:rsidP="00557A6F">
            <w:r>
              <w:t>Sum programområde 13</w:t>
            </w:r>
          </w:p>
        </w:tc>
        <w:tc>
          <w:tcPr>
            <w:tcW w:w="1020" w:type="dxa"/>
          </w:tcPr>
          <w:p w:rsidR="00557A6F" w:rsidRDefault="00557A6F" w:rsidP="00557A6F">
            <w:pPr>
              <w:jc w:val="right"/>
            </w:pPr>
            <w:r>
              <w:t>18 500 154</w:t>
            </w:r>
          </w:p>
        </w:tc>
        <w:tc>
          <w:tcPr>
            <w:tcW w:w="1020" w:type="dxa"/>
          </w:tcPr>
          <w:p w:rsidR="00557A6F" w:rsidRDefault="00557A6F" w:rsidP="00557A6F">
            <w:pPr>
              <w:jc w:val="right"/>
            </w:pPr>
            <w:r>
              <w:t>18 611 376</w:t>
            </w:r>
          </w:p>
        </w:tc>
        <w:tc>
          <w:tcPr>
            <w:tcW w:w="1020" w:type="dxa"/>
          </w:tcPr>
          <w:p w:rsidR="00557A6F" w:rsidRDefault="00557A6F" w:rsidP="00557A6F">
            <w:pPr>
              <w:jc w:val="right"/>
            </w:pPr>
            <w:r>
              <w:t>19 350 181</w:t>
            </w:r>
          </w:p>
        </w:tc>
        <w:tc>
          <w:tcPr>
            <w:tcW w:w="1020" w:type="dxa"/>
          </w:tcPr>
          <w:p w:rsidR="00557A6F" w:rsidRDefault="00557A6F" w:rsidP="00557A6F">
            <w:pPr>
              <w:jc w:val="right"/>
            </w:pPr>
            <w:r>
              <w:t>4,0</w:t>
            </w:r>
          </w:p>
        </w:tc>
      </w:tr>
      <w:tr w:rsidR="00557A6F" w:rsidTr="00557A6F">
        <w:trPr>
          <w:trHeight w:val="380"/>
        </w:trPr>
        <w:tc>
          <w:tcPr>
            <w:tcW w:w="1020" w:type="dxa"/>
          </w:tcPr>
          <w:p w:rsidR="00557A6F" w:rsidRDefault="00557A6F" w:rsidP="00557A6F"/>
        </w:tc>
        <w:tc>
          <w:tcPr>
            <w:tcW w:w="4080" w:type="dxa"/>
          </w:tcPr>
          <w:p w:rsidR="00557A6F" w:rsidRDefault="00557A6F" w:rsidP="00557A6F">
            <w:r>
              <w:t>Sum inntekter</w:t>
            </w:r>
          </w:p>
        </w:tc>
        <w:tc>
          <w:tcPr>
            <w:tcW w:w="1020" w:type="dxa"/>
          </w:tcPr>
          <w:p w:rsidR="00557A6F" w:rsidRDefault="00557A6F" w:rsidP="00557A6F">
            <w:pPr>
              <w:jc w:val="right"/>
            </w:pPr>
            <w:r>
              <w:t>18 500 154</w:t>
            </w:r>
          </w:p>
        </w:tc>
        <w:tc>
          <w:tcPr>
            <w:tcW w:w="1020" w:type="dxa"/>
          </w:tcPr>
          <w:p w:rsidR="00557A6F" w:rsidRDefault="00557A6F" w:rsidP="00557A6F">
            <w:pPr>
              <w:jc w:val="right"/>
            </w:pPr>
            <w:r>
              <w:t>18 611 376</w:t>
            </w:r>
          </w:p>
        </w:tc>
        <w:tc>
          <w:tcPr>
            <w:tcW w:w="1020" w:type="dxa"/>
          </w:tcPr>
          <w:p w:rsidR="00557A6F" w:rsidRDefault="00557A6F" w:rsidP="00557A6F">
            <w:pPr>
              <w:jc w:val="right"/>
            </w:pPr>
            <w:r>
              <w:t>19 350 181</w:t>
            </w:r>
          </w:p>
        </w:tc>
        <w:tc>
          <w:tcPr>
            <w:tcW w:w="1020" w:type="dxa"/>
          </w:tcPr>
          <w:p w:rsidR="00557A6F" w:rsidRDefault="00557A6F" w:rsidP="00557A6F">
            <w:pPr>
              <w:jc w:val="right"/>
            </w:pPr>
            <w:r>
              <w:t>4,0</w:t>
            </w:r>
          </w:p>
        </w:tc>
      </w:tr>
    </w:tbl>
    <w:p w:rsidR="00557A6F" w:rsidRDefault="00557A6F" w:rsidP="00557A6F">
      <w:pPr>
        <w:pStyle w:val="del-nr"/>
      </w:pPr>
      <w:r>
        <w:t>Del II</w:t>
      </w:r>
    </w:p>
    <w:p w:rsidR="00557A6F" w:rsidRDefault="00557A6F" w:rsidP="00557A6F">
      <w:pPr>
        <w:pStyle w:val="del-tittel"/>
        <w:rPr>
          <w:w w:val="100"/>
        </w:rPr>
      </w:pPr>
      <w:r>
        <w:rPr>
          <w:w w:val="100"/>
        </w:rPr>
        <w:t>Budsjettforslag</w:t>
      </w:r>
    </w:p>
    <w:p w:rsidR="00557A6F" w:rsidRDefault="00557A6F" w:rsidP="00557A6F">
      <w:pPr>
        <w:pStyle w:val="Overskrift1"/>
      </w:pPr>
      <w:r>
        <w:lastRenderedPageBreak/>
        <w:t>Nærmere om budsjettforslaget mv.</w:t>
      </w:r>
    </w:p>
    <w:p w:rsidR="00557A6F" w:rsidRDefault="00557A6F" w:rsidP="00557A6F">
      <w:pPr>
        <w:pStyle w:val="b-progomr"/>
      </w:pPr>
      <w:r>
        <w:t>Programområde 00 Konstitusjonelle institusjoner</w:t>
      </w:r>
    </w:p>
    <w:p w:rsidR="00557A6F" w:rsidRDefault="00557A6F" w:rsidP="00557A6F">
      <w:pPr>
        <w:pStyle w:val="b-progkat"/>
      </w:pPr>
      <w:r>
        <w:t>Programkategori 00.10 Det kongelige hus</w:t>
      </w:r>
    </w:p>
    <w:p w:rsidR="00557A6F" w:rsidRDefault="00557A6F" w:rsidP="00557A6F">
      <w:pPr>
        <w:pStyle w:val="avsnitt-tittel"/>
      </w:pPr>
      <w:r>
        <w:t>Utgifter under programkategori 00.10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557A6F" w:rsidTr="00557A6F">
        <w:trPr>
          <w:trHeight w:val="640"/>
        </w:trPr>
        <w:tc>
          <w:tcPr>
            <w:tcW w:w="1020" w:type="dxa"/>
            <w:shd w:val="clear" w:color="auto" w:fill="FFFFFF"/>
          </w:tcPr>
          <w:p w:rsidR="00557A6F" w:rsidRDefault="00557A6F" w:rsidP="00557A6F">
            <w:pPr>
              <w:pStyle w:val="Tabellnavn"/>
            </w:pPr>
            <w:r>
              <w:t>PIKL</w:t>
            </w:r>
          </w:p>
        </w:tc>
        <w:tc>
          <w:tcPr>
            <w:tcW w:w="4080" w:type="dxa"/>
          </w:tcPr>
          <w:p w:rsidR="00557A6F" w:rsidRDefault="00557A6F" w:rsidP="00557A6F"/>
        </w:tc>
        <w:tc>
          <w:tcPr>
            <w:tcW w:w="1020" w:type="dxa"/>
          </w:tcPr>
          <w:p w:rsidR="00557A6F" w:rsidRDefault="00557A6F" w:rsidP="00557A6F">
            <w:pPr>
              <w:pStyle w:val="Tabellnavn"/>
              <w:jc w:val="right"/>
            </w:pPr>
          </w:p>
        </w:tc>
        <w:tc>
          <w:tcPr>
            <w:tcW w:w="1020" w:type="dxa"/>
          </w:tcPr>
          <w:p w:rsidR="00557A6F" w:rsidRDefault="00557A6F" w:rsidP="00557A6F">
            <w:pPr>
              <w:pStyle w:val="Tabellnavn"/>
              <w:jc w:val="right"/>
            </w:pPr>
          </w:p>
        </w:tc>
        <w:tc>
          <w:tcPr>
            <w:tcW w:w="1020" w:type="dxa"/>
          </w:tcPr>
          <w:p w:rsidR="00557A6F" w:rsidRDefault="00557A6F" w:rsidP="00557A6F">
            <w:pPr>
              <w:pStyle w:val="Tabellnavn"/>
              <w:jc w:val="right"/>
            </w:pPr>
          </w:p>
        </w:tc>
        <w:tc>
          <w:tcPr>
            <w:tcW w:w="1020" w:type="dxa"/>
          </w:tcPr>
          <w:p w:rsidR="00557A6F" w:rsidRDefault="00557A6F" w:rsidP="00557A6F">
            <w:pPr>
              <w:jc w:val="right"/>
            </w:pPr>
            <w:r>
              <w:t>(i 1 000 kr)</w:t>
            </w:r>
          </w:p>
        </w:tc>
      </w:tr>
      <w:tr w:rsidR="00557A6F" w:rsidTr="00557A6F">
        <w:trPr>
          <w:trHeight w:val="600"/>
        </w:trPr>
        <w:tc>
          <w:tcPr>
            <w:tcW w:w="1020" w:type="dxa"/>
          </w:tcPr>
          <w:p w:rsidR="00557A6F" w:rsidRDefault="00557A6F" w:rsidP="00557A6F">
            <w:r>
              <w:t>Kap.</w:t>
            </w:r>
          </w:p>
        </w:tc>
        <w:tc>
          <w:tcPr>
            <w:tcW w:w="4080" w:type="dxa"/>
          </w:tcPr>
          <w:p w:rsidR="00557A6F" w:rsidRDefault="00557A6F" w:rsidP="00557A6F">
            <w:r>
              <w:t>Betegnelse</w:t>
            </w:r>
          </w:p>
        </w:tc>
        <w:tc>
          <w:tcPr>
            <w:tcW w:w="1020" w:type="dxa"/>
          </w:tcPr>
          <w:p w:rsidR="00557A6F" w:rsidRDefault="00557A6F" w:rsidP="00557A6F">
            <w:pPr>
              <w:jc w:val="right"/>
            </w:pPr>
            <w:r>
              <w:t>Reg</w:t>
            </w:r>
            <w:r>
              <w:t>n</w:t>
            </w:r>
            <w:r>
              <w:t>skap 2018</w:t>
            </w:r>
          </w:p>
        </w:tc>
        <w:tc>
          <w:tcPr>
            <w:tcW w:w="1020" w:type="dxa"/>
          </w:tcPr>
          <w:p w:rsidR="00557A6F" w:rsidRDefault="00557A6F" w:rsidP="00557A6F">
            <w:pPr>
              <w:jc w:val="right"/>
            </w:pPr>
            <w:r>
              <w:t xml:space="preserve">Saldert </w:t>
            </w:r>
            <w:r>
              <w:br/>
              <w:t>budsjett 2019</w:t>
            </w:r>
          </w:p>
        </w:tc>
        <w:tc>
          <w:tcPr>
            <w:tcW w:w="1020" w:type="dxa"/>
          </w:tcPr>
          <w:p w:rsidR="00557A6F" w:rsidRDefault="00557A6F" w:rsidP="00557A6F">
            <w:pPr>
              <w:jc w:val="right"/>
            </w:pPr>
            <w:r>
              <w:t xml:space="preserve">Forslag </w:t>
            </w:r>
            <w:r>
              <w:br/>
              <w:t>2020</w:t>
            </w:r>
          </w:p>
        </w:tc>
        <w:tc>
          <w:tcPr>
            <w:tcW w:w="1020" w:type="dxa"/>
          </w:tcPr>
          <w:p w:rsidR="00557A6F" w:rsidRDefault="00557A6F" w:rsidP="00557A6F">
            <w:pPr>
              <w:jc w:val="right"/>
            </w:pPr>
            <w:r>
              <w:t xml:space="preserve">Pst. endr. </w:t>
            </w:r>
            <w:r>
              <w:br/>
              <w:t>19/20</w:t>
            </w:r>
          </w:p>
        </w:tc>
      </w:tr>
      <w:tr w:rsidR="00557A6F" w:rsidTr="00557A6F">
        <w:trPr>
          <w:trHeight w:val="380"/>
        </w:trPr>
        <w:tc>
          <w:tcPr>
            <w:tcW w:w="1020" w:type="dxa"/>
          </w:tcPr>
          <w:p w:rsidR="00557A6F" w:rsidRDefault="00557A6F" w:rsidP="00557A6F">
            <w:r>
              <w:t>1</w:t>
            </w:r>
          </w:p>
        </w:tc>
        <w:tc>
          <w:tcPr>
            <w:tcW w:w="4080" w:type="dxa"/>
          </w:tcPr>
          <w:p w:rsidR="00557A6F" w:rsidRDefault="00557A6F" w:rsidP="00557A6F">
            <w:r>
              <w:t>H.M. Kongen og H.M. Dronningen</w:t>
            </w:r>
          </w:p>
        </w:tc>
        <w:tc>
          <w:tcPr>
            <w:tcW w:w="1020" w:type="dxa"/>
          </w:tcPr>
          <w:p w:rsidR="00557A6F" w:rsidRDefault="00557A6F" w:rsidP="00557A6F">
            <w:pPr>
              <w:jc w:val="right"/>
            </w:pPr>
            <w:r>
              <w:t>347 582</w:t>
            </w:r>
          </w:p>
        </w:tc>
        <w:tc>
          <w:tcPr>
            <w:tcW w:w="1020" w:type="dxa"/>
          </w:tcPr>
          <w:p w:rsidR="00557A6F" w:rsidRDefault="00557A6F" w:rsidP="00557A6F">
            <w:pPr>
              <w:jc w:val="right"/>
            </w:pPr>
            <w:r>
              <w:t>423 832</w:t>
            </w:r>
          </w:p>
        </w:tc>
        <w:tc>
          <w:tcPr>
            <w:tcW w:w="1020" w:type="dxa"/>
          </w:tcPr>
          <w:p w:rsidR="00557A6F" w:rsidRDefault="00557A6F" w:rsidP="00557A6F">
            <w:pPr>
              <w:jc w:val="right"/>
            </w:pPr>
            <w:r>
              <w:t>280 665</w:t>
            </w:r>
          </w:p>
        </w:tc>
        <w:tc>
          <w:tcPr>
            <w:tcW w:w="1020" w:type="dxa"/>
          </w:tcPr>
          <w:p w:rsidR="00557A6F" w:rsidRDefault="00557A6F" w:rsidP="00557A6F">
            <w:pPr>
              <w:jc w:val="right"/>
            </w:pPr>
            <w:r>
              <w:t>-33,8</w:t>
            </w:r>
          </w:p>
        </w:tc>
      </w:tr>
      <w:tr w:rsidR="00557A6F" w:rsidTr="00557A6F">
        <w:trPr>
          <w:trHeight w:val="640"/>
        </w:trPr>
        <w:tc>
          <w:tcPr>
            <w:tcW w:w="1020" w:type="dxa"/>
          </w:tcPr>
          <w:p w:rsidR="00557A6F" w:rsidRDefault="00557A6F" w:rsidP="00557A6F">
            <w:r>
              <w:t>2</w:t>
            </w:r>
          </w:p>
        </w:tc>
        <w:tc>
          <w:tcPr>
            <w:tcW w:w="4080" w:type="dxa"/>
          </w:tcPr>
          <w:p w:rsidR="00557A6F" w:rsidRDefault="00557A6F" w:rsidP="00557A6F">
            <w:r>
              <w:t xml:space="preserve">H.K.H. Kronprinsen og </w:t>
            </w:r>
            <w:r>
              <w:br/>
              <w:t>H.K.H. Kronprinsessen</w:t>
            </w:r>
          </w:p>
        </w:tc>
        <w:tc>
          <w:tcPr>
            <w:tcW w:w="1020" w:type="dxa"/>
          </w:tcPr>
          <w:p w:rsidR="00557A6F" w:rsidRDefault="00557A6F" w:rsidP="00557A6F">
            <w:pPr>
              <w:jc w:val="right"/>
            </w:pPr>
            <w:r>
              <w:t>9 763</w:t>
            </w:r>
          </w:p>
        </w:tc>
        <w:tc>
          <w:tcPr>
            <w:tcW w:w="1020" w:type="dxa"/>
          </w:tcPr>
          <w:p w:rsidR="00557A6F" w:rsidRDefault="00557A6F" w:rsidP="00557A6F">
            <w:pPr>
              <w:jc w:val="right"/>
            </w:pPr>
            <w:r>
              <w:t>10 065</w:t>
            </w:r>
          </w:p>
        </w:tc>
        <w:tc>
          <w:tcPr>
            <w:tcW w:w="1020" w:type="dxa"/>
          </w:tcPr>
          <w:p w:rsidR="00557A6F" w:rsidRDefault="00557A6F" w:rsidP="00557A6F">
            <w:pPr>
              <w:jc w:val="right"/>
            </w:pPr>
            <w:r>
              <w:t>10 427</w:t>
            </w:r>
          </w:p>
        </w:tc>
        <w:tc>
          <w:tcPr>
            <w:tcW w:w="1020" w:type="dxa"/>
          </w:tcPr>
          <w:p w:rsidR="00557A6F" w:rsidRDefault="00557A6F" w:rsidP="00557A6F">
            <w:pPr>
              <w:jc w:val="right"/>
            </w:pPr>
            <w:r>
              <w:t>3,6</w:t>
            </w:r>
          </w:p>
        </w:tc>
      </w:tr>
      <w:tr w:rsidR="00557A6F" w:rsidTr="00557A6F">
        <w:trPr>
          <w:trHeight w:val="380"/>
        </w:trPr>
        <w:tc>
          <w:tcPr>
            <w:tcW w:w="1020" w:type="dxa"/>
          </w:tcPr>
          <w:p w:rsidR="00557A6F" w:rsidRDefault="00557A6F" w:rsidP="00557A6F"/>
        </w:tc>
        <w:tc>
          <w:tcPr>
            <w:tcW w:w="4080" w:type="dxa"/>
          </w:tcPr>
          <w:p w:rsidR="00557A6F" w:rsidRDefault="00557A6F" w:rsidP="00557A6F">
            <w:r>
              <w:t>Sum kategori 00.10</w:t>
            </w:r>
          </w:p>
        </w:tc>
        <w:tc>
          <w:tcPr>
            <w:tcW w:w="1020" w:type="dxa"/>
          </w:tcPr>
          <w:p w:rsidR="00557A6F" w:rsidRDefault="00557A6F" w:rsidP="00557A6F">
            <w:pPr>
              <w:jc w:val="right"/>
            </w:pPr>
            <w:r>
              <w:t>357 345</w:t>
            </w:r>
          </w:p>
        </w:tc>
        <w:tc>
          <w:tcPr>
            <w:tcW w:w="1020" w:type="dxa"/>
          </w:tcPr>
          <w:p w:rsidR="00557A6F" w:rsidRDefault="00557A6F" w:rsidP="00557A6F">
            <w:pPr>
              <w:jc w:val="right"/>
            </w:pPr>
            <w:r>
              <w:t>433 897</w:t>
            </w:r>
          </w:p>
        </w:tc>
        <w:tc>
          <w:tcPr>
            <w:tcW w:w="1020" w:type="dxa"/>
          </w:tcPr>
          <w:p w:rsidR="00557A6F" w:rsidRDefault="00557A6F" w:rsidP="00557A6F">
            <w:pPr>
              <w:jc w:val="right"/>
            </w:pPr>
            <w:r>
              <w:t>291 092</w:t>
            </w:r>
          </w:p>
        </w:tc>
        <w:tc>
          <w:tcPr>
            <w:tcW w:w="1020" w:type="dxa"/>
          </w:tcPr>
          <w:p w:rsidR="00557A6F" w:rsidRDefault="00557A6F" w:rsidP="00557A6F">
            <w:pPr>
              <w:jc w:val="right"/>
            </w:pPr>
            <w:r>
              <w:t>-32,9</w:t>
            </w:r>
          </w:p>
        </w:tc>
      </w:tr>
    </w:tbl>
    <w:p w:rsidR="00557A6F" w:rsidRDefault="00557A6F" w:rsidP="00557A6F">
      <w:r>
        <w:t>Kommunal- og moderniseringsdepartementet har ansvaret for bevilgningene til Kongehuset. I ti</w:t>
      </w:r>
      <w:r>
        <w:t>l</w:t>
      </w:r>
      <w:r>
        <w:t>legg til bevilgningene under kap. 1 og kap. 2 blir følgende midler foreslått til kongelige formål i 2020:</w:t>
      </w:r>
    </w:p>
    <w:p w:rsidR="00557A6F" w:rsidRDefault="00557A6F" w:rsidP="00557A6F">
      <w:pPr>
        <w:pStyle w:val="Tabellnavn"/>
      </w:pPr>
      <w:r>
        <w:t>02N1xt2</w:t>
      </w:r>
    </w:p>
    <w:tbl>
      <w:tblPr>
        <w:tblStyle w:val="StandardTabell"/>
        <w:tblW w:w="0" w:type="auto"/>
        <w:tblLayout w:type="fixed"/>
        <w:tblLook w:val="04A0" w:firstRow="1" w:lastRow="0" w:firstColumn="1" w:lastColumn="0" w:noHBand="0" w:noVBand="1"/>
      </w:tblPr>
      <w:tblGrid>
        <w:gridCol w:w="7360"/>
        <w:gridCol w:w="1840"/>
      </w:tblGrid>
      <w:tr w:rsidR="00557A6F" w:rsidTr="00557A6F">
        <w:trPr>
          <w:trHeight w:val="360"/>
        </w:trPr>
        <w:tc>
          <w:tcPr>
            <w:tcW w:w="7360" w:type="dxa"/>
            <w:shd w:val="clear" w:color="auto" w:fill="FFFFFF"/>
          </w:tcPr>
          <w:p w:rsidR="00557A6F" w:rsidRDefault="00557A6F" w:rsidP="00557A6F"/>
        </w:tc>
        <w:tc>
          <w:tcPr>
            <w:tcW w:w="1840" w:type="dxa"/>
          </w:tcPr>
          <w:p w:rsidR="00557A6F" w:rsidRDefault="00557A6F" w:rsidP="00557A6F">
            <w:pPr>
              <w:jc w:val="right"/>
            </w:pPr>
            <w:r>
              <w:t>(i 1000 kr</w:t>
            </w:r>
            <w:r>
              <w:t>o</w:t>
            </w:r>
            <w:r>
              <w:t>ner)</w:t>
            </w:r>
          </w:p>
        </w:tc>
      </w:tr>
      <w:tr w:rsidR="00557A6F" w:rsidTr="00557A6F">
        <w:trPr>
          <w:trHeight w:val="380"/>
        </w:trPr>
        <w:tc>
          <w:tcPr>
            <w:tcW w:w="7360" w:type="dxa"/>
          </w:tcPr>
          <w:p w:rsidR="00557A6F" w:rsidRDefault="00557A6F" w:rsidP="00557A6F">
            <w:r>
              <w:rPr>
                <w:rStyle w:val="kursiv"/>
                <w:sz w:val="21"/>
                <w:szCs w:val="21"/>
              </w:rPr>
              <w:t>Kommunal- og moderniseringsdepartementet</w:t>
            </w:r>
          </w:p>
        </w:tc>
        <w:tc>
          <w:tcPr>
            <w:tcW w:w="1840" w:type="dxa"/>
          </w:tcPr>
          <w:p w:rsidR="00557A6F" w:rsidRDefault="00557A6F" w:rsidP="00557A6F">
            <w:pPr>
              <w:jc w:val="right"/>
            </w:pPr>
          </w:p>
        </w:tc>
      </w:tr>
      <w:tr w:rsidR="00557A6F" w:rsidTr="00557A6F">
        <w:trPr>
          <w:trHeight w:val="380"/>
        </w:trPr>
        <w:tc>
          <w:tcPr>
            <w:tcW w:w="7360" w:type="dxa"/>
          </w:tcPr>
          <w:p w:rsidR="00557A6F" w:rsidRDefault="00557A6F" w:rsidP="00557A6F">
            <w:r>
              <w:t>Kap. 531 Eiendommer til kongelige formål</w:t>
            </w:r>
          </w:p>
        </w:tc>
        <w:tc>
          <w:tcPr>
            <w:tcW w:w="1840" w:type="dxa"/>
          </w:tcPr>
          <w:p w:rsidR="00557A6F" w:rsidRDefault="00557A6F" w:rsidP="00557A6F">
            <w:pPr>
              <w:jc w:val="right"/>
            </w:pPr>
            <w:r>
              <w:t>90 812</w:t>
            </w:r>
          </w:p>
        </w:tc>
      </w:tr>
      <w:tr w:rsidR="00557A6F" w:rsidTr="00557A6F">
        <w:trPr>
          <w:trHeight w:val="380"/>
        </w:trPr>
        <w:tc>
          <w:tcPr>
            <w:tcW w:w="7360" w:type="dxa"/>
          </w:tcPr>
          <w:p w:rsidR="00557A6F" w:rsidRDefault="00557A6F" w:rsidP="00557A6F">
            <w:r>
              <w:rPr>
                <w:rStyle w:val="kursiv"/>
                <w:sz w:val="21"/>
                <w:szCs w:val="21"/>
              </w:rPr>
              <w:t>Utenriksdepartementet</w:t>
            </w:r>
          </w:p>
        </w:tc>
        <w:tc>
          <w:tcPr>
            <w:tcW w:w="1840" w:type="dxa"/>
          </w:tcPr>
          <w:p w:rsidR="00557A6F" w:rsidRDefault="00557A6F" w:rsidP="00557A6F">
            <w:pPr>
              <w:jc w:val="right"/>
            </w:pPr>
          </w:p>
        </w:tc>
      </w:tr>
      <w:tr w:rsidR="00557A6F" w:rsidTr="00557A6F">
        <w:trPr>
          <w:trHeight w:val="380"/>
        </w:trPr>
        <w:tc>
          <w:tcPr>
            <w:tcW w:w="7360" w:type="dxa"/>
          </w:tcPr>
          <w:p w:rsidR="00557A6F" w:rsidRDefault="00557A6F" w:rsidP="00557A6F">
            <w:r>
              <w:t>Kap. 104 Kongefamiliens offisielle reiser til utlandet</w:t>
            </w:r>
          </w:p>
        </w:tc>
        <w:tc>
          <w:tcPr>
            <w:tcW w:w="1840" w:type="dxa"/>
          </w:tcPr>
          <w:p w:rsidR="00557A6F" w:rsidRDefault="00557A6F" w:rsidP="00557A6F">
            <w:pPr>
              <w:jc w:val="right"/>
            </w:pPr>
            <w:r>
              <w:t>10 140</w:t>
            </w:r>
          </w:p>
        </w:tc>
      </w:tr>
      <w:tr w:rsidR="00557A6F" w:rsidTr="00557A6F">
        <w:trPr>
          <w:trHeight w:val="380"/>
        </w:trPr>
        <w:tc>
          <w:tcPr>
            <w:tcW w:w="7360" w:type="dxa"/>
          </w:tcPr>
          <w:p w:rsidR="00557A6F" w:rsidRDefault="00557A6F" w:rsidP="00557A6F">
            <w:r>
              <w:rPr>
                <w:rStyle w:val="kursiv"/>
                <w:sz w:val="21"/>
                <w:szCs w:val="21"/>
              </w:rPr>
              <w:t>Forsvarsdepartementet</w:t>
            </w:r>
          </w:p>
        </w:tc>
        <w:tc>
          <w:tcPr>
            <w:tcW w:w="1840" w:type="dxa"/>
          </w:tcPr>
          <w:p w:rsidR="00557A6F" w:rsidRDefault="00557A6F" w:rsidP="00557A6F">
            <w:pPr>
              <w:jc w:val="right"/>
            </w:pPr>
          </w:p>
        </w:tc>
      </w:tr>
      <w:tr w:rsidR="00557A6F" w:rsidTr="00557A6F">
        <w:trPr>
          <w:trHeight w:val="380"/>
        </w:trPr>
        <w:tc>
          <w:tcPr>
            <w:tcW w:w="7360" w:type="dxa"/>
          </w:tcPr>
          <w:p w:rsidR="00557A6F" w:rsidRDefault="00557A6F" w:rsidP="00557A6F">
            <w:r>
              <w:t>Diverse kapittel (H.M. Kongens adjutantstab)</w:t>
            </w:r>
          </w:p>
        </w:tc>
        <w:tc>
          <w:tcPr>
            <w:tcW w:w="1840" w:type="dxa"/>
          </w:tcPr>
          <w:p w:rsidR="00557A6F" w:rsidRDefault="00557A6F" w:rsidP="00557A6F">
            <w:pPr>
              <w:jc w:val="right"/>
            </w:pPr>
            <w:r>
              <w:t>4 000</w:t>
            </w:r>
          </w:p>
        </w:tc>
      </w:tr>
      <w:tr w:rsidR="00557A6F" w:rsidTr="00557A6F">
        <w:trPr>
          <w:trHeight w:val="380"/>
        </w:trPr>
        <w:tc>
          <w:tcPr>
            <w:tcW w:w="7360" w:type="dxa"/>
          </w:tcPr>
          <w:p w:rsidR="00557A6F" w:rsidRDefault="00557A6F" w:rsidP="00557A6F">
            <w:r>
              <w:t>Kap. 1732 Sjøforsvaret (Kongeskipet og K/B Stjernen)</w:t>
            </w:r>
          </w:p>
        </w:tc>
        <w:tc>
          <w:tcPr>
            <w:tcW w:w="1840" w:type="dxa"/>
          </w:tcPr>
          <w:p w:rsidR="00557A6F" w:rsidRDefault="00557A6F" w:rsidP="00557A6F">
            <w:pPr>
              <w:jc w:val="right"/>
            </w:pPr>
            <w:r>
              <w:t>40 000</w:t>
            </w:r>
          </w:p>
        </w:tc>
      </w:tr>
      <w:tr w:rsidR="00557A6F" w:rsidTr="00557A6F">
        <w:trPr>
          <w:trHeight w:val="380"/>
        </w:trPr>
        <w:tc>
          <w:tcPr>
            <w:tcW w:w="7360" w:type="dxa"/>
          </w:tcPr>
          <w:p w:rsidR="00557A6F" w:rsidRDefault="00557A6F" w:rsidP="00557A6F">
            <w:r>
              <w:rPr>
                <w:rStyle w:val="kursiv"/>
                <w:sz w:val="21"/>
                <w:szCs w:val="21"/>
              </w:rPr>
              <w:t>Justis- og beredskapsdepartementet</w:t>
            </w:r>
          </w:p>
        </w:tc>
        <w:tc>
          <w:tcPr>
            <w:tcW w:w="1840" w:type="dxa"/>
          </w:tcPr>
          <w:p w:rsidR="00557A6F" w:rsidRDefault="00557A6F" w:rsidP="00557A6F">
            <w:pPr>
              <w:jc w:val="right"/>
            </w:pPr>
          </w:p>
        </w:tc>
      </w:tr>
      <w:tr w:rsidR="00557A6F" w:rsidTr="00557A6F">
        <w:trPr>
          <w:trHeight w:val="380"/>
        </w:trPr>
        <w:tc>
          <w:tcPr>
            <w:tcW w:w="7360" w:type="dxa"/>
          </w:tcPr>
          <w:p w:rsidR="00557A6F" w:rsidRDefault="00557A6F" w:rsidP="00557A6F">
            <w:r>
              <w:t>Kap. 441 Oslo politidistrikt (eskortetjenesten)</w:t>
            </w:r>
          </w:p>
        </w:tc>
        <w:tc>
          <w:tcPr>
            <w:tcW w:w="1840" w:type="dxa"/>
          </w:tcPr>
          <w:p w:rsidR="00557A6F" w:rsidRDefault="00557A6F" w:rsidP="00557A6F">
            <w:pPr>
              <w:jc w:val="right"/>
            </w:pPr>
            <w:r>
              <w:t>Oppgis ikke</w:t>
            </w:r>
          </w:p>
        </w:tc>
      </w:tr>
    </w:tbl>
    <w:p w:rsidR="00557A6F" w:rsidRDefault="00557A6F" w:rsidP="00557A6F">
      <w:pPr>
        <w:pStyle w:val="b-budkaptit"/>
      </w:pPr>
      <w:r>
        <w:t>Kap. 1 H.M. Kongen og H.M. Dronningen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7A6F" w:rsidTr="002A3A77">
        <w:trPr>
          <w:trHeight w:val="640"/>
        </w:trPr>
        <w:tc>
          <w:tcPr>
            <w:tcW w:w="1140" w:type="dxa"/>
            <w:shd w:val="clear" w:color="auto" w:fill="FFFFFF"/>
          </w:tcPr>
          <w:p w:rsidR="00557A6F" w:rsidRDefault="00557A6F" w:rsidP="002A3A77">
            <w:pPr>
              <w:pStyle w:val="Tabellnavn"/>
            </w:pPr>
            <w:r>
              <w:t>KPAL</w:t>
            </w:r>
          </w:p>
        </w:tc>
        <w:tc>
          <w:tcPr>
            <w:tcW w:w="4560" w:type="dxa"/>
          </w:tcPr>
          <w:p w:rsidR="00557A6F" w:rsidRPr="002A3A77" w:rsidRDefault="00557A6F" w:rsidP="002A3A77"/>
        </w:tc>
        <w:tc>
          <w:tcPr>
            <w:tcW w:w="1140" w:type="dxa"/>
          </w:tcPr>
          <w:p w:rsidR="00557A6F" w:rsidRPr="002A3A77" w:rsidRDefault="00557A6F" w:rsidP="002A3A77">
            <w:pPr>
              <w:jc w:val="right"/>
            </w:pPr>
          </w:p>
        </w:tc>
        <w:tc>
          <w:tcPr>
            <w:tcW w:w="1140" w:type="dxa"/>
          </w:tcPr>
          <w:p w:rsidR="00557A6F" w:rsidRPr="002A3A77" w:rsidRDefault="00557A6F" w:rsidP="002A3A77">
            <w:pPr>
              <w:jc w:val="right"/>
            </w:pPr>
          </w:p>
        </w:tc>
        <w:tc>
          <w:tcPr>
            <w:tcW w:w="1140" w:type="dxa"/>
          </w:tcPr>
          <w:p w:rsidR="00557A6F" w:rsidRDefault="00557A6F" w:rsidP="002A3A77">
            <w:pPr>
              <w:jc w:val="right"/>
            </w:pPr>
            <w:r>
              <w:t>(i 1 000 kr)</w:t>
            </w:r>
          </w:p>
        </w:tc>
      </w:tr>
      <w:tr w:rsidR="00557A6F" w:rsidTr="002A3A77">
        <w:trPr>
          <w:trHeight w:val="600"/>
        </w:trPr>
        <w:tc>
          <w:tcPr>
            <w:tcW w:w="1140" w:type="dxa"/>
          </w:tcPr>
          <w:p w:rsidR="00557A6F" w:rsidRDefault="00557A6F" w:rsidP="002A3A77">
            <w:r>
              <w:t>Post</w:t>
            </w:r>
          </w:p>
        </w:tc>
        <w:tc>
          <w:tcPr>
            <w:tcW w:w="4560" w:type="dxa"/>
          </w:tcPr>
          <w:p w:rsidR="00557A6F" w:rsidRDefault="00557A6F" w:rsidP="002A3A77">
            <w:r>
              <w:t>Betegnelse</w:t>
            </w:r>
          </w:p>
        </w:tc>
        <w:tc>
          <w:tcPr>
            <w:tcW w:w="1140" w:type="dxa"/>
          </w:tcPr>
          <w:p w:rsidR="00557A6F" w:rsidRDefault="00557A6F" w:rsidP="002A3A77">
            <w:pPr>
              <w:jc w:val="right"/>
            </w:pPr>
            <w:r>
              <w:t>Regnskap 2018</w:t>
            </w:r>
          </w:p>
        </w:tc>
        <w:tc>
          <w:tcPr>
            <w:tcW w:w="1140" w:type="dxa"/>
          </w:tcPr>
          <w:p w:rsidR="00557A6F" w:rsidRDefault="00557A6F" w:rsidP="002A3A77">
            <w:pPr>
              <w:jc w:val="right"/>
            </w:pPr>
            <w:r>
              <w:t xml:space="preserve">Saldert </w:t>
            </w:r>
            <w:r>
              <w:br/>
              <w:t>budsjett 2019</w:t>
            </w:r>
          </w:p>
        </w:tc>
        <w:tc>
          <w:tcPr>
            <w:tcW w:w="1140" w:type="dxa"/>
          </w:tcPr>
          <w:p w:rsidR="00557A6F" w:rsidRDefault="00557A6F" w:rsidP="002A3A77">
            <w:pPr>
              <w:jc w:val="right"/>
            </w:pPr>
            <w:r>
              <w:t xml:space="preserve">Forslag </w:t>
            </w:r>
            <w:r>
              <w:br/>
              <w:t>2020</w:t>
            </w:r>
          </w:p>
        </w:tc>
      </w:tr>
      <w:tr w:rsidR="00557A6F" w:rsidTr="002A3A77">
        <w:trPr>
          <w:trHeight w:val="380"/>
        </w:trPr>
        <w:tc>
          <w:tcPr>
            <w:tcW w:w="1140" w:type="dxa"/>
          </w:tcPr>
          <w:p w:rsidR="00557A6F" w:rsidRDefault="00557A6F" w:rsidP="002A3A77">
            <w:r>
              <w:t>01</w:t>
            </w:r>
          </w:p>
        </w:tc>
        <w:tc>
          <w:tcPr>
            <w:tcW w:w="4560" w:type="dxa"/>
          </w:tcPr>
          <w:p w:rsidR="00557A6F" w:rsidRDefault="00557A6F" w:rsidP="002A3A77">
            <w:r>
              <w:t xml:space="preserve">Apanasje </w:t>
            </w:r>
          </w:p>
        </w:tc>
        <w:tc>
          <w:tcPr>
            <w:tcW w:w="1140" w:type="dxa"/>
          </w:tcPr>
          <w:p w:rsidR="00557A6F" w:rsidRDefault="00557A6F" w:rsidP="002A3A77">
            <w:pPr>
              <w:jc w:val="right"/>
            </w:pPr>
            <w:r>
              <w:t>11 730</w:t>
            </w:r>
          </w:p>
        </w:tc>
        <w:tc>
          <w:tcPr>
            <w:tcW w:w="1140" w:type="dxa"/>
          </w:tcPr>
          <w:p w:rsidR="00557A6F" w:rsidRDefault="00557A6F" w:rsidP="002A3A77">
            <w:pPr>
              <w:jc w:val="right"/>
            </w:pPr>
            <w:r>
              <w:t>12 093</w:t>
            </w:r>
          </w:p>
        </w:tc>
        <w:tc>
          <w:tcPr>
            <w:tcW w:w="1140" w:type="dxa"/>
          </w:tcPr>
          <w:p w:rsidR="00557A6F" w:rsidRDefault="00557A6F" w:rsidP="002A3A77">
            <w:pPr>
              <w:jc w:val="right"/>
            </w:pPr>
            <w:r>
              <w:t>12 528</w:t>
            </w:r>
          </w:p>
        </w:tc>
      </w:tr>
      <w:tr w:rsidR="00557A6F" w:rsidTr="002A3A77">
        <w:trPr>
          <w:trHeight w:val="380"/>
        </w:trPr>
        <w:tc>
          <w:tcPr>
            <w:tcW w:w="1140" w:type="dxa"/>
          </w:tcPr>
          <w:p w:rsidR="00557A6F" w:rsidRDefault="00557A6F" w:rsidP="002A3A77">
            <w:r>
              <w:t>50</w:t>
            </w:r>
          </w:p>
        </w:tc>
        <w:tc>
          <w:tcPr>
            <w:tcW w:w="4560" w:type="dxa"/>
          </w:tcPr>
          <w:p w:rsidR="00557A6F" w:rsidRDefault="00557A6F" w:rsidP="002A3A77">
            <w:r>
              <w:t xml:space="preserve">Det kongelige hoff </w:t>
            </w:r>
          </w:p>
        </w:tc>
        <w:tc>
          <w:tcPr>
            <w:tcW w:w="1140" w:type="dxa"/>
          </w:tcPr>
          <w:p w:rsidR="00557A6F" w:rsidRDefault="00557A6F" w:rsidP="002A3A77">
            <w:pPr>
              <w:jc w:val="right"/>
            </w:pPr>
            <w:r>
              <w:t>196 452</w:t>
            </w:r>
          </w:p>
        </w:tc>
        <w:tc>
          <w:tcPr>
            <w:tcW w:w="1140" w:type="dxa"/>
          </w:tcPr>
          <w:p w:rsidR="00557A6F" w:rsidRDefault="00557A6F" w:rsidP="002A3A77">
            <w:pPr>
              <w:jc w:val="right"/>
            </w:pPr>
            <w:r>
              <w:t>201 139</w:t>
            </w:r>
          </w:p>
        </w:tc>
        <w:tc>
          <w:tcPr>
            <w:tcW w:w="1140" w:type="dxa"/>
          </w:tcPr>
          <w:p w:rsidR="00557A6F" w:rsidRDefault="00557A6F" w:rsidP="002A3A77">
            <w:pPr>
              <w:jc w:val="right"/>
            </w:pPr>
            <w:r>
              <w:t>218 137</w:t>
            </w:r>
          </w:p>
        </w:tc>
      </w:tr>
      <w:tr w:rsidR="00557A6F" w:rsidTr="002A3A77">
        <w:trPr>
          <w:trHeight w:val="380"/>
        </w:trPr>
        <w:tc>
          <w:tcPr>
            <w:tcW w:w="1140" w:type="dxa"/>
          </w:tcPr>
          <w:p w:rsidR="00557A6F" w:rsidRDefault="00557A6F" w:rsidP="002A3A77">
            <w:r>
              <w:t>51</w:t>
            </w:r>
          </w:p>
        </w:tc>
        <w:tc>
          <w:tcPr>
            <w:tcW w:w="4560" w:type="dxa"/>
          </w:tcPr>
          <w:p w:rsidR="00557A6F" w:rsidRDefault="00557A6F" w:rsidP="002A3A77">
            <w:r>
              <w:t xml:space="preserve">Særskilte prosjekter ved Det kongelige hoff </w:t>
            </w:r>
          </w:p>
        </w:tc>
        <w:tc>
          <w:tcPr>
            <w:tcW w:w="1140" w:type="dxa"/>
          </w:tcPr>
          <w:p w:rsidR="00557A6F" w:rsidRDefault="00557A6F" w:rsidP="002A3A77">
            <w:pPr>
              <w:jc w:val="right"/>
            </w:pPr>
            <w:r>
              <w:t>139 400</w:t>
            </w:r>
          </w:p>
        </w:tc>
        <w:tc>
          <w:tcPr>
            <w:tcW w:w="1140" w:type="dxa"/>
          </w:tcPr>
          <w:p w:rsidR="00557A6F" w:rsidRDefault="00557A6F" w:rsidP="002A3A77">
            <w:pPr>
              <w:jc w:val="right"/>
            </w:pPr>
            <w:r>
              <w:t>210 600</w:t>
            </w:r>
          </w:p>
        </w:tc>
        <w:tc>
          <w:tcPr>
            <w:tcW w:w="1140" w:type="dxa"/>
          </w:tcPr>
          <w:p w:rsidR="00557A6F" w:rsidRDefault="00557A6F" w:rsidP="002A3A77">
            <w:pPr>
              <w:jc w:val="right"/>
            </w:pPr>
            <w:r>
              <w:t>50 000</w:t>
            </w:r>
          </w:p>
        </w:tc>
      </w:tr>
      <w:tr w:rsidR="00557A6F" w:rsidTr="002A3A77">
        <w:trPr>
          <w:trHeight w:val="380"/>
        </w:trPr>
        <w:tc>
          <w:tcPr>
            <w:tcW w:w="1140" w:type="dxa"/>
          </w:tcPr>
          <w:p w:rsidR="00557A6F" w:rsidRDefault="00557A6F" w:rsidP="002A3A77"/>
        </w:tc>
        <w:tc>
          <w:tcPr>
            <w:tcW w:w="4560" w:type="dxa"/>
          </w:tcPr>
          <w:p w:rsidR="00557A6F" w:rsidRDefault="00557A6F" w:rsidP="002A3A77">
            <w:r>
              <w:t>Sum kap. 0001</w:t>
            </w:r>
          </w:p>
        </w:tc>
        <w:tc>
          <w:tcPr>
            <w:tcW w:w="1140" w:type="dxa"/>
          </w:tcPr>
          <w:p w:rsidR="00557A6F" w:rsidRDefault="00557A6F" w:rsidP="002A3A77">
            <w:pPr>
              <w:jc w:val="right"/>
            </w:pPr>
            <w:r>
              <w:t>347 582</w:t>
            </w:r>
          </w:p>
        </w:tc>
        <w:tc>
          <w:tcPr>
            <w:tcW w:w="1140" w:type="dxa"/>
          </w:tcPr>
          <w:p w:rsidR="00557A6F" w:rsidRDefault="00557A6F" w:rsidP="002A3A77">
            <w:pPr>
              <w:jc w:val="right"/>
            </w:pPr>
            <w:r>
              <w:t>423 832</w:t>
            </w:r>
          </w:p>
        </w:tc>
        <w:tc>
          <w:tcPr>
            <w:tcW w:w="1140" w:type="dxa"/>
          </w:tcPr>
          <w:p w:rsidR="00557A6F" w:rsidRDefault="00557A6F" w:rsidP="002A3A77">
            <w:pPr>
              <w:jc w:val="right"/>
            </w:pPr>
            <w:r>
              <w:t>280 665</w:t>
            </w:r>
          </w:p>
        </w:tc>
      </w:tr>
    </w:tbl>
    <w:p w:rsidR="00557A6F" w:rsidRDefault="00557A6F" w:rsidP="00557A6F">
      <w:pPr>
        <w:pStyle w:val="b-post"/>
      </w:pPr>
      <w:r>
        <w:t>Post 01 Apanasje</w:t>
      </w:r>
    </w:p>
    <w:p w:rsidR="00557A6F" w:rsidRDefault="00557A6F" w:rsidP="00557A6F">
      <w:r>
        <w:t xml:space="preserve">Bevilgningen dekker personlige utgifter for H.M. Kongen og H.M. Dronningen, samt utgifter til drift, vedlikehold og utvikling av private eiendommer. </w:t>
      </w:r>
    </w:p>
    <w:p w:rsidR="00557A6F" w:rsidRDefault="00557A6F" w:rsidP="00557A6F">
      <w:pPr>
        <w:pStyle w:val="b-post"/>
      </w:pPr>
      <w:r>
        <w:t>Post 50 Det kongelige hoff</w:t>
      </w:r>
    </w:p>
    <w:p w:rsidR="00557A6F" w:rsidRDefault="00557A6F" w:rsidP="00557A6F">
      <w:r>
        <w:t>Det kongelige hoff er H.M. Kongens organisasjon, som skal understøtte H.M. Kongen og Kong</w:t>
      </w:r>
      <w:r>
        <w:t>e</w:t>
      </w:r>
      <w:r>
        <w:t>familien. Det kongelige hoff forbereder og legger til rette for Kongefamiliens offisielle virksomhet, og utfører andre nødvendige støttefunksjoner. Bevilgningen dekker Kongehusets utgifter til offis</w:t>
      </w:r>
      <w:r>
        <w:t>i</w:t>
      </w:r>
      <w:r>
        <w:t>elle oppgaver og driften av Det kongelige hoff, herunder lønnsmidler for alle ansatte. Bevilgningen skal også dekke utgifter til indre vedlikehold, mindre rehabiliteringsprosjekter og utvikling av de statlige kongelige eiendommene Det kongelige slott, Bygdø kongsgård (hovedhuset med sideby</w:t>
      </w:r>
      <w:r>
        <w:t>g</w:t>
      </w:r>
      <w:r>
        <w:t>ning og park) og Oscarshall slott. Det kongelige hoff rapporterer gjennom sin årsrapport på bruken av de årlige bevilgningene, der også år</w:t>
      </w:r>
      <w:r>
        <w:t>s</w:t>
      </w:r>
      <w:r>
        <w:t>regnskap og revisorberetning fremkommer. Det kongelige hoff beholder disposisjonsretten til utbetalte midler dersom årsregnskapet viser et positivt driftsr</w:t>
      </w:r>
      <w:r>
        <w:t>e</w:t>
      </w:r>
      <w:r>
        <w:t>sultat, og har ansvaret for å dekke et eventuelt neg</w:t>
      </w:r>
      <w:r>
        <w:t>a</w:t>
      </w:r>
      <w:r>
        <w:t xml:space="preserve">tivt årsresultat. </w:t>
      </w:r>
    </w:p>
    <w:p w:rsidR="00557A6F" w:rsidRDefault="00557A6F" w:rsidP="00557A6F">
      <w:r>
        <w:t>Det kongelige hoff rapporterer gjennom sin årsrapport på hvor mye av de ansattes arbeidstid som medgår til forvaltningsoppgaver som planlegging, innhenting av tilbud og oppfølgning av prosje</w:t>
      </w:r>
      <w:r>
        <w:t>k</w:t>
      </w:r>
      <w:r>
        <w:t>ter og vaktmestertjenester, inkl. gartnertjenester, på de private kongelige eiendommene. Om lag halvparten av nevnte lønnsmidler brukes på Skaugum. Denne eiendommen har status som tronfø</w:t>
      </w:r>
      <w:r>
        <w:t>l</w:t>
      </w:r>
      <w:r>
        <w:t>gerbolig, og brukes også til offisielle formål. Det er lagt til grunn at staten skal holde tronarvingen med bolig. Det kongelige hoff følger prinsippet om at større/verdiøkende tiltak på private kongel</w:t>
      </w:r>
      <w:r>
        <w:t>i</w:t>
      </w:r>
      <w:r>
        <w:t xml:space="preserve">ge eiendommer ikke skal utføres av de ansatte. Slike større tiltak finansieres av private midler og utføres av eksterne aktører. </w:t>
      </w:r>
    </w:p>
    <w:p w:rsidR="00557A6F" w:rsidRDefault="00557A6F" w:rsidP="00557A6F">
      <w:r>
        <w:t>I 2020 skal deler av sikringsprosjektet, som bevilges over kap. 1 post 51 Særskilte prosjekter ved Det kongelige hoff, bli operativt, samtidig som nytt logistikkbygg vil bli tatt i bruk. Til økt bema</w:t>
      </w:r>
      <w:r>
        <w:t>n</w:t>
      </w:r>
      <w:r>
        <w:t>ning og drift av sikringstilt</w:t>
      </w:r>
      <w:r>
        <w:t>a</w:t>
      </w:r>
      <w:r>
        <w:t>kene, foreslås det å øke posten med 9,6 mill. kroner. I tillegg foreslås det en økning av posten på 2 mill. kroner til lagerutgifter grunnet økt lagringsbehov for de kong</w:t>
      </w:r>
      <w:r>
        <w:t>e</w:t>
      </w:r>
      <w:r>
        <w:t>lige samlinger.</w:t>
      </w:r>
    </w:p>
    <w:p w:rsidR="00557A6F" w:rsidRDefault="00557A6F" w:rsidP="00557A6F">
      <w:pPr>
        <w:pStyle w:val="b-post"/>
      </w:pPr>
      <w:r>
        <w:t>Post 51 Særskilte prosjekter ved Det kongelige hoff</w:t>
      </w:r>
    </w:p>
    <w:p w:rsidR="00557A6F" w:rsidRDefault="00557A6F" w:rsidP="00557A6F">
      <w:r>
        <w:t>På oppdrag fra Justis- og beredskapsdepartementet har Politidirektoratet utarbeidet en rapport om si</w:t>
      </w:r>
      <w:r>
        <w:t>k</w:t>
      </w:r>
      <w:r>
        <w:t>kerheten ved de statlige og private kongelige eiendommer. Prosjektet ble første gang omtalt i forbindelse med revidert nasjonalbudsjett for 2014.</w:t>
      </w:r>
    </w:p>
    <w:p w:rsidR="00557A6F" w:rsidRDefault="00557A6F" w:rsidP="00557A6F">
      <w:r>
        <w:t>Det kongelige hoff utøver byggherreansvaret for sikringsprosjektet, med unntak av nytt logistik</w:t>
      </w:r>
      <w:r>
        <w:t>k</w:t>
      </w:r>
      <w:r>
        <w:t>bygg ved Det kongelige slott, der Statsbygg er byggherre, se egen omtale under kap. 531 Eie</w:t>
      </w:r>
      <w:r>
        <w:t>n</w:t>
      </w:r>
      <w:r>
        <w:t xml:space="preserve">dommer til kongelige formål, post 45 Større utstyrsanskaffelser og vedlikehold. </w:t>
      </w:r>
    </w:p>
    <w:p w:rsidR="00557A6F" w:rsidRDefault="00557A6F" w:rsidP="00557A6F">
      <w:r>
        <w:lastRenderedPageBreak/>
        <w:t>Kostnadsramme for sikringsprosjektet ble vedtatt i behandlingen av statsbudsjettet for 2018. Per 1. juli 2020 er kostnadsrammen på 606,9 mill. kroner. Det vises til forslag til romertallsvedtak. Fas</w:t>
      </w:r>
      <w:r>
        <w:t>e</w:t>
      </w:r>
      <w:r>
        <w:t>forskyvning gjør at sikke</w:t>
      </w:r>
      <w:r>
        <w:t>r</w:t>
      </w:r>
      <w:r>
        <w:t xml:space="preserve">hetsprosjektet forventes ferdigstilt i 2021. Det foreslås en </w:t>
      </w:r>
      <w:proofErr w:type="gramStart"/>
      <w:r>
        <w:t>bevilgningen</w:t>
      </w:r>
      <w:proofErr w:type="gramEnd"/>
      <w:r>
        <w:t xml:space="preserve"> på 50 mill. kroner til prosjektet i 2020. </w:t>
      </w:r>
    </w:p>
    <w:p w:rsidR="00557A6F" w:rsidRDefault="00557A6F" w:rsidP="00557A6F">
      <w:pPr>
        <w:pStyle w:val="b-budkaptit"/>
      </w:pPr>
      <w:r>
        <w:t>Kap. 2 H.K.H. Kronprinsen og H.K.H. Kronprinsessen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7A6F" w:rsidTr="002A3A77">
        <w:trPr>
          <w:trHeight w:val="640"/>
        </w:trPr>
        <w:tc>
          <w:tcPr>
            <w:tcW w:w="1140" w:type="dxa"/>
            <w:shd w:val="clear" w:color="auto" w:fill="FFFFFF"/>
          </w:tcPr>
          <w:p w:rsidR="00557A6F" w:rsidRDefault="00557A6F" w:rsidP="002A3A77">
            <w:pPr>
              <w:pStyle w:val="Tabellnavn"/>
            </w:pPr>
            <w:r>
              <w:t>KPAL</w:t>
            </w:r>
          </w:p>
        </w:tc>
        <w:tc>
          <w:tcPr>
            <w:tcW w:w="4560" w:type="dxa"/>
          </w:tcPr>
          <w:p w:rsidR="00557A6F" w:rsidRDefault="00557A6F" w:rsidP="002A3A77"/>
        </w:tc>
        <w:tc>
          <w:tcPr>
            <w:tcW w:w="1140" w:type="dxa"/>
          </w:tcPr>
          <w:p w:rsidR="00557A6F" w:rsidRDefault="00557A6F" w:rsidP="002A3A77">
            <w:pPr>
              <w:jc w:val="right"/>
            </w:pPr>
          </w:p>
        </w:tc>
        <w:tc>
          <w:tcPr>
            <w:tcW w:w="1140" w:type="dxa"/>
          </w:tcPr>
          <w:p w:rsidR="00557A6F" w:rsidRDefault="00557A6F" w:rsidP="002A3A77">
            <w:pPr>
              <w:jc w:val="right"/>
            </w:pPr>
          </w:p>
        </w:tc>
        <w:tc>
          <w:tcPr>
            <w:tcW w:w="1140" w:type="dxa"/>
          </w:tcPr>
          <w:p w:rsidR="00557A6F" w:rsidRDefault="00557A6F" w:rsidP="002A3A77">
            <w:pPr>
              <w:jc w:val="right"/>
            </w:pPr>
            <w:r>
              <w:t>(i 1 000 kr)</w:t>
            </w:r>
          </w:p>
        </w:tc>
      </w:tr>
      <w:tr w:rsidR="00557A6F" w:rsidTr="002A3A77">
        <w:trPr>
          <w:trHeight w:val="600"/>
        </w:trPr>
        <w:tc>
          <w:tcPr>
            <w:tcW w:w="1140" w:type="dxa"/>
          </w:tcPr>
          <w:p w:rsidR="00557A6F" w:rsidRDefault="00557A6F" w:rsidP="002A3A77">
            <w:r>
              <w:t>Post</w:t>
            </w:r>
          </w:p>
        </w:tc>
        <w:tc>
          <w:tcPr>
            <w:tcW w:w="4560" w:type="dxa"/>
          </w:tcPr>
          <w:p w:rsidR="00557A6F" w:rsidRDefault="00557A6F" w:rsidP="002A3A77">
            <w:r>
              <w:t>Betegnelse</w:t>
            </w:r>
          </w:p>
        </w:tc>
        <w:tc>
          <w:tcPr>
            <w:tcW w:w="1140" w:type="dxa"/>
          </w:tcPr>
          <w:p w:rsidR="00557A6F" w:rsidRDefault="00557A6F" w:rsidP="002A3A77">
            <w:pPr>
              <w:jc w:val="right"/>
            </w:pPr>
            <w:r>
              <w:t>Regnskap 2018</w:t>
            </w:r>
          </w:p>
        </w:tc>
        <w:tc>
          <w:tcPr>
            <w:tcW w:w="1140" w:type="dxa"/>
          </w:tcPr>
          <w:p w:rsidR="00557A6F" w:rsidRDefault="00557A6F" w:rsidP="002A3A77">
            <w:pPr>
              <w:jc w:val="right"/>
            </w:pPr>
            <w:r>
              <w:t>Saldert</w:t>
            </w:r>
            <w:r>
              <w:br/>
              <w:t xml:space="preserve"> budsjett 2019</w:t>
            </w:r>
          </w:p>
        </w:tc>
        <w:tc>
          <w:tcPr>
            <w:tcW w:w="1140" w:type="dxa"/>
          </w:tcPr>
          <w:p w:rsidR="00557A6F" w:rsidRDefault="00557A6F" w:rsidP="002A3A77">
            <w:pPr>
              <w:jc w:val="right"/>
            </w:pPr>
            <w:r>
              <w:t>Forslag</w:t>
            </w:r>
            <w:r>
              <w:br/>
              <w:t xml:space="preserve"> 2020</w:t>
            </w:r>
          </w:p>
        </w:tc>
      </w:tr>
      <w:tr w:rsidR="00557A6F" w:rsidTr="002A3A77">
        <w:trPr>
          <w:trHeight w:val="380"/>
        </w:trPr>
        <w:tc>
          <w:tcPr>
            <w:tcW w:w="1140" w:type="dxa"/>
          </w:tcPr>
          <w:p w:rsidR="00557A6F" w:rsidRDefault="00557A6F" w:rsidP="002A3A77">
            <w:r>
              <w:t>01</w:t>
            </w:r>
          </w:p>
        </w:tc>
        <w:tc>
          <w:tcPr>
            <w:tcW w:w="4560" w:type="dxa"/>
          </w:tcPr>
          <w:p w:rsidR="00557A6F" w:rsidRDefault="00557A6F" w:rsidP="002A3A77">
            <w:r>
              <w:t xml:space="preserve">Apanasje </w:t>
            </w:r>
          </w:p>
        </w:tc>
        <w:tc>
          <w:tcPr>
            <w:tcW w:w="1140" w:type="dxa"/>
          </w:tcPr>
          <w:p w:rsidR="00557A6F" w:rsidRDefault="00557A6F" w:rsidP="002A3A77">
            <w:pPr>
              <w:jc w:val="right"/>
            </w:pPr>
            <w:r>
              <w:t>9 763</w:t>
            </w:r>
          </w:p>
        </w:tc>
        <w:tc>
          <w:tcPr>
            <w:tcW w:w="1140" w:type="dxa"/>
          </w:tcPr>
          <w:p w:rsidR="00557A6F" w:rsidRDefault="00557A6F" w:rsidP="002A3A77">
            <w:pPr>
              <w:jc w:val="right"/>
            </w:pPr>
            <w:r>
              <w:t>10 065</w:t>
            </w:r>
          </w:p>
        </w:tc>
        <w:tc>
          <w:tcPr>
            <w:tcW w:w="1140" w:type="dxa"/>
          </w:tcPr>
          <w:p w:rsidR="00557A6F" w:rsidRDefault="00557A6F" w:rsidP="002A3A77">
            <w:pPr>
              <w:jc w:val="right"/>
            </w:pPr>
            <w:r>
              <w:t>10 427</w:t>
            </w:r>
          </w:p>
        </w:tc>
      </w:tr>
      <w:tr w:rsidR="00557A6F" w:rsidTr="002A3A77">
        <w:trPr>
          <w:trHeight w:val="380"/>
        </w:trPr>
        <w:tc>
          <w:tcPr>
            <w:tcW w:w="1140" w:type="dxa"/>
          </w:tcPr>
          <w:p w:rsidR="00557A6F" w:rsidRDefault="00557A6F" w:rsidP="002A3A77"/>
        </w:tc>
        <w:tc>
          <w:tcPr>
            <w:tcW w:w="4560" w:type="dxa"/>
          </w:tcPr>
          <w:p w:rsidR="00557A6F" w:rsidRDefault="00557A6F" w:rsidP="002A3A77">
            <w:r>
              <w:t>Sum kap. 0002</w:t>
            </w:r>
          </w:p>
        </w:tc>
        <w:tc>
          <w:tcPr>
            <w:tcW w:w="1140" w:type="dxa"/>
          </w:tcPr>
          <w:p w:rsidR="00557A6F" w:rsidRDefault="00557A6F" w:rsidP="002A3A77">
            <w:pPr>
              <w:jc w:val="right"/>
            </w:pPr>
            <w:r>
              <w:t>9 763</w:t>
            </w:r>
          </w:p>
        </w:tc>
        <w:tc>
          <w:tcPr>
            <w:tcW w:w="1140" w:type="dxa"/>
          </w:tcPr>
          <w:p w:rsidR="00557A6F" w:rsidRDefault="00557A6F" w:rsidP="002A3A77">
            <w:pPr>
              <w:jc w:val="right"/>
            </w:pPr>
            <w:r>
              <w:t>10 065</w:t>
            </w:r>
          </w:p>
        </w:tc>
        <w:tc>
          <w:tcPr>
            <w:tcW w:w="1140" w:type="dxa"/>
          </w:tcPr>
          <w:p w:rsidR="00557A6F" w:rsidRDefault="00557A6F" w:rsidP="002A3A77">
            <w:pPr>
              <w:jc w:val="right"/>
            </w:pPr>
            <w:r>
              <w:t>10 427</w:t>
            </w:r>
          </w:p>
        </w:tc>
      </w:tr>
    </w:tbl>
    <w:p w:rsidR="00557A6F" w:rsidRDefault="00557A6F" w:rsidP="00557A6F">
      <w:pPr>
        <w:pStyle w:val="b-post"/>
      </w:pPr>
      <w:r>
        <w:t>Post 01 Apanasje</w:t>
      </w:r>
    </w:p>
    <w:p w:rsidR="00557A6F" w:rsidRDefault="00557A6F" w:rsidP="00557A6F">
      <w:r>
        <w:t>Bevilgningen skal dekke kronprinsparets personlige utgifter, inkludert utgifter til diverse offisielle op</w:t>
      </w:r>
      <w:r>
        <w:t>p</w:t>
      </w:r>
      <w:r>
        <w:t xml:space="preserve">drag, og til drift, vedlikehold og utvikling av private eiendommer. </w:t>
      </w:r>
    </w:p>
    <w:p w:rsidR="00557A6F" w:rsidRDefault="00557A6F" w:rsidP="00557A6F">
      <w:pPr>
        <w:pStyle w:val="b-progomr"/>
      </w:pPr>
      <w:r>
        <w:lastRenderedPageBreak/>
        <w:t>Programområde 13 Statsforvaltning og kommunesektoren mv.</w:t>
      </w:r>
    </w:p>
    <w:p w:rsidR="00557A6F" w:rsidRDefault="00557A6F" w:rsidP="00557A6F">
      <w:pPr>
        <w:pStyle w:val="b-progkat"/>
      </w:pPr>
      <w:r>
        <w:t>Programkategori 13.00 Administrasjon</w:t>
      </w:r>
    </w:p>
    <w:p w:rsidR="00557A6F" w:rsidRDefault="00557A6F" w:rsidP="00557A6F">
      <w:pPr>
        <w:pStyle w:val="avsnitt-tittel"/>
      </w:pPr>
      <w:r>
        <w:t>Utgifter under programkategori 13.00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557A6F" w:rsidTr="00557A6F">
        <w:trPr>
          <w:trHeight w:val="640"/>
        </w:trPr>
        <w:tc>
          <w:tcPr>
            <w:tcW w:w="1020" w:type="dxa"/>
            <w:shd w:val="clear" w:color="auto" w:fill="FFFFFF"/>
          </w:tcPr>
          <w:p w:rsidR="00557A6F" w:rsidRDefault="00557A6F" w:rsidP="00557A6F">
            <w:pPr>
              <w:pStyle w:val="Tabellnavn"/>
            </w:pPr>
            <w:r>
              <w:t>PIKL</w:t>
            </w:r>
          </w:p>
        </w:tc>
        <w:tc>
          <w:tcPr>
            <w:tcW w:w="4080" w:type="dxa"/>
          </w:tcPr>
          <w:p w:rsidR="00557A6F" w:rsidRDefault="00557A6F" w:rsidP="00557A6F"/>
        </w:tc>
        <w:tc>
          <w:tcPr>
            <w:tcW w:w="1020" w:type="dxa"/>
          </w:tcPr>
          <w:p w:rsidR="00557A6F" w:rsidRDefault="00557A6F" w:rsidP="00557A6F">
            <w:pPr>
              <w:pStyle w:val="Tabellnavn"/>
              <w:jc w:val="right"/>
            </w:pPr>
          </w:p>
        </w:tc>
        <w:tc>
          <w:tcPr>
            <w:tcW w:w="1020" w:type="dxa"/>
          </w:tcPr>
          <w:p w:rsidR="00557A6F" w:rsidRDefault="00557A6F" w:rsidP="00557A6F">
            <w:pPr>
              <w:pStyle w:val="Tabellnavn"/>
              <w:jc w:val="right"/>
            </w:pPr>
          </w:p>
        </w:tc>
        <w:tc>
          <w:tcPr>
            <w:tcW w:w="1020" w:type="dxa"/>
          </w:tcPr>
          <w:p w:rsidR="00557A6F" w:rsidRDefault="00557A6F" w:rsidP="00557A6F">
            <w:pPr>
              <w:pStyle w:val="Tabellnavn"/>
              <w:jc w:val="right"/>
            </w:pPr>
          </w:p>
        </w:tc>
        <w:tc>
          <w:tcPr>
            <w:tcW w:w="1020" w:type="dxa"/>
          </w:tcPr>
          <w:p w:rsidR="00557A6F" w:rsidRDefault="00557A6F" w:rsidP="00557A6F">
            <w:pPr>
              <w:jc w:val="right"/>
            </w:pPr>
            <w:r>
              <w:t>(i 1 000 kr)</w:t>
            </w:r>
          </w:p>
        </w:tc>
      </w:tr>
      <w:tr w:rsidR="00557A6F" w:rsidTr="00557A6F">
        <w:trPr>
          <w:trHeight w:val="600"/>
        </w:trPr>
        <w:tc>
          <w:tcPr>
            <w:tcW w:w="1020" w:type="dxa"/>
          </w:tcPr>
          <w:p w:rsidR="00557A6F" w:rsidRDefault="00557A6F" w:rsidP="00557A6F">
            <w:r>
              <w:t>Kap.</w:t>
            </w:r>
          </w:p>
        </w:tc>
        <w:tc>
          <w:tcPr>
            <w:tcW w:w="4080" w:type="dxa"/>
          </w:tcPr>
          <w:p w:rsidR="00557A6F" w:rsidRDefault="00557A6F" w:rsidP="00557A6F">
            <w:r>
              <w:t>Betegnelse</w:t>
            </w:r>
          </w:p>
        </w:tc>
        <w:tc>
          <w:tcPr>
            <w:tcW w:w="1020" w:type="dxa"/>
          </w:tcPr>
          <w:p w:rsidR="00557A6F" w:rsidRDefault="00557A6F" w:rsidP="00557A6F">
            <w:pPr>
              <w:jc w:val="right"/>
            </w:pPr>
            <w:r>
              <w:t>Reg</w:t>
            </w:r>
            <w:r>
              <w:t>n</w:t>
            </w:r>
            <w:r>
              <w:t>skap 2018</w:t>
            </w:r>
          </w:p>
        </w:tc>
        <w:tc>
          <w:tcPr>
            <w:tcW w:w="1020" w:type="dxa"/>
          </w:tcPr>
          <w:p w:rsidR="00557A6F" w:rsidRDefault="00557A6F" w:rsidP="00557A6F">
            <w:pPr>
              <w:jc w:val="right"/>
            </w:pPr>
            <w:r>
              <w:t xml:space="preserve">Saldert </w:t>
            </w:r>
            <w:r>
              <w:br/>
              <w:t>budsjett 2019</w:t>
            </w:r>
          </w:p>
        </w:tc>
        <w:tc>
          <w:tcPr>
            <w:tcW w:w="1020" w:type="dxa"/>
          </w:tcPr>
          <w:p w:rsidR="00557A6F" w:rsidRDefault="00557A6F" w:rsidP="00557A6F">
            <w:pPr>
              <w:jc w:val="right"/>
            </w:pPr>
            <w:r>
              <w:t xml:space="preserve">Forslag </w:t>
            </w:r>
            <w:r>
              <w:br/>
              <w:t>2020</w:t>
            </w:r>
          </w:p>
        </w:tc>
        <w:tc>
          <w:tcPr>
            <w:tcW w:w="1020" w:type="dxa"/>
          </w:tcPr>
          <w:p w:rsidR="00557A6F" w:rsidRDefault="00557A6F" w:rsidP="00557A6F">
            <w:pPr>
              <w:jc w:val="right"/>
            </w:pPr>
            <w:r>
              <w:t xml:space="preserve">Pst. endr. </w:t>
            </w:r>
            <w:r>
              <w:br/>
              <w:t>19/20</w:t>
            </w:r>
          </w:p>
        </w:tc>
      </w:tr>
      <w:tr w:rsidR="00557A6F" w:rsidTr="00557A6F">
        <w:trPr>
          <w:trHeight w:val="640"/>
        </w:trPr>
        <w:tc>
          <w:tcPr>
            <w:tcW w:w="1020" w:type="dxa"/>
          </w:tcPr>
          <w:p w:rsidR="00557A6F" w:rsidRDefault="00557A6F" w:rsidP="00557A6F">
            <w:r>
              <w:t>500</w:t>
            </w:r>
          </w:p>
        </w:tc>
        <w:tc>
          <w:tcPr>
            <w:tcW w:w="4080" w:type="dxa"/>
          </w:tcPr>
          <w:p w:rsidR="00557A6F" w:rsidRDefault="00557A6F" w:rsidP="00557A6F">
            <w:r>
              <w:t>Kommunal- og moderniseringsdepart</w:t>
            </w:r>
            <w:r>
              <w:t>e</w:t>
            </w:r>
            <w:r>
              <w:t>mentet</w:t>
            </w:r>
          </w:p>
        </w:tc>
        <w:tc>
          <w:tcPr>
            <w:tcW w:w="1020" w:type="dxa"/>
          </w:tcPr>
          <w:p w:rsidR="00557A6F" w:rsidRDefault="00557A6F" w:rsidP="00557A6F">
            <w:pPr>
              <w:jc w:val="right"/>
            </w:pPr>
            <w:r>
              <w:t>575 940</w:t>
            </w:r>
          </w:p>
        </w:tc>
        <w:tc>
          <w:tcPr>
            <w:tcW w:w="1020" w:type="dxa"/>
          </w:tcPr>
          <w:p w:rsidR="00557A6F" w:rsidRDefault="00557A6F" w:rsidP="00557A6F">
            <w:pPr>
              <w:jc w:val="right"/>
            </w:pPr>
            <w:r>
              <w:t>636 033</w:t>
            </w:r>
          </w:p>
        </w:tc>
        <w:tc>
          <w:tcPr>
            <w:tcW w:w="1020" w:type="dxa"/>
          </w:tcPr>
          <w:p w:rsidR="00557A6F" w:rsidRDefault="00557A6F" w:rsidP="00557A6F">
            <w:pPr>
              <w:jc w:val="right"/>
            </w:pPr>
            <w:r>
              <w:t>637 482</w:t>
            </w:r>
          </w:p>
        </w:tc>
        <w:tc>
          <w:tcPr>
            <w:tcW w:w="1020" w:type="dxa"/>
          </w:tcPr>
          <w:p w:rsidR="00557A6F" w:rsidRDefault="00557A6F" w:rsidP="00557A6F">
            <w:pPr>
              <w:jc w:val="right"/>
            </w:pPr>
            <w:r>
              <w:t>0,2</w:t>
            </w:r>
          </w:p>
        </w:tc>
      </w:tr>
      <w:tr w:rsidR="00557A6F" w:rsidTr="00557A6F">
        <w:trPr>
          <w:trHeight w:val="380"/>
        </w:trPr>
        <w:tc>
          <w:tcPr>
            <w:tcW w:w="1020" w:type="dxa"/>
          </w:tcPr>
          <w:p w:rsidR="00557A6F" w:rsidRDefault="00557A6F" w:rsidP="00557A6F">
            <w:r>
              <w:t>502</w:t>
            </w:r>
          </w:p>
        </w:tc>
        <w:tc>
          <w:tcPr>
            <w:tcW w:w="4080" w:type="dxa"/>
          </w:tcPr>
          <w:p w:rsidR="00557A6F" w:rsidRDefault="00557A6F" w:rsidP="00557A6F">
            <w:r>
              <w:t>Tariffavtalte avsetninger</w:t>
            </w:r>
          </w:p>
        </w:tc>
        <w:tc>
          <w:tcPr>
            <w:tcW w:w="1020" w:type="dxa"/>
          </w:tcPr>
          <w:p w:rsidR="00557A6F" w:rsidRDefault="00557A6F" w:rsidP="00557A6F">
            <w:pPr>
              <w:jc w:val="right"/>
            </w:pPr>
            <w:r>
              <w:t>198 041</w:t>
            </w:r>
          </w:p>
        </w:tc>
        <w:tc>
          <w:tcPr>
            <w:tcW w:w="1020" w:type="dxa"/>
          </w:tcPr>
          <w:p w:rsidR="00557A6F" w:rsidRDefault="00557A6F" w:rsidP="00557A6F">
            <w:pPr>
              <w:jc w:val="right"/>
            </w:pPr>
            <w:r>
              <w:t>208 100</w:t>
            </w:r>
          </w:p>
        </w:tc>
        <w:tc>
          <w:tcPr>
            <w:tcW w:w="1020" w:type="dxa"/>
          </w:tcPr>
          <w:p w:rsidR="00557A6F" w:rsidRDefault="00557A6F" w:rsidP="00557A6F">
            <w:pPr>
              <w:jc w:val="right"/>
            </w:pPr>
            <w:r>
              <w:t>195 000</w:t>
            </w:r>
          </w:p>
        </w:tc>
        <w:tc>
          <w:tcPr>
            <w:tcW w:w="1020" w:type="dxa"/>
          </w:tcPr>
          <w:p w:rsidR="00557A6F" w:rsidRDefault="00557A6F" w:rsidP="00557A6F">
            <w:pPr>
              <w:jc w:val="right"/>
            </w:pPr>
            <w:r>
              <w:t>-6,3</w:t>
            </w:r>
          </w:p>
        </w:tc>
      </w:tr>
      <w:tr w:rsidR="00557A6F" w:rsidTr="00557A6F">
        <w:trPr>
          <w:trHeight w:val="640"/>
        </w:trPr>
        <w:tc>
          <w:tcPr>
            <w:tcW w:w="1020" w:type="dxa"/>
          </w:tcPr>
          <w:p w:rsidR="00557A6F" w:rsidRDefault="00557A6F" w:rsidP="00557A6F">
            <w:r>
              <w:t>510</w:t>
            </w:r>
          </w:p>
        </w:tc>
        <w:tc>
          <w:tcPr>
            <w:tcW w:w="4080" w:type="dxa"/>
          </w:tcPr>
          <w:p w:rsidR="00557A6F" w:rsidRDefault="00557A6F" w:rsidP="00557A6F">
            <w:r>
              <w:t>Departementenes sikkerhets- og serviceo</w:t>
            </w:r>
            <w:r>
              <w:t>r</w:t>
            </w:r>
            <w:r>
              <w:t>ganisasjon</w:t>
            </w:r>
          </w:p>
        </w:tc>
        <w:tc>
          <w:tcPr>
            <w:tcW w:w="1020" w:type="dxa"/>
          </w:tcPr>
          <w:p w:rsidR="00557A6F" w:rsidRDefault="00557A6F" w:rsidP="00557A6F">
            <w:pPr>
              <w:jc w:val="right"/>
            </w:pPr>
            <w:r>
              <w:t>866 509</w:t>
            </w:r>
          </w:p>
        </w:tc>
        <w:tc>
          <w:tcPr>
            <w:tcW w:w="1020" w:type="dxa"/>
          </w:tcPr>
          <w:p w:rsidR="00557A6F" w:rsidRDefault="00557A6F" w:rsidP="00557A6F">
            <w:pPr>
              <w:jc w:val="right"/>
            </w:pPr>
            <w:r>
              <w:t>886 380</w:t>
            </w:r>
          </w:p>
        </w:tc>
        <w:tc>
          <w:tcPr>
            <w:tcW w:w="1020" w:type="dxa"/>
          </w:tcPr>
          <w:p w:rsidR="00557A6F" w:rsidRDefault="00557A6F" w:rsidP="00557A6F">
            <w:pPr>
              <w:jc w:val="right"/>
            </w:pPr>
            <w:r>
              <w:t>866 020</w:t>
            </w:r>
          </w:p>
        </w:tc>
        <w:tc>
          <w:tcPr>
            <w:tcW w:w="1020" w:type="dxa"/>
          </w:tcPr>
          <w:p w:rsidR="00557A6F" w:rsidRDefault="00557A6F" w:rsidP="00557A6F">
            <w:pPr>
              <w:jc w:val="right"/>
            </w:pPr>
            <w:r>
              <w:t>-2,3</w:t>
            </w:r>
          </w:p>
        </w:tc>
      </w:tr>
      <w:tr w:rsidR="00557A6F" w:rsidTr="00557A6F">
        <w:trPr>
          <w:trHeight w:val="380"/>
        </w:trPr>
        <w:tc>
          <w:tcPr>
            <w:tcW w:w="1020" w:type="dxa"/>
          </w:tcPr>
          <w:p w:rsidR="00557A6F" w:rsidRDefault="00557A6F" w:rsidP="00557A6F"/>
        </w:tc>
        <w:tc>
          <w:tcPr>
            <w:tcW w:w="4080" w:type="dxa"/>
          </w:tcPr>
          <w:p w:rsidR="00557A6F" w:rsidRDefault="00557A6F" w:rsidP="00557A6F">
            <w:r>
              <w:t>Sum kategori 13.00</w:t>
            </w:r>
          </w:p>
        </w:tc>
        <w:tc>
          <w:tcPr>
            <w:tcW w:w="1020" w:type="dxa"/>
          </w:tcPr>
          <w:p w:rsidR="00557A6F" w:rsidRDefault="00557A6F" w:rsidP="00557A6F">
            <w:pPr>
              <w:jc w:val="right"/>
            </w:pPr>
            <w:r>
              <w:t>1 640 490</w:t>
            </w:r>
          </w:p>
        </w:tc>
        <w:tc>
          <w:tcPr>
            <w:tcW w:w="1020" w:type="dxa"/>
          </w:tcPr>
          <w:p w:rsidR="00557A6F" w:rsidRDefault="00557A6F" w:rsidP="00557A6F">
            <w:pPr>
              <w:jc w:val="right"/>
            </w:pPr>
            <w:r>
              <w:t>1 730 513</w:t>
            </w:r>
          </w:p>
        </w:tc>
        <w:tc>
          <w:tcPr>
            <w:tcW w:w="1020" w:type="dxa"/>
          </w:tcPr>
          <w:p w:rsidR="00557A6F" w:rsidRDefault="00557A6F" w:rsidP="00557A6F">
            <w:pPr>
              <w:jc w:val="right"/>
            </w:pPr>
            <w:r>
              <w:t>1 698 502</w:t>
            </w:r>
          </w:p>
        </w:tc>
        <w:tc>
          <w:tcPr>
            <w:tcW w:w="1020" w:type="dxa"/>
          </w:tcPr>
          <w:p w:rsidR="00557A6F" w:rsidRDefault="00557A6F" w:rsidP="00557A6F">
            <w:pPr>
              <w:jc w:val="right"/>
            </w:pPr>
            <w:r>
              <w:t>-1,8</w:t>
            </w:r>
          </w:p>
        </w:tc>
      </w:tr>
    </w:tbl>
    <w:p w:rsidR="00557A6F" w:rsidRDefault="00557A6F" w:rsidP="00557A6F">
      <w:pPr>
        <w:pStyle w:val="avsnitt-tittel"/>
      </w:pPr>
      <w:r>
        <w:t>Inntekter under programkategori 13.00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557A6F" w:rsidTr="00557A6F">
        <w:trPr>
          <w:trHeight w:val="640"/>
        </w:trPr>
        <w:tc>
          <w:tcPr>
            <w:tcW w:w="1020" w:type="dxa"/>
            <w:shd w:val="clear" w:color="auto" w:fill="FFFFFF"/>
          </w:tcPr>
          <w:p w:rsidR="00557A6F" w:rsidRDefault="00557A6F" w:rsidP="00557A6F">
            <w:pPr>
              <w:pStyle w:val="Tabellnavn"/>
            </w:pPr>
            <w:r>
              <w:t>PIKL</w:t>
            </w:r>
          </w:p>
        </w:tc>
        <w:tc>
          <w:tcPr>
            <w:tcW w:w="4080" w:type="dxa"/>
          </w:tcPr>
          <w:p w:rsidR="00557A6F" w:rsidRDefault="00557A6F" w:rsidP="00557A6F"/>
        </w:tc>
        <w:tc>
          <w:tcPr>
            <w:tcW w:w="1020" w:type="dxa"/>
          </w:tcPr>
          <w:p w:rsidR="00557A6F" w:rsidRDefault="00557A6F" w:rsidP="00557A6F">
            <w:pPr>
              <w:pStyle w:val="Tabellnavn"/>
              <w:jc w:val="right"/>
            </w:pPr>
          </w:p>
        </w:tc>
        <w:tc>
          <w:tcPr>
            <w:tcW w:w="1020" w:type="dxa"/>
          </w:tcPr>
          <w:p w:rsidR="00557A6F" w:rsidRDefault="00557A6F" w:rsidP="00557A6F">
            <w:pPr>
              <w:pStyle w:val="Tabellnavn"/>
              <w:jc w:val="right"/>
            </w:pPr>
          </w:p>
        </w:tc>
        <w:tc>
          <w:tcPr>
            <w:tcW w:w="1020" w:type="dxa"/>
          </w:tcPr>
          <w:p w:rsidR="00557A6F" w:rsidRDefault="00557A6F" w:rsidP="00557A6F">
            <w:pPr>
              <w:pStyle w:val="Tabellnavn"/>
              <w:jc w:val="right"/>
            </w:pPr>
          </w:p>
        </w:tc>
        <w:tc>
          <w:tcPr>
            <w:tcW w:w="1020" w:type="dxa"/>
          </w:tcPr>
          <w:p w:rsidR="00557A6F" w:rsidRDefault="00557A6F" w:rsidP="00557A6F">
            <w:pPr>
              <w:jc w:val="right"/>
            </w:pPr>
            <w:r>
              <w:t>(i 1 000 kr)</w:t>
            </w:r>
          </w:p>
        </w:tc>
      </w:tr>
      <w:tr w:rsidR="00557A6F" w:rsidTr="00557A6F">
        <w:trPr>
          <w:trHeight w:val="600"/>
        </w:trPr>
        <w:tc>
          <w:tcPr>
            <w:tcW w:w="1020" w:type="dxa"/>
          </w:tcPr>
          <w:p w:rsidR="00557A6F" w:rsidRDefault="00557A6F" w:rsidP="00557A6F">
            <w:r>
              <w:t>Kap.</w:t>
            </w:r>
          </w:p>
        </w:tc>
        <w:tc>
          <w:tcPr>
            <w:tcW w:w="4080" w:type="dxa"/>
          </w:tcPr>
          <w:p w:rsidR="00557A6F" w:rsidRDefault="00557A6F" w:rsidP="00557A6F">
            <w:r>
              <w:t>Betegnelse</w:t>
            </w:r>
          </w:p>
        </w:tc>
        <w:tc>
          <w:tcPr>
            <w:tcW w:w="1020" w:type="dxa"/>
          </w:tcPr>
          <w:p w:rsidR="00557A6F" w:rsidRDefault="00557A6F" w:rsidP="00557A6F">
            <w:pPr>
              <w:jc w:val="right"/>
            </w:pPr>
            <w:r>
              <w:t>Reg</w:t>
            </w:r>
            <w:r>
              <w:t>n</w:t>
            </w:r>
            <w:r>
              <w:t>skap 2018</w:t>
            </w:r>
          </w:p>
        </w:tc>
        <w:tc>
          <w:tcPr>
            <w:tcW w:w="1020" w:type="dxa"/>
          </w:tcPr>
          <w:p w:rsidR="00557A6F" w:rsidRDefault="00557A6F" w:rsidP="00557A6F">
            <w:pPr>
              <w:jc w:val="right"/>
            </w:pPr>
            <w:r>
              <w:t xml:space="preserve">Saldert </w:t>
            </w:r>
            <w:r>
              <w:br/>
              <w:t>budsjett 2019</w:t>
            </w:r>
          </w:p>
        </w:tc>
        <w:tc>
          <w:tcPr>
            <w:tcW w:w="1020" w:type="dxa"/>
          </w:tcPr>
          <w:p w:rsidR="00557A6F" w:rsidRDefault="00557A6F" w:rsidP="00557A6F">
            <w:pPr>
              <w:jc w:val="right"/>
            </w:pPr>
            <w:r>
              <w:t xml:space="preserve">Forslag </w:t>
            </w:r>
            <w:r>
              <w:br/>
              <w:t>2020</w:t>
            </w:r>
          </w:p>
        </w:tc>
        <w:tc>
          <w:tcPr>
            <w:tcW w:w="1020" w:type="dxa"/>
          </w:tcPr>
          <w:p w:rsidR="00557A6F" w:rsidRDefault="00557A6F" w:rsidP="00557A6F">
            <w:pPr>
              <w:jc w:val="right"/>
            </w:pPr>
            <w:r>
              <w:t xml:space="preserve">Pst. endr. </w:t>
            </w:r>
            <w:r>
              <w:br/>
              <w:t>19/20</w:t>
            </w:r>
          </w:p>
        </w:tc>
      </w:tr>
      <w:tr w:rsidR="00557A6F" w:rsidTr="00557A6F">
        <w:trPr>
          <w:trHeight w:val="640"/>
        </w:trPr>
        <w:tc>
          <w:tcPr>
            <w:tcW w:w="1020" w:type="dxa"/>
          </w:tcPr>
          <w:p w:rsidR="00557A6F" w:rsidRDefault="00557A6F" w:rsidP="00557A6F">
            <w:r>
              <w:t>3500</w:t>
            </w:r>
          </w:p>
        </w:tc>
        <w:tc>
          <w:tcPr>
            <w:tcW w:w="4080" w:type="dxa"/>
          </w:tcPr>
          <w:p w:rsidR="00557A6F" w:rsidRDefault="00557A6F" w:rsidP="00557A6F">
            <w:r>
              <w:t>Kommunal- og moderniseringsdepart</w:t>
            </w:r>
            <w:r>
              <w:t>e</w:t>
            </w:r>
            <w:r>
              <w:t>mentet</w:t>
            </w:r>
          </w:p>
        </w:tc>
        <w:tc>
          <w:tcPr>
            <w:tcW w:w="1020" w:type="dxa"/>
          </w:tcPr>
          <w:p w:rsidR="00557A6F" w:rsidRDefault="00557A6F" w:rsidP="00557A6F">
            <w:pPr>
              <w:jc w:val="right"/>
            </w:pPr>
            <w:r>
              <w:t>1 237</w:t>
            </w: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p>
        </w:tc>
      </w:tr>
      <w:tr w:rsidR="00557A6F" w:rsidTr="00557A6F">
        <w:trPr>
          <w:trHeight w:val="640"/>
        </w:trPr>
        <w:tc>
          <w:tcPr>
            <w:tcW w:w="1020" w:type="dxa"/>
          </w:tcPr>
          <w:p w:rsidR="00557A6F" w:rsidRDefault="00557A6F" w:rsidP="00557A6F">
            <w:r>
              <w:t>3510</w:t>
            </w:r>
          </w:p>
        </w:tc>
        <w:tc>
          <w:tcPr>
            <w:tcW w:w="4080" w:type="dxa"/>
          </w:tcPr>
          <w:p w:rsidR="00557A6F" w:rsidRDefault="00557A6F" w:rsidP="00557A6F">
            <w:r>
              <w:t>Departementenes sikkerhets- og serviceo</w:t>
            </w:r>
            <w:r>
              <w:t>r</w:t>
            </w:r>
            <w:r>
              <w:t>ganisasjon</w:t>
            </w:r>
          </w:p>
        </w:tc>
        <w:tc>
          <w:tcPr>
            <w:tcW w:w="1020" w:type="dxa"/>
          </w:tcPr>
          <w:p w:rsidR="00557A6F" w:rsidRDefault="00557A6F" w:rsidP="00557A6F">
            <w:pPr>
              <w:jc w:val="right"/>
            </w:pPr>
            <w:r>
              <w:t>171 462</w:t>
            </w:r>
          </w:p>
        </w:tc>
        <w:tc>
          <w:tcPr>
            <w:tcW w:w="1020" w:type="dxa"/>
          </w:tcPr>
          <w:p w:rsidR="00557A6F" w:rsidRDefault="00557A6F" w:rsidP="00557A6F">
            <w:pPr>
              <w:jc w:val="right"/>
            </w:pPr>
            <w:r>
              <w:t>89 706</w:t>
            </w:r>
          </w:p>
        </w:tc>
        <w:tc>
          <w:tcPr>
            <w:tcW w:w="1020" w:type="dxa"/>
          </w:tcPr>
          <w:p w:rsidR="00557A6F" w:rsidRDefault="00557A6F" w:rsidP="00557A6F">
            <w:pPr>
              <w:jc w:val="right"/>
            </w:pPr>
            <w:r>
              <w:t>85 056</w:t>
            </w:r>
          </w:p>
        </w:tc>
        <w:tc>
          <w:tcPr>
            <w:tcW w:w="1020" w:type="dxa"/>
          </w:tcPr>
          <w:p w:rsidR="00557A6F" w:rsidRDefault="00557A6F" w:rsidP="00557A6F">
            <w:pPr>
              <w:jc w:val="right"/>
            </w:pPr>
            <w:r>
              <w:t>-5,2</w:t>
            </w:r>
          </w:p>
        </w:tc>
      </w:tr>
      <w:tr w:rsidR="00557A6F" w:rsidTr="00557A6F">
        <w:trPr>
          <w:trHeight w:val="380"/>
        </w:trPr>
        <w:tc>
          <w:tcPr>
            <w:tcW w:w="1020" w:type="dxa"/>
          </w:tcPr>
          <w:p w:rsidR="00557A6F" w:rsidRDefault="00557A6F" w:rsidP="00557A6F"/>
        </w:tc>
        <w:tc>
          <w:tcPr>
            <w:tcW w:w="4080" w:type="dxa"/>
          </w:tcPr>
          <w:p w:rsidR="00557A6F" w:rsidRDefault="00557A6F" w:rsidP="00557A6F">
            <w:r>
              <w:t>Sum kategori 13.00</w:t>
            </w:r>
          </w:p>
        </w:tc>
        <w:tc>
          <w:tcPr>
            <w:tcW w:w="1020" w:type="dxa"/>
          </w:tcPr>
          <w:p w:rsidR="00557A6F" w:rsidRDefault="00557A6F" w:rsidP="00557A6F">
            <w:pPr>
              <w:jc w:val="right"/>
            </w:pPr>
            <w:r>
              <w:t>172 699</w:t>
            </w:r>
          </w:p>
        </w:tc>
        <w:tc>
          <w:tcPr>
            <w:tcW w:w="1020" w:type="dxa"/>
          </w:tcPr>
          <w:p w:rsidR="00557A6F" w:rsidRDefault="00557A6F" w:rsidP="00557A6F">
            <w:pPr>
              <w:jc w:val="right"/>
            </w:pPr>
            <w:r>
              <w:t>89 706</w:t>
            </w:r>
          </w:p>
        </w:tc>
        <w:tc>
          <w:tcPr>
            <w:tcW w:w="1020" w:type="dxa"/>
          </w:tcPr>
          <w:p w:rsidR="00557A6F" w:rsidRDefault="00557A6F" w:rsidP="00557A6F">
            <w:pPr>
              <w:jc w:val="right"/>
            </w:pPr>
            <w:r>
              <w:t>85 056</w:t>
            </w:r>
          </w:p>
        </w:tc>
        <w:tc>
          <w:tcPr>
            <w:tcW w:w="1020" w:type="dxa"/>
          </w:tcPr>
          <w:p w:rsidR="00557A6F" w:rsidRDefault="00557A6F" w:rsidP="00557A6F">
            <w:pPr>
              <w:jc w:val="right"/>
            </w:pPr>
            <w:r>
              <w:t>-5,2</w:t>
            </w:r>
          </w:p>
        </w:tc>
      </w:tr>
    </w:tbl>
    <w:p w:rsidR="00557A6F" w:rsidRDefault="00557A6F" w:rsidP="00557A6F">
      <w:pPr>
        <w:pStyle w:val="Undertittel"/>
      </w:pPr>
      <w:r>
        <w:t>Ansvarsområder</w:t>
      </w:r>
    </w:p>
    <w:p w:rsidR="00557A6F" w:rsidRDefault="00557A6F" w:rsidP="00557A6F">
      <w:r>
        <w:t>Programkategorien omfatter utgifter til drift og administrasjon av Kommunal- og modernisering</w:t>
      </w:r>
      <w:r>
        <w:t>s</w:t>
      </w:r>
      <w:r>
        <w:t>departementet og utgifter til felles forsknings- og utredningsoppgaver innenfor departementets fagområder.</w:t>
      </w:r>
    </w:p>
    <w:p w:rsidR="00557A6F" w:rsidRDefault="00557A6F" w:rsidP="00557A6F">
      <w:r>
        <w:t>Programkategorien omfatter også bevilgninger til enkelte fagområder.</w:t>
      </w:r>
    </w:p>
    <w:p w:rsidR="00557A6F" w:rsidRDefault="00557A6F" w:rsidP="00557A6F">
      <w:r>
        <w:t>Departementet har ansvaret for den sentrale arbeidsgiverfunksjonen i staten. Departementet forva</w:t>
      </w:r>
      <w:r>
        <w:t>l</w:t>
      </w:r>
      <w:r>
        <w:t>ter statsansatteloven, tjenestetvistloven og karanteneloven med forskrifter. Videre forvalter depa</w:t>
      </w:r>
      <w:r>
        <w:t>r</w:t>
      </w:r>
      <w:r>
        <w:t>tementet fullmakten til å forhandle og inngå tariffavtaler med hovedsammenslutningene i staten (LO Stat, Akademikerne, Unio og YS Stat). Den sentrale overordnede arbeidsgiverpolitikken angir mål og setter rammer for utøvelsen av arbeidsg</w:t>
      </w:r>
      <w:r>
        <w:t>i</w:t>
      </w:r>
      <w:r>
        <w:t>veransvaret i de statlige virksomhetene.</w:t>
      </w:r>
    </w:p>
    <w:p w:rsidR="00557A6F" w:rsidRDefault="00557A6F" w:rsidP="00557A6F">
      <w:r>
        <w:t>Departementet har ansvaret for sikring av departementsbygningene. Dette omfatter grunnsikring i henhold til si</w:t>
      </w:r>
      <w:r>
        <w:t>k</w:t>
      </w:r>
      <w:r>
        <w:t>kerhetsloven og gjelder felles bygningsmasse, fellesområder og utendørsområder. Ansvaret omfatter også regj</w:t>
      </w:r>
      <w:r>
        <w:t>e</w:t>
      </w:r>
      <w:r>
        <w:lastRenderedPageBreak/>
        <w:t>ringens representasjonsanlegg, men ikke Forsvarsdepartementet og de midlertidige lokalene for Statsministerens kontor.</w:t>
      </w:r>
    </w:p>
    <w:p w:rsidR="00557A6F" w:rsidRDefault="00557A6F" w:rsidP="00557A6F">
      <w:r>
        <w:t>Departementet har ansvar for arbeidet med nytt regjeringskvartal.</w:t>
      </w:r>
    </w:p>
    <w:p w:rsidR="00557A6F" w:rsidRDefault="00557A6F" w:rsidP="00557A6F">
      <w:r>
        <w:t>Departementet er etatsstyrer for Departementenes sikkerhets- og serviceorganisasjon (DSS) som leverer felle</w:t>
      </w:r>
      <w:r>
        <w:t>s</w:t>
      </w:r>
      <w:r>
        <w:t>tjenester til departementene og Statsministerens kontor.</w:t>
      </w:r>
    </w:p>
    <w:p w:rsidR="00557A6F" w:rsidRDefault="00557A6F" w:rsidP="00557A6F">
      <w:r>
        <w:t>Departementets arbeid med øvrige fagområder omtales samlet under den tilhørende programkat</w:t>
      </w:r>
      <w:r>
        <w:t>e</w:t>
      </w:r>
      <w:r>
        <w:t>gorien.</w:t>
      </w:r>
    </w:p>
    <w:p w:rsidR="00557A6F" w:rsidRDefault="00557A6F" w:rsidP="00557A6F">
      <w:pPr>
        <w:pStyle w:val="Undertittel"/>
      </w:pPr>
      <w:r>
        <w:t>Mål og rapportering, strategier og tiltak</w:t>
      </w:r>
    </w:p>
    <w:p w:rsidR="007F3140" w:rsidRPr="007F3140" w:rsidRDefault="007F3140" w:rsidP="007F3140">
      <w:pPr>
        <w:pStyle w:val="tabell-tittel"/>
      </w:pPr>
      <w:r>
        <w:t>Mål for programkategori 13.00 Administrasjon</w:t>
      </w:r>
    </w:p>
    <w:p w:rsidR="00557A6F" w:rsidRDefault="00557A6F" w:rsidP="00557A6F">
      <w:pPr>
        <w:pStyle w:val="Tabellnavn"/>
      </w:pPr>
      <w:r>
        <w:t>02J0xx2</w:t>
      </w:r>
    </w:p>
    <w:tbl>
      <w:tblPr>
        <w:tblStyle w:val="StandardTabell"/>
        <w:tblW w:w="0" w:type="auto"/>
        <w:tblLayout w:type="fixed"/>
        <w:tblLook w:val="04A0" w:firstRow="1" w:lastRow="0" w:firstColumn="1" w:lastColumn="0" w:noHBand="0" w:noVBand="1"/>
      </w:tblPr>
      <w:tblGrid>
        <w:gridCol w:w="9200"/>
      </w:tblGrid>
      <w:tr w:rsidR="00557A6F" w:rsidTr="00557A6F">
        <w:trPr>
          <w:trHeight w:val="380"/>
        </w:trPr>
        <w:tc>
          <w:tcPr>
            <w:tcW w:w="9200" w:type="dxa"/>
          </w:tcPr>
          <w:p w:rsidR="00557A6F" w:rsidRDefault="00557A6F" w:rsidP="00557A6F">
            <w:r>
              <w:t>1.</w:t>
            </w:r>
            <w:r>
              <w:tab/>
              <w:t xml:space="preserve"> Statlige virksomheter er kompetente arbeidsgivere med attraktive arbeidsplasser</w:t>
            </w:r>
          </w:p>
        </w:tc>
      </w:tr>
      <w:tr w:rsidR="00557A6F" w:rsidTr="00557A6F">
        <w:trPr>
          <w:trHeight w:val="380"/>
        </w:trPr>
        <w:tc>
          <w:tcPr>
            <w:tcW w:w="9200" w:type="dxa"/>
          </w:tcPr>
          <w:p w:rsidR="00557A6F" w:rsidRDefault="00557A6F" w:rsidP="00557A6F">
            <w:r>
              <w:t xml:space="preserve">2. </w:t>
            </w:r>
            <w:r>
              <w:tab/>
              <w:t>Departementene mottar effektive fellestjenester med riktig kvalitet</w:t>
            </w:r>
          </w:p>
        </w:tc>
      </w:tr>
      <w:tr w:rsidR="00557A6F" w:rsidTr="00557A6F">
        <w:trPr>
          <w:trHeight w:val="380"/>
        </w:trPr>
        <w:tc>
          <w:tcPr>
            <w:tcW w:w="9200" w:type="dxa"/>
          </w:tcPr>
          <w:p w:rsidR="00557A6F" w:rsidRDefault="00557A6F" w:rsidP="00557A6F">
            <w:r>
              <w:t xml:space="preserve">3. </w:t>
            </w:r>
            <w:r>
              <w:tab/>
              <w:t>Et nytt, effektivt regjeringskvartal</w:t>
            </w:r>
          </w:p>
        </w:tc>
      </w:tr>
    </w:tbl>
    <w:p w:rsidR="00557A6F" w:rsidRDefault="00557A6F" w:rsidP="00557A6F">
      <w:pPr>
        <w:pStyle w:val="avsnitt-tittel"/>
      </w:pPr>
      <w:r>
        <w:t>Mål 1 Statlige virksomheter er kompetente arbeidsgivere med attraktive a</w:t>
      </w:r>
      <w:r>
        <w:t>r</w:t>
      </w:r>
      <w:r>
        <w:t>beidsplasser</w:t>
      </w:r>
    </w:p>
    <w:p w:rsidR="00557A6F" w:rsidRDefault="00557A6F" w:rsidP="00557A6F">
      <w:r>
        <w:t>Den statlige arbeidsgiverpolitikken bygger på felles prinsipper og verdier. Virksomhetene er ulike og må utvikle sin egen arbeidsgiverpolitikk tilpasset sine oppgaver, organisering, størrelse og sa</w:t>
      </w:r>
      <w:r>
        <w:t>m</w:t>
      </w:r>
      <w:r>
        <w:t>funnsoppdrag. Det er derfor nødvendig å gi dem større lokalt handlingsrom.</w:t>
      </w:r>
    </w:p>
    <w:p w:rsidR="00557A6F" w:rsidRDefault="00557A6F" w:rsidP="00557A6F">
      <w:pPr>
        <w:pStyle w:val="avsnitt-undertittel"/>
      </w:pPr>
      <w:r>
        <w:t>Rapport, strategier og tiltak</w:t>
      </w:r>
    </w:p>
    <w:p w:rsidR="00557A6F" w:rsidRDefault="00557A6F" w:rsidP="00557A6F">
      <w:r>
        <w:t>Sentrale arbeidsgiverpolitiske tiltak og føringer må være godt forankret i arbeidsgiverstrategien og i virksomhetenes behov, samtidig som de må legge til rette for lokale tilpasninger.</w:t>
      </w:r>
    </w:p>
    <w:p w:rsidR="00557A6F" w:rsidRDefault="00557A6F" w:rsidP="00557A6F">
      <w:r>
        <w:t>Den statlige arbeidsgiverstrategien ble fastsatt i 2016 og løper ut 2019. Departementet er i gang med å revidere arbeidsgiverstrategien, basert på bred involvering og deltakelse fra statlige arbeid</w:t>
      </w:r>
      <w:r>
        <w:t>s</w:t>
      </w:r>
      <w:r>
        <w:t>givere og Arbeidsgiverrådet.</w:t>
      </w:r>
    </w:p>
    <w:p w:rsidR="00557A6F" w:rsidRDefault="00557A6F" w:rsidP="00557A6F">
      <w:r>
        <w:t>Arbeidsgiverrådet har gitt råd og prioriteringer til departementet knyttet til både lønnsoppgjør og sentrale arbeidsg</w:t>
      </w:r>
      <w:r>
        <w:t>i</w:t>
      </w:r>
      <w:r>
        <w:t>verpolitiske satsinger. Rådets anbefalinger veier tungt i departementets arbeid med videreu</w:t>
      </w:r>
      <w:r>
        <w:t>t</w:t>
      </w:r>
      <w:r>
        <w:t>vikling av den statlige arbeidsgiverpolitikken.</w:t>
      </w:r>
    </w:p>
    <w:p w:rsidR="00557A6F" w:rsidRDefault="00557A6F" w:rsidP="00557A6F">
      <w:r>
        <w:t>Fra 1. januar 2020 overføres blant annet ansvarsområdene under avdelingene for ledelse og for utredning og analyse i Direktoratet for forvaltning og IKT (Difi) til Direktoratet for økonomistyring (DFØ). Ansvarsområdene utgjør viktige deler av statens arbeidsgiverpolitikk og forvaltningspol</w:t>
      </w:r>
      <w:r>
        <w:t>i</w:t>
      </w:r>
      <w:r>
        <w:t>tikk, og skal styres faglig fra Kommunal- og moderniseringsdepartementet, med Finansdepart</w:t>
      </w:r>
      <w:r>
        <w:t>e</w:t>
      </w:r>
      <w:r>
        <w:t>mentet som ansvarlig etatsstyrer for d</w:t>
      </w:r>
      <w:r>
        <w:t>i</w:t>
      </w:r>
      <w:r>
        <w:t xml:space="preserve">rektoratet som helhet. Det restrukturerte DFØ vil få navnet Direktoratet for forvaltning og økonomistyring (DFØ). </w:t>
      </w:r>
    </w:p>
    <w:p w:rsidR="00557A6F" w:rsidRDefault="00557A6F" w:rsidP="00557A6F">
      <w:r>
        <w:t>Gode resultater i en virksomhet fordrer god styring, ledelse og organisering. En samling av fago</w:t>
      </w:r>
      <w:r>
        <w:t>m</w:t>
      </w:r>
      <w:r>
        <w:t>rådene økon</w:t>
      </w:r>
      <w:r>
        <w:t>o</w:t>
      </w:r>
      <w:r>
        <w:t>mi, styring, ledelse, organisering og anskaffelser i ett direktorat legger til rette for en mer samordnet utvikling av disse fagområdene. En mer samordnet utvikling vil bety at statlige virksomheter kan få bedre og mer helhetlige tjenester enn hva Difi og DFØ har kunnet tilby hver for seg. Det vises til nærmere omtale under programkategori 13.40.</w:t>
      </w:r>
    </w:p>
    <w:p w:rsidR="00557A6F" w:rsidRDefault="00557A6F" w:rsidP="00557A6F">
      <w:r>
        <w:t>Kommunal- og moderniseringsdepartementet vil fortsatt ha det faglige styringsansvaret for dire</w:t>
      </w:r>
      <w:r>
        <w:t>k</w:t>
      </w:r>
      <w:r>
        <w:t>toratets oppg</w:t>
      </w:r>
      <w:r>
        <w:t>a</w:t>
      </w:r>
      <w:r>
        <w:t>ver innenfor den statlige arbeidsgiverpolitikken. Viktige elementer er å gi statlige virksomheter et bedre tilbud om støtte og rådgivning, særlig knyttet til omstilling og en digital a</w:t>
      </w:r>
      <w:r>
        <w:t>r</w:t>
      </w:r>
      <w:r>
        <w:t>beidsgiverportal. I tillegg kommer oppgaver knyttet til ledelse, kompetanseutvikling, tiltak for flere lærlinger i staten, man</w:t>
      </w:r>
      <w:r>
        <w:t>g</w:t>
      </w:r>
      <w:r>
        <w:t>fold og sekretariatsfunksjonen for Arbeidsgiverrådet.</w:t>
      </w:r>
    </w:p>
    <w:p w:rsidR="00557A6F" w:rsidRDefault="00557A6F" w:rsidP="00557A6F">
      <w:r>
        <w:t>Regjeringen har invitert hele arbeidslivet til en inkluderingsdugnad for å få flere inn i arbeidslivet. Regj</w:t>
      </w:r>
      <w:r>
        <w:t>e</w:t>
      </w:r>
      <w:r>
        <w:t>ringen vil at staten skal gå foran, og har satt som mål at 5 prosent av alle nyansatte i staten skal være personer med nedsatt funk</w:t>
      </w:r>
      <w:r>
        <w:lastRenderedPageBreak/>
        <w:t>sjonsevne eller hull i CV-en. Departementene følger opp vir</w:t>
      </w:r>
      <w:r>
        <w:t>k</w:t>
      </w:r>
      <w:r>
        <w:t>somhetenes arbeid. Difi tilbyr støtte og veiledning. I juni 2019 annonserte Difi 43 utlyste stillinger i et nytt traineeprogram for me</w:t>
      </w:r>
      <w:r>
        <w:t>n</w:t>
      </w:r>
      <w:r>
        <w:t>nesker med nedsatt funksjonsevne og høyere utdanning. Dette er en god mulighet for virksomhetene til å komme i kontakt med og rekruttere jobbsøkere i målgruppen og et bidrag til å realisere inkluderingsdu</w:t>
      </w:r>
      <w:r>
        <w:t>g</w:t>
      </w:r>
      <w:r>
        <w:t>naden. Statlige virksomheter har i årsrapportene for 2018 rapportert resultatene fra sine første erfaringer med 5 prosent-målet. Arbeids- og sosialdepart</w:t>
      </w:r>
      <w:r>
        <w:t>e</w:t>
      </w:r>
      <w:r>
        <w:t>mentet er det depa</w:t>
      </w:r>
      <w:r>
        <w:t>r</w:t>
      </w:r>
      <w:r>
        <w:t>tementsområdet som rapporterer best tall for sin sektor. Her er andelen ansatte med nedsatt funksjonsevne eller hull i CV-en 4,5 pst. De fleste andre departementsområdene ligger derimot på under 1 pst. Etter en gjennomgang av resultatene har regjeringen forutsatt at depart</w:t>
      </w:r>
      <w:r>
        <w:t>e</w:t>
      </w:r>
      <w:r>
        <w:t>mentene og virksomhetene intensiverer arbeidet med dugnaden. Fo</w:t>
      </w:r>
      <w:r>
        <w:t>r</w:t>
      </w:r>
      <w:r>
        <w:t>slag om endringer i forskriften til statsansatteloven er sendt på høring. De foreslåtte endringene i reglene for anse</w:t>
      </w:r>
      <w:r>
        <w:t>t</w:t>
      </w:r>
      <w:r>
        <w:t>telse skal gjøre det lettere for virksomhetene å oppnå resultater i dugnaden.</w:t>
      </w:r>
    </w:p>
    <w:p w:rsidR="00557A6F" w:rsidRDefault="00557A6F" w:rsidP="00557A6F">
      <w:r>
        <w:t>Som en del av integreringsløftet gjennomføres det forsøk med anonyme søknader i statlige vir</w:t>
      </w:r>
      <w:r>
        <w:t>k</w:t>
      </w:r>
      <w:r>
        <w:t>somheter. Formålet med forsøket er å finne ut om det å anonymisere søknader i statlige rekrutt</w:t>
      </w:r>
      <w:r>
        <w:t>e</w:t>
      </w:r>
      <w:r>
        <w:t>ringsprosesser kan være et godt virkemiddel for å integrere personer med innvandrerbakgrunn i arbeidslivet. 15 virksomheter skal delta i forsøket. Blant deltakerne er Arbeids- og velferdsdirekt</w:t>
      </w:r>
      <w:r>
        <w:t>o</w:t>
      </w:r>
      <w:r>
        <w:t>ratet, Unive</w:t>
      </w:r>
      <w:r>
        <w:t>r</w:t>
      </w:r>
      <w:r>
        <w:t>sitetet i Bergen, Nasjonalbiblioteket og Kommunal- og moderniseringsdepartementet. DFØ skal uta</w:t>
      </w:r>
      <w:r>
        <w:t>r</w:t>
      </w:r>
      <w:r>
        <w:t>beide en rapport om forsøket i 2020.</w:t>
      </w:r>
    </w:p>
    <w:p w:rsidR="00557A6F" w:rsidRDefault="00557A6F" w:rsidP="00557A6F">
      <w:r>
        <w:t>Difi la i februar 2019 fram Statsansatteundersøkelsen 2018. Undersøkelsen omfatter ledelse, sa</w:t>
      </w:r>
      <w:r>
        <w:t>m</w:t>
      </w:r>
      <w:r>
        <w:t>arbeidsforhold, inkludering, innovasjonsklima, omstilling og hvordan staten er som arbeidsplass. Difi har gjennomført aktiviteter for å spre informasjon om undersøkelsen og har arbeidet med å utvikle kompetans</w:t>
      </w:r>
      <w:r>
        <w:t>e</w:t>
      </w:r>
      <w:r>
        <w:t>tilbudet på basis av resultatene. Slike systematiske undersøkelser i staten er et viktig kunnskapsgrunnlag for å videreutvikle statens arbeidsgiverpol</w:t>
      </w:r>
      <w:r>
        <w:t>i</w:t>
      </w:r>
      <w:r>
        <w:t>tikk og iverksette relevante tiltak.</w:t>
      </w:r>
    </w:p>
    <w:p w:rsidR="00557A6F" w:rsidRDefault="00557A6F" w:rsidP="00557A6F">
      <w:r>
        <w:t>Etter initiativ fra den tidligere LO-lederen og kommunal- og moderniseringsministeren, og etter invit</w:t>
      </w:r>
      <w:r>
        <w:t>a</w:t>
      </w:r>
      <w:r>
        <w:t>sjon fra de sentrale parter, ble det satt i gang arbeid med forsøk i staten, hovedsakelig med alternative a</w:t>
      </w:r>
      <w:r>
        <w:t>r</w:t>
      </w:r>
      <w:r>
        <w:t>beidstidsordninger. Forsøkene med alternative arbeidstidsordninger – langvakter – i Forsvaret og Kriminalomsorgen og ønsketurnus i Tolletaten ble avsluttet 1. kvartal 2019. En ra</w:t>
      </w:r>
      <w:r>
        <w:t>p</w:t>
      </w:r>
      <w:r>
        <w:t>port fra forskningsstiftelsen Fafo, som har fulgt forsøkene med arbeidstid, viser at både arbeidst</w:t>
      </w:r>
      <w:r>
        <w:t>a</w:t>
      </w:r>
      <w:r>
        <w:t>ker- og arbeidsgiversiden i stor grad er fornøyd med forsøkene. Arbeidstakerne som har deltatt i forsøkene er særlig fornøyd med at de har ført til en bedre balanse mellom arbeidstid og fritid. De sen</w:t>
      </w:r>
      <w:r>
        <w:t>t</w:t>
      </w:r>
      <w:r>
        <w:t>rale parter i staten har åpnet for at forsøkene kan fortsette ut 2020. Forsøket med kompetanse- og organisasjonsu</w:t>
      </w:r>
      <w:r>
        <w:t>t</w:t>
      </w:r>
      <w:r>
        <w:t>vikling i Statens vegvesen er avsluttet.</w:t>
      </w:r>
    </w:p>
    <w:p w:rsidR="00557A6F" w:rsidRDefault="00557A6F" w:rsidP="00557A6F">
      <w:r>
        <w:t>Arbeidsforskningsinstituttet (AFI) ved OsloMet har på oppdrag fra departementet gjennomført en effektevaluering av de nye reglene for midlertidig ansettelse i staten. Evalueringen er nærmere o</w:t>
      </w:r>
      <w:r>
        <w:t>m</w:t>
      </w:r>
      <w:r>
        <w:t>talt under anmodningsvedtak nr. 872, 12. juni 2017 om midlertidig ansettelser i staten i del I Innl</w:t>
      </w:r>
      <w:r>
        <w:t>e</w:t>
      </w:r>
      <w:r>
        <w:t>dende del pkt. 4.</w:t>
      </w:r>
    </w:p>
    <w:p w:rsidR="00557A6F" w:rsidRDefault="00557A6F" w:rsidP="00557A6F">
      <w:r>
        <w:t>Økt digitaliseringstakt og hyppigere omstillinger stiller andre krav til kompetanse og kompetans</w:t>
      </w:r>
      <w:r>
        <w:t>e</w:t>
      </w:r>
      <w:r>
        <w:t>utvikling hos ledere og medarbeidere.</w:t>
      </w:r>
    </w:p>
    <w:p w:rsidR="00557A6F" w:rsidRDefault="00557A6F" w:rsidP="00557A6F">
      <w:r>
        <w:t>Satsing på felles digital opplæring i staten, gjennom programmet På nett med læring (2014–2018), er fullført og departementet vil bidra til å sikre at satsingen får varig effekt. En læringsplattform er tilgjengelig for alle og tilbyr et stort antall e-læringskurs. Difi har også tilbud om en egen virkso</w:t>
      </w:r>
      <w:r>
        <w:t>m</w:t>
      </w:r>
      <w:r>
        <w:t>hetsplattform med kompetansestyringsm</w:t>
      </w:r>
      <w:r>
        <w:t>o</w:t>
      </w:r>
      <w:r>
        <w:t>dul til virksomhetene. Disse får med plattformen et «eget rom» hvor de kan administrere og styre kompetanseutviklingsprosesser og konkrete kompetans</w:t>
      </w:r>
      <w:r>
        <w:t>e</w:t>
      </w:r>
      <w:r>
        <w:t>tiltak. DSS og alle depa</w:t>
      </w:r>
      <w:r>
        <w:t>r</w:t>
      </w:r>
      <w:r>
        <w:t>tementene vil fra høsten 2019 ta plattformen i bruk.</w:t>
      </w:r>
    </w:p>
    <w:p w:rsidR="00557A6F" w:rsidRDefault="00557A6F" w:rsidP="00557A6F">
      <w:r>
        <w:t>Lønnsoppgjørene i 2018 og 2019 ble gjennomført innen forsvarlige økonomiske rammer, og i samsvar med frontfaget. Store deler av rammene har blitt delegert til fordeling gjennom lokale fo</w:t>
      </w:r>
      <w:r>
        <w:t>r</w:t>
      </w:r>
      <w:r>
        <w:t>handlinger og i tråd med lokal lønnspolitikk.</w:t>
      </w:r>
    </w:p>
    <w:p w:rsidR="00557A6F" w:rsidRDefault="00557A6F" w:rsidP="00557A6F">
      <w:r>
        <w:t>Staten har siden 2016 hatt to tariffavtaler. I tariffavtalen med Akademikerne ble lønnssystemet skrittvis modern</w:t>
      </w:r>
      <w:r>
        <w:t>i</w:t>
      </w:r>
      <w:r>
        <w:t>sert som ledd i tariffoppgjørene i 2017 og 2018. Høsten 2018 ble det gjennomført et partssa</w:t>
      </w:r>
      <w:r>
        <w:t>m</w:t>
      </w:r>
      <w:r>
        <w:t>mensatt arbeid for å vurdere et modernisert lønnssystem også for tariffavtalen med LO Stat, Unio og YS Stat i forbindelse med mellomoppgjøret i 2019. Det var imidlertid enighet me</w:t>
      </w:r>
      <w:r>
        <w:t>l</w:t>
      </w:r>
      <w:r>
        <w:t>lom partene om at utviklingen av et nytt system vil kreve mer arbeid. Det er intensjonen å vider</w:t>
      </w:r>
      <w:r>
        <w:t>e</w:t>
      </w:r>
      <w:r>
        <w:t>føre arbeidet med modernisering i forbindelse med hovedoppgjøret i 2020.</w:t>
      </w:r>
    </w:p>
    <w:p w:rsidR="00557A6F" w:rsidRDefault="00557A6F" w:rsidP="00557A6F">
      <w:r>
        <w:t>De lokale lønnsforhandlingene har blitt en viktigere del av lønnsutviklingen i staten. Den årlige spørreundersøkelsen om de lokale lønnsforhandlingene i staten viste at forhandlingene i 2018 fo</w:t>
      </w:r>
      <w:r>
        <w:t>r</w:t>
      </w:r>
      <w:r>
        <w:t>løp bedre enn tidligere år. Mye tyder på at virksomhetene i større grad har utnyttet handlingsro</w:t>
      </w:r>
      <w:r>
        <w:t>m</w:t>
      </w:r>
      <w:r>
        <w:t>met som følger av at en større del av rammen skal fordeles etter forhandlinger mellom partene l</w:t>
      </w:r>
      <w:r>
        <w:t>o</w:t>
      </w:r>
      <w:r>
        <w:t>kalt. Departementet vil følge opp tilbakemeldingene i samhandlingen med hovedsammenslu</w:t>
      </w:r>
      <w:r>
        <w:t>t</w:t>
      </w:r>
      <w:r>
        <w:t>ningene.</w:t>
      </w:r>
    </w:p>
    <w:p w:rsidR="00557A6F" w:rsidRDefault="00557A6F" w:rsidP="00557A6F">
      <w:r>
        <w:lastRenderedPageBreak/>
        <w:t>Statens sentrale særavtaler regulerer arbeidsvilkår som ikke er omfattet av hovedtariffavtalene i staten. Gjennom forhandlinger med hovedsammenslutningene vil departementet arbeide for at særavtalene moderniseres i tråd med de endrede kravene som stilles til staten som en omstilling</w:t>
      </w:r>
      <w:r>
        <w:t>s</w:t>
      </w:r>
      <w:r>
        <w:t>dyktig sektor.</w:t>
      </w:r>
    </w:p>
    <w:p w:rsidR="00557A6F" w:rsidRDefault="00557A6F" w:rsidP="00557A6F">
      <w:r>
        <w:t>Hovedavtalen i staten legger grunnlaget for medbestemmelse i de statlige virksomhetene. Hove</w:t>
      </w:r>
      <w:r>
        <w:t>d</w:t>
      </w:r>
      <w:r>
        <w:t>avtalen løper ut 31. desember 2019 og arbeidet med ny avtale pågår. Departementet ønsker en m</w:t>
      </w:r>
      <w:r>
        <w:t>o</w:t>
      </w:r>
      <w:r>
        <w:t>dernisering og forenkling av avtalen, som speiler utviklingen i arbeidsliv og i organisasjonsformer og som viderefører et godt partsamarbeid. Arbeidsgiverrådets anbefalinger vil være viktige for st</w:t>
      </w:r>
      <w:r>
        <w:t>a</w:t>
      </w:r>
      <w:r>
        <w:t>tens posisjoner i forhandlingene.</w:t>
      </w:r>
    </w:p>
    <w:p w:rsidR="00557A6F" w:rsidRDefault="00557A6F" w:rsidP="00557A6F">
      <w:r>
        <w:t>Det statlige opplæringskontoret for lærlinger (OK stat) ble etablert som en fast ordning i 2017. Dette som et ledd i regjeringens satsing for å øke antallet lærlinger. Det er et krav til alle statlige virksomheter at de skal opprette læreplass for minst én lærling, knytte seg til det statlige oppl</w:t>
      </w:r>
      <w:r>
        <w:t>æ</w:t>
      </w:r>
      <w:r>
        <w:t>ringskontoret eller et annet opplæringskontor og vurdere nye lærefag årlig. For å imøtekomme b</w:t>
      </w:r>
      <w:r>
        <w:t>e</w:t>
      </w:r>
      <w:r>
        <w:t>hovet for flere læreplasser, utvides OK stat med to personressurser, som skal ha de nordligste fy</w:t>
      </w:r>
      <w:r>
        <w:t>l</w:t>
      </w:r>
      <w:r>
        <w:t>kene som sitt ansvarsområde. Disse får sitt arbeidssted i Harstad. Satsingen vil innledningsvis ha særlig oppmerksomhet på sikkerhetsfaget og byggdrifterfaget.</w:t>
      </w:r>
    </w:p>
    <w:p w:rsidR="00557A6F" w:rsidRDefault="00557A6F" w:rsidP="00557A6F">
      <w:r>
        <w:t>For å sikre tilliten til statsforvaltningen har departementet utarbeidet forslag til sentrale retningsli</w:t>
      </w:r>
      <w:r>
        <w:t>n</w:t>
      </w:r>
      <w:r>
        <w:t>jer for registr</w:t>
      </w:r>
      <w:r>
        <w:t>e</w:t>
      </w:r>
      <w:r>
        <w:t>ring av ansattes økonomiske interesser som kan gi et rammeverk for opprettelse av eventuelle registre i den e</w:t>
      </w:r>
      <w:r>
        <w:t>n</w:t>
      </w:r>
      <w:r>
        <w:t>kelte statlige virksomhet. Forslag til retningslinjer har vært på høring, og departementet arbeider med den videre oppfølgingen.</w:t>
      </w:r>
    </w:p>
    <w:p w:rsidR="00557A6F" w:rsidRDefault="00557A6F" w:rsidP="00557A6F">
      <w:r>
        <w:t>Det er skjedd lite med lederlønnssystemets sammensetning siden det ble etablert. En rekke av st</w:t>
      </w:r>
      <w:r>
        <w:t>a</w:t>
      </w:r>
      <w:r>
        <w:t>tens virkso</w:t>
      </w:r>
      <w:r>
        <w:t>m</w:t>
      </w:r>
      <w:r>
        <w:t>hetslederstillinger er fortsatt utenfor systemet, mens flere stillinger på lavere nivå er en del av systemet. Departementet vil derfor arbeide med systemet for at det kan bli mer enhetlig. Endringer må gjøres i forhandlinger med hovedsammenslutningene.</w:t>
      </w:r>
    </w:p>
    <w:p w:rsidR="00557A6F" w:rsidRDefault="00557A6F" w:rsidP="00557A6F">
      <w:r>
        <w:t>I Prop. 1 S (2018–2019) for Kommunal- og moderniseringsdepartementet fremgår det at depart</w:t>
      </w:r>
      <w:r>
        <w:t>e</w:t>
      </w:r>
      <w:r>
        <w:t>mentet vil følge opp anbefalingene fra Karantenenemnda om å se nærmere på godgjørelsesreglene. I tillegg er det naturlig at d</w:t>
      </w:r>
      <w:r>
        <w:t>e</w:t>
      </w:r>
      <w:r>
        <w:t>partementet i det videre arbeidet også ser på innspill som er gitt fra Karantenenemnda i årsmeldingen for 2018, om at det er behov for å se på sanksjonsreglene i k</w:t>
      </w:r>
      <w:r>
        <w:t>a</w:t>
      </w:r>
      <w:r>
        <w:t>ranteneloven. Departementet vil også ta i betraktning repr</w:t>
      </w:r>
      <w:r>
        <w:t>e</w:t>
      </w:r>
      <w:r>
        <w:t>sentantforslaget om karanteneordningen som ble behandlet tidligere i år.</w:t>
      </w:r>
    </w:p>
    <w:p w:rsidR="00557A6F" w:rsidRDefault="00557A6F" w:rsidP="00557A6F">
      <w:r>
        <w:t>Departementet er, som ansvarlig for statens arbeidsgiverfunksjon, avtalepart i den nye IA-avtalen for perioden 2019–2022. Avtalen forplikter staten til å arbeide for å skape et arbeidsliv med plass til alle gjennom å forebygge sykefravær og frafall. Selv om det statlige tariffområdet ikke har vir</w:t>
      </w:r>
      <w:r>
        <w:t>k</w:t>
      </w:r>
      <w:r>
        <w:t>somheter som inngår i IA-bransjeprogrammene, vil departementet støtte opp om innsatsen for å utvikle og følge opp de andre nyvinning</w:t>
      </w:r>
      <w:r>
        <w:t>e</w:t>
      </w:r>
      <w:r>
        <w:t>ne i avtalen.</w:t>
      </w:r>
    </w:p>
    <w:p w:rsidR="00557A6F" w:rsidRDefault="00557A6F" w:rsidP="00557A6F">
      <w:r>
        <w:t xml:space="preserve">Departementet vil se nærmere på muligheten for å utnytte kompetansen i slutten av karrieren, der vedkommende leder ønsker </w:t>
      </w:r>
      <w:proofErr w:type="gramStart"/>
      <w:r>
        <w:t>å</w:t>
      </w:r>
      <w:proofErr w:type="gramEnd"/>
      <w:r>
        <w:t xml:space="preserve"> tre tilbake fra lederstillingen, men arbeide med faglige oppgaver før pe</w:t>
      </w:r>
      <w:r>
        <w:t>n</w:t>
      </w:r>
      <w:r>
        <w:t>sjonering.</w:t>
      </w:r>
    </w:p>
    <w:p w:rsidR="00557A6F" w:rsidRDefault="00557A6F" w:rsidP="00557A6F">
      <w:pPr>
        <w:pStyle w:val="avsnitt-tittel"/>
      </w:pPr>
      <w:r>
        <w:t>Mål 2 Departementene mottar effektive fellestjenester med riktig kvalitet</w:t>
      </w:r>
    </w:p>
    <w:p w:rsidR="00557A6F" w:rsidRDefault="00557A6F" w:rsidP="00557A6F">
      <w:r>
        <w:t>Gode og effektive administrative tjenester er en forutsetning for at departementene skal kunne iv</w:t>
      </w:r>
      <w:r>
        <w:t>a</w:t>
      </w:r>
      <w:r>
        <w:t>reta sin rolle som sekretariat for politisk ledelse. Felles løsninger, samlet kompetanse, standardis</w:t>
      </w:r>
      <w:r>
        <w:t>e</w:t>
      </w:r>
      <w:r>
        <w:t>ring og ny te</w:t>
      </w:r>
      <w:r>
        <w:t>k</w:t>
      </w:r>
      <w:r>
        <w:t>nologi vil kunne gi stordriftsfordeler og tjenester med bedre kvalitet. Det er derfor viktig med en økende grad av standardisering og etablering av sterke administrative fagmiljøer.</w:t>
      </w:r>
    </w:p>
    <w:p w:rsidR="00557A6F" w:rsidRDefault="00557A6F" w:rsidP="00557A6F">
      <w:pPr>
        <w:pStyle w:val="avsnitt-undertittel"/>
      </w:pPr>
      <w:r>
        <w:t>Rapport, strategier og tiltak</w:t>
      </w:r>
    </w:p>
    <w:p w:rsidR="00557A6F" w:rsidRDefault="00557A6F" w:rsidP="00557A6F">
      <w:r>
        <w:t>Departementet har videreført oppfølgingen av Strategi for bedre og mer effektive administrative tjenester i departementsfellesskapet (2016–2020) med etablering av et effektiviseringsprosjekt i samarbeid med Departementenes sikkerhets- og serviceorganisasjon (DSS). Prosjektet skal legge til rette for å redusere kostnadene ved de administrative tjenestene i departementsfellesskapet. Ko</w:t>
      </w:r>
      <w:r>
        <w:t>m</w:t>
      </w:r>
      <w:r>
        <w:t>munal- og modernisering</w:t>
      </w:r>
      <w:r>
        <w:t>s</w:t>
      </w:r>
      <w:r>
        <w:t>departementet har i samarbeid med departementene og DSS prioritert hvilke administrative funksjoner det er hensiktsmessig å etablere som nye eller utvidede fellestj</w:t>
      </w:r>
      <w:r>
        <w:t>e</w:t>
      </w:r>
      <w:r>
        <w:t>nester. Effektiviseringsprosjektet arbeider også for å standardisere kjerneprosesser i departement</w:t>
      </w:r>
      <w:r>
        <w:t>e</w:t>
      </w:r>
      <w:r>
        <w:t>ne og på den måten legge til rette for enklere lagring og arkivering av informasjon.</w:t>
      </w:r>
    </w:p>
    <w:p w:rsidR="00557A6F" w:rsidRDefault="00557A6F" w:rsidP="00557A6F">
      <w:r>
        <w:lastRenderedPageBreak/>
        <w:t>Departementet har et overordnet ansvar for at de nye og utvidede fellestjenestene tas i bruk av d</w:t>
      </w:r>
      <w:r>
        <w:t>e</w:t>
      </w:r>
      <w:r>
        <w:t>partementene og Statsministerens kontor. Departementet skal i samarbeid med de øvrige depart</w:t>
      </w:r>
      <w:r>
        <w:t>e</w:t>
      </w:r>
      <w:r>
        <w:t>mentene utarbeide en konkret plan for realisering av gevinster forbundet med bruk av administr</w:t>
      </w:r>
      <w:r>
        <w:t>a</w:t>
      </w:r>
      <w:r>
        <w:t>tive fellestjene</w:t>
      </w:r>
      <w:r>
        <w:t>s</w:t>
      </w:r>
      <w:r>
        <w:t>ter levert av DSS.</w:t>
      </w:r>
    </w:p>
    <w:p w:rsidR="00557A6F" w:rsidRDefault="00557A6F" w:rsidP="00557A6F">
      <w:r>
        <w:t xml:space="preserve">Arbeidet med å styrke og videreutvikle tjenestetilbudet fra DSS til departementene videreføres. DSS leverer nå enkelte HR-tjenester til departementene og Statsministerens kontor. I 2019 vil det etableres nye tjenester innenfor rekruttering, kompetanseutvikling og HR-statistikk. </w:t>
      </w:r>
    </w:p>
    <w:p w:rsidR="00557A6F" w:rsidRDefault="00557A6F" w:rsidP="00557A6F">
      <w:r>
        <w:t>I tillegg til utvikling av nye tjenester arbeider DSS også med å utvide eksisterende tjenestetilbud. Alle fylke</w:t>
      </w:r>
      <w:r>
        <w:t>s</w:t>
      </w:r>
      <w:r>
        <w:t>mannsembetene og departementene er nå på samme sentralbordløsning, DSS har inngått avtale om leveranse av renholdstjenester til samtlige departement, det er etablert et miljøledelse</w:t>
      </w:r>
      <w:r>
        <w:t>s</w:t>
      </w:r>
      <w:r>
        <w:t>system som er felles for alle depart</w:t>
      </w:r>
      <w:r>
        <w:t>e</w:t>
      </w:r>
      <w:r>
        <w:t>mentene og det er etablert en løsning for automatisk varsling av departementsansa</w:t>
      </w:r>
      <w:r>
        <w:t>t</w:t>
      </w:r>
      <w:r>
        <w:t>te ved hendelser.</w:t>
      </w:r>
    </w:p>
    <w:p w:rsidR="00557A6F" w:rsidRDefault="00557A6F" w:rsidP="00557A6F">
      <w:r>
        <w:t>Innenfor IKT-området er det utarbeidet en felles digital samarbeidsløsning for arbeidet med stat</w:t>
      </w:r>
      <w:r>
        <w:t>s</w:t>
      </w:r>
      <w:r>
        <w:t>budsjettet og prosessen med å besvare spørsmål fra Stortinget, og det er inngått avtale om ny IKT-løsning for saksbehandling og arkiv som skal være lik for samtlige departementer. Impleme</w:t>
      </w:r>
      <w:r>
        <w:t>n</w:t>
      </w:r>
      <w:r>
        <w:t>teringen av ny saks- og arkivløsning er under planlegging, med sikte på oppstart i 2020. Arbeidet med å etablere en felles IKT-løsning for departementene fortsetter i 2020.</w:t>
      </w:r>
    </w:p>
    <w:p w:rsidR="00557A6F" w:rsidRDefault="00557A6F" w:rsidP="00557A6F">
      <w:pPr>
        <w:pStyle w:val="avsnitt-tittel"/>
      </w:pPr>
      <w:r>
        <w:t>Mål 3 Et nytt, effektivt regjeringskvartal</w:t>
      </w:r>
    </w:p>
    <w:p w:rsidR="00557A6F" w:rsidRDefault="00557A6F" w:rsidP="00557A6F">
      <w:r>
        <w:t>Regjeringskvartalet skal være velegnet for regjeringens og departementenes arbeid, være åpent og inv</w:t>
      </w:r>
      <w:r>
        <w:t>i</w:t>
      </w:r>
      <w:r>
        <w:t>terende, ha gode bymessige kvaliteter og nødvendig sikkerhetsnivå.</w:t>
      </w:r>
    </w:p>
    <w:p w:rsidR="00557A6F" w:rsidRDefault="00557A6F" w:rsidP="00557A6F">
      <w:pPr>
        <w:pStyle w:val="avsnitt-undertittel"/>
      </w:pPr>
      <w:r>
        <w:t>Rapport, strategier og tiltak</w:t>
      </w:r>
    </w:p>
    <w:p w:rsidR="00557A6F" w:rsidRDefault="00557A6F" w:rsidP="00557A6F">
      <w:r>
        <w:t>På oppdrag fra departementet ferdigstilte Statsbygg skisseprosjektet ved årsskiftet 2018–2019. Forprosjektet for byggetrinn 1, byggene H, A, og D, Møllergata 19 og kjellerarealer, er nå under utarbeidelse.</w:t>
      </w:r>
    </w:p>
    <w:p w:rsidR="00557A6F" w:rsidRDefault="00557A6F" w:rsidP="00557A6F">
      <w:r>
        <w:t>I tillegg planlegges tiltak på Ring 1 og perimetersikring. For å holde kostnadene i prosjektet nede, planlegger regjeringen å utnytte bestemmelsene i reguleringsplanen om byggehøyder for bygg D (byggetrinn 1) og C (by</w:t>
      </w:r>
      <w:r>
        <w:t>g</w:t>
      </w:r>
      <w:r>
        <w:t>getrinn 2). Avhengig av utviklingen i antall ansatte vil bygg B (som inngår i bygg</w:t>
      </w:r>
      <w:r>
        <w:t>e</w:t>
      </w:r>
      <w:r>
        <w:t>trinn 3) da kunne utgå, og arealene utnyttes på annen måte, for eksempel til byrom. Det er viktig at de nye regjeringsbygningene får en utforming som understøtter effektivt arbeid i og me</w:t>
      </w:r>
      <w:r>
        <w:t>l</w:t>
      </w:r>
      <w:r>
        <w:t>lom departementene og effektive fellestjenester.</w:t>
      </w:r>
    </w:p>
    <w:p w:rsidR="00557A6F" w:rsidRDefault="00557A6F" w:rsidP="00557A6F">
      <w:r>
        <w:t>For å kunne bevare så mye som mulig av 22. juli-senteret slik det står i dag, jf. anmodningsvedtak 609, 18. juni 2019, har regjeringen nå konkludert med at Statsministerens kontor ikke flytter tilbake til Hø</w:t>
      </w:r>
      <w:r>
        <w:t>y</w:t>
      </w:r>
      <w:r>
        <w:t>blokka. Konkret vurderes innplassering av Statsministerens kontor i ett av byggene som skal stå ferdig i byggetrinn 1. En omplassering av Statsministerens kontor vil kunne påvirke plass</w:t>
      </w:r>
      <w:r>
        <w:t>e</w:t>
      </w:r>
      <w:r>
        <w:t>ringen av andre funksjoner i nytt regjeringskvartal. Omprosjektering som følge av flytting av fun</w:t>
      </w:r>
      <w:r>
        <w:t>k</w:t>
      </w:r>
      <w:r>
        <w:t>sjoner vil føre til økte prosjekteringskostnader, og vil kunne få konsekvenser for framdrift og by</w:t>
      </w:r>
      <w:r>
        <w:t>g</w:t>
      </w:r>
      <w:r>
        <w:t>gestart. Stortinget vil bli holdt orientert på egnet måte, og senest i forbindelse med fremleggelse for Stortinget av prosjektets kostnad</w:t>
      </w:r>
      <w:r>
        <w:t>s</w:t>
      </w:r>
      <w:r>
        <w:t>ramme.</w:t>
      </w:r>
    </w:p>
    <w:p w:rsidR="00557A6F" w:rsidRDefault="00557A6F" w:rsidP="00557A6F">
      <w:r>
        <w:t>Det er lagt vekt på at nytt regjeringskvartal skal være mest mulig åpent og ha flere trygge og gode gang- og sykkelforbindelser enn i dag. Sikkerheten som ligger i det valgte konseptet er ikke til hinder for et åpent byrom. Det nye regjeringskvartalet med regjeringsparken legger til rette for at publikum kan bruke området på en ny måte. Konseptet forutsetter riving av Y-blokka. Regjeringen har etter anbefaling fra KORO og Statsbygg konkludert med at de integrerte kunstverkene «Fi</w:t>
      </w:r>
      <w:r>
        <w:t>s</w:t>
      </w:r>
      <w:r>
        <w:t>kerne» og «Måken» skal int</w:t>
      </w:r>
      <w:r>
        <w:t>e</w:t>
      </w:r>
      <w:r>
        <w:t>greres i bygg A i det nye regjeringskvartalet.</w:t>
      </w:r>
    </w:p>
    <w:p w:rsidR="00557A6F" w:rsidRDefault="00557A6F" w:rsidP="00557A6F">
      <w:r>
        <w:t xml:space="preserve">Regjeringen tar sikte på </w:t>
      </w:r>
      <w:proofErr w:type="gramStart"/>
      <w:r>
        <w:t>legge</w:t>
      </w:r>
      <w:proofErr w:type="gramEnd"/>
      <w:r>
        <w:t xml:space="preserve"> fram forslag til kostnadsramme og oppstartsbevilgning for første byggetrinn når forprosjektet for denne delen av regjeringskvartalet er gjennomført og kvalitetssi</w:t>
      </w:r>
      <w:r>
        <w:t>k</w:t>
      </w:r>
      <w:r>
        <w:t>ret. I forbindelse med fre</w:t>
      </w:r>
      <w:r>
        <w:t>m</w:t>
      </w:r>
      <w:r>
        <w:t>leggelse av forprosjekt og oppstartsbevilgning vil regjeringen komme tilbake til framdrift og når de første byggene vil være innflyttingsklare. Statsbygg igangsatte arbe</w:t>
      </w:r>
      <w:r>
        <w:t>i</w:t>
      </w:r>
      <w:r>
        <w:t>det med riving av Møllergata 17 og R4 våren 2019. Riving av Y-blokka er planlagt startet høsten 2019, men grunnet klage til Oslo kommune på rivetillate</w:t>
      </w:r>
      <w:r>
        <w:t>l</w:t>
      </w:r>
      <w:r>
        <w:t>sen vil antakelig rivetidspunktet bli noe forskjøvet. Dette vurderes foreløpig ikke til å ha vesentlige fre</w:t>
      </w:r>
      <w:r>
        <w:t>m</w:t>
      </w:r>
      <w:r>
        <w:t>driftsmessige konsekvenser for øvrige deler av prosjekt nytt r</w:t>
      </w:r>
      <w:r>
        <w:t>e</w:t>
      </w:r>
      <w:r>
        <w:t>gjeringskvartal.</w:t>
      </w:r>
    </w:p>
    <w:p w:rsidR="00557A6F" w:rsidRDefault="00557A6F" w:rsidP="00557A6F">
      <w:r>
        <w:t>22. juli-senteret vil måtte flytte til R5-kvartalet mens rive- og byggearbeidene i regjeringskvartalet pågår. I desember vil dagens senter i Høyblokka stenge, og 22. juli-senteret vil åpne ny utstilling i midlertidige lokaler i Teatergata i løpet av første kvartal 2020. Ansvaret for senterets faglige vir</w:t>
      </w:r>
      <w:r>
        <w:t>k</w:t>
      </w:r>
      <w:r>
        <w:t>somhet ble fra 1. juli 2019 overført til Kunnskapsdepartementet. Det vises til omtale under kap. 510, post 23.</w:t>
      </w:r>
    </w:p>
    <w:p w:rsidR="00557A6F" w:rsidRDefault="00557A6F" w:rsidP="00557A6F">
      <w:pPr>
        <w:pStyle w:val="b-budkaptit"/>
      </w:pPr>
      <w:r>
        <w:lastRenderedPageBreak/>
        <w:t>Kap. 500 Kommunal- og moderniseringsdepartementet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7A6F" w:rsidTr="00557A6F">
        <w:trPr>
          <w:trHeight w:val="640"/>
        </w:trPr>
        <w:tc>
          <w:tcPr>
            <w:tcW w:w="1140" w:type="dxa"/>
            <w:shd w:val="clear" w:color="auto" w:fill="FFFFFF"/>
          </w:tcPr>
          <w:p w:rsidR="00557A6F" w:rsidRDefault="00557A6F" w:rsidP="00557A6F">
            <w:pPr>
              <w:pStyle w:val="Tabellnavn"/>
            </w:pPr>
            <w:r>
              <w:t>KPAL</w:t>
            </w:r>
          </w:p>
        </w:tc>
        <w:tc>
          <w:tcPr>
            <w:tcW w:w="4560" w:type="dxa"/>
          </w:tcPr>
          <w:p w:rsidR="00557A6F" w:rsidRDefault="00557A6F" w:rsidP="00557A6F"/>
        </w:tc>
        <w:tc>
          <w:tcPr>
            <w:tcW w:w="1140" w:type="dxa"/>
          </w:tcPr>
          <w:p w:rsidR="00557A6F" w:rsidRDefault="00557A6F" w:rsidP="00557A6F">
            <w:pPr>
              <w:pStyle w:val="Tabellnavn"/>
              <w:jc w:val="right"/>
            </w:pPr>
          </w:p>
        </w:tc>
        <w:tc>
          <w:tcPr>
            <w:tcW w:w="1140" w:type="dxa"/>
          </w:tcPr>
          <w:p w:rsidR="00557A6F" w:rsidRDefault="00557A6F" w:rsidP="00557A6F">
            <w:pPr>
              <w:pStyle w:val="Tabellnavn"/>
              <w:jc w:val="right"/>
            </w:pPr>
          </w:p>
        </w:tc>
        <w:tc>
          <w:tcPr>
            <w:tcW w:w="1140" w:type="dxa"/>
          </w:tcPr>
          <w:p w:rsidR="00557A6F" w:rsidRDefault="00557A6F" w:rsidP="00557A6F">
            <w:pPr>
              <w:jc w:val="right"/>
            </w:pPr>
            <w:r>
              <w:t>(i 1 000 kr)</w:t>
            </w:r>
          </w:p>
        </w:tc>
      </w:tr>
      <w:tr w:rsidR="00557A6F" w:rsidTr="00557A6F">
        <w:trPr>
          <w:trHeight w:val="600"/>
        </w:trPr>
        <w:tc>
          <w:tcPr>
            <w:tcW w:w="1140" w:type="dxa"/>
          </w:tcPr>
          <w:p w:rsidR="00557A6F" w:rsidRDefault="00557A6F" w:rsidP="00557A6F">
            <w:r>
              <w:t>Post</w:t>
            </w:r>
          </w:p>
        </w:tc>
        <w:tc>
          <w:tcPr>
            <w:tcW w:w="4560" w:type="dxa"/>
          </w:tcPr>
          <w:p w:rsidR="00557A6F" w:rsidRDefault="00557A6F" w:rsidP="00557A6F">
            <w:r>
              <w:t>Betegnelse</w:t>
            </w:r>
          </w:p>
        </w:tc>
        <w:tc>
          <w:tcPr>
            <w:tcW w:w="1140" w:type="dxa"/>
          </w:tcPr>
          <w:p w:rsidR="00557A6F" w:rsidRDefault="00557A6F" w:rsidP="00557A6F">
            <w:pPr>
              <w:jc w:val="right"/>
            </w:pPr>
            <w:r>
              <w:t>Regnskap 2018</w:t>
            </w:r>
          </w:p>
        </w:tc>
        <w:tc>
          <w:tcPr>
            <w:tcW w:w="1140" w:type="dxa"/>
          </w:tcPr>
          <w:p w:rsidR="00557A6F" w:rsidRDefault="00557A6F" w:rsidP="00557A6F">
            <w:pPr>
              <w:jc w:val="right"/>
            </w:pPr>
            <w:r>
              <w:t xml:space="preserve">Saldert </w:t>
            </w:r>
            <w:r>
              <w:br/>
              <w:t>budsjett 2019</w:t>
            </w:r>
          </w:p>
        </w:tc>
        <w:tc>
          <w:tcPr>
            <w:tcW w:w="1140" w:type="dxa"/>
          </w:tcPr>
          <w:p w:rsidR="00557A6F" w:rsidRDefault="00557A6F" w:rsidP="00557A6F">
            <w:pPr>
              <w:jc w:val="right"/>
            </w:pPr>
            <w:r>
              <w:t xml:space="preserve">Forslag </w:t>
            </w:r>
            <w:r>
              <w:br/>
              <w:t>2020</w:t>
            </w:r>
          </w:p>
        </w:tc>
      </w:tr>
      <w:tr w:rsidR="00557A6F" w:rsidTr="00557A6F">
        <w:trPr>
          <w:trHeight w:val="380"/>
        </w:trPr>
        <w:tc>
          <w:tcPr>
            <w:tcW w:w="1140" w:type="dxa"/>
          </w:tcPr>
          <w:p w:rsidR="00557A6F" w:rsidRDefault="00557A6F" w:rsidP="00557A6F">
            <w:r>
              <w:t>01</w:t>
            </w:r>
          </w:p>
        </w:tc>
        <w:tc>
          <w:tcPr>
            <w:tcW w:w="4560" w:type="dxa"/>
          </w:tcPr>
          <w:p w:rsidR="00557A6F" w:rsidRDefault="00557A6F" w:rsidP="00557A6F">
            <w:r>
              <w:t xml:space="preserve">Driftsutgifter </w:t>
            </w:r>
          </w:p>
        </w:tc>
        <w:tc>
          <w:tcPr>
            <w:tcW w:w="1140" w:type="dxa"/>
          </w:tcPr>
          <w:p w:rsidR="00557A6F" w:rsidRDefault="00557A6F" w:rsidP="00557A6F">
            <w:pPr>
              <w:jc w:val="right"/>
            </w:pPr>
            <w:r>
              <w:t>398 216</w:t>
            </w:r>
          </w:p>
        </w:tc>
        <w:tc>
          <w:tcPr>
            <w:tcW w:w="1140" w:type="dxa"/>
          </w:tcPr>
          <w:p w:rsidR="00557A6F" w:rsidRDefault="00557A6F" w:rsidP="00557A6F">
            <w:pPr>
              <w:jc w:val="right"/>
            </w:pPr>
            <w:r>
              <w:t>398 001</w:t>
            </w:r>
          </w:p>
        </w:tc>
        <w:tc>
          <w:tcPr>
            <w:tcW w:w="1140" w:type="dxa"/>
          </w:tcPr>
          <w:p w:rsidR="00557A6F" w:rsidRDefault="00557A6F" w:rsidP="00557A6F">
            <w:pPr>
              <w:jc w:val="right"/>
            </w:pPr>
            <w:r>
              <w:t>417 296</w:t>
            </w:r>
          </w:p>
        </w:tc>
      </w:tr>
      <w:tr w:rsidR="00557A6F" w:rsidTr="00557A6F">
        <w:trPr>
          <w:trHeight w:val="640"/>
        </w:trPr>
        <w:tc>
          <w:tcPr>
            <w:tcW w:w="1140" w:type="dxa"/>
          </w:tcPr>
          <w:p w:rsidR="00557A6F" w:rsidRDefault="00557A6F" w:rsidP="00557A6F">
            <w:r>
              <w:t>21</w:t>
            </w:r>
          </w:p>
        </w:tc>
        <w:tc>
          <w:tcPr>
            <w:tcW w:w="4560" w:type="dxa"/>
          </w:tcPr>
          <w:p w:rsidR="00557A6F" w:rsidRDefault="00557A6F" w:rsidP="00557A6F">
            <w:r>
              <w:t>Spesielle driftsutgifter</w:t>
            </w:r>
            <w:r>
              <w:rPr>
                <w:rStyle w:val="kursiv"/>
                <w:sz w:val="21"/>
                <w:szCs w:val="21"/>
              </w:rPr>
              <w:t xml:space="preserve">, kan overføres, </w:t>
            </w:r>
            <w:r>
              <w:rPr>
                <w:rStyle w:val="kursiv"/>
                <w:sz w:val="21"/>
                <w:szCs w:val="21"/>
              </w:rPr>
              <w:br/>
              <w:t xml:space="preserve">kan nyttes under post 70 </w:t>
            </w:r>
          </w:p>
        </w:tc>
        <w:tc>
          <w:tcPr>
            <w:tcW w:w="1140" w:type="dxa"/>
          </w:tcPr>
          <w:p w:rsidR="00557A6F" w:rsidRDefault="00557A6F" w:rsidP="00557A6F">
            <w:pPr>
              <w:jc w:val="right"/>
            </w:pPr>
            <w:r>
              <w:t>82 932</w:t>
            </w:r>
          </w:p>
        </w:tc>
        <w:tc>
          <w:tcPr>
            <w:tcW w:w="1140" w:type="dxa"/>
          </w:tcPr>
          <w:p w:rsidR="00557A6F" w:rsidRDefault="00557A6F" w:rsidP="00557A6F">
            <w:pPr>
              <w:jc w:val="right"/>
            </w:pPr>
            <w:r>
              <w:t>82 388</w:t>
            </w:r>
          </w:p>
        </w:tc>
        <w:tc>
          <w:tcPr>
            <w:tcW w:w="1140" w:type="dxa"/>
          </w:tcPr>
          <w:p w:rsidR="00557A6F" w:rsidRDefault="00557A6F" w:rsidP="00557A6F">
            <w:pPr>
              <w:jc w:val="right"/>
            </w:pPr>
            <w:r>
              <w:t>76 599</w:t>
            </w:r>
          </w:p>
        </w:tc>
      </w:tr>
      <w:tr w:rsidR="00557A6F" w:rsidTr="00557A6F">
        <w:trPr>
          <w:trHeight w:val="380"/>
        </w:trPr>
        <w:tc>
          <w:tcPr>
            <w:tcW w:w="1140" w:type="dxa"/>
          </w:tcPr>
          <w:p w:rsidR="00557A6F" w:rsidRDefault="00557A6F" w:rsidP="00557A6F">
            <w:r>
              <w:t>23</w:t>
            </w:r>
          </w:p>
        </w:tc>
        <w:tc>
          <w:tcPr>
            <w:tcW w:w="4560" w:type="dxa"/>
          </w:tcPr>
          <w:p w:rsidR="00557A6F" w:rsidRDefault="00557A6F" w:rsidP="00557A6F">
            <w:r>
              <w:t xml:space="preserve">Husleie for fellesarealer m.m. </w:t>
            </w:r>
          </w:p>
        </w:tc>
        <w:tc>
          <w:tcPr>
            <w:tcW w:w="1140" w:type="dxa"/>
          </w:tcPr>
          <w:p w:rsidR="00557A6F" w:rsidRDefault="00557A6F" w:rsidP="00557A6F">
            <w:pPr>
              <w:jc w:val="right"/>
            </w:pPr>
            <w:r>
              <w:t>23 955</w:t>
            </w:r>
          </w:p>
        </w:tc>
        <w:tc>
          <w:tcPr>
            <w:tcW w:w="1140" w:type="dxa"/>
          </w:tcPr>
          <w:p w:rsidR="00557A6F" w:rsidRDefault="00557A6F" w:rsidP="00557A6F">
            <w:pPr>
              <w:jc w:val="right"/>
            </w:pPr>
            <w:r>
              <w:t>24 664</w:t>
            </w:r>
          </w:p>
        </w:tc>
        <w:tc>
          <w:tcPr>
            <w:tcW w:w="1140" w:type="dxa"/>
          </w:tcPr>
          <w:p w:rsidR="00557A6F" w:rsidRDefault="00557A6F" w:rsidP="00557A6F">
            <w:pPr>
              <w:jc w:val="right"/>
            </w:pPr>
            <w:r>
              <w:t>25 326</w:t>
            </w:r>
          </w:p>
        </w:tc>
      </w:tr>
      <w:tr w:rsidR="00557A6F" w:rsidTr="00557A6F">
        <w:trPr>
          <w:trHeight w:val="380"/>
        </w:trPr>
        <w:tc>
          <w:tcPr>
            <w:tcW w:w="1140" w:type="dxa"/>
          </w:tcPr>
          <w:p w:rsidR="00557A6F" w:rsidRDefault="00557A6F" w:rsidP="00557A6F">
            <w:r>
              <w:t>25</w:t>
            </w:r>
          </w:p>
        </w:tc>
        <w:tc>
          <w:tcPr>
            <w:tcW w:w="4560" w:type="dxa"/>
          </w:tcPr>
          <w:p w:rsidR="00557A6F" w:rsidRDefault="00557A6F" w:rsidP="00557A6F">
            <w:r>
              <w:t>Nytt regjeringskvartal</w:t>
            </w:r>
            <w:r>
              <w:rPr>
                <w:rStyle w:val="kursiv"/>
                <w:sz w:val="21"/>
                <w:szCs w:val="21"/>
              </w:rPr>
              <w:t xml:space="preserve">, kan overføres </w:t>
            </w:r>
          </w:p>
        </w:tc>
        <w:tc>
          <w:tcPr>
            <w:tcW w:w="1140" w:type="dxa"/>
          </w:tcPr>
          <w:p w:rsidR="00557A6F" w:rsidRDefault="00557A6F" w:rsidP="00557A6F">
            <w:pPr>
              <w:jc w:val="right"/>
            </w:pPr>
            <w:r>
              <w:t>2 293</w:t>
            </w:r>
          </w:p>
        </w:tc>
        <w:tc>
          <w:tcPr>
            <w:tcW w:w="1140" w:type="dxa"/>
          </w:tcPr>
          <w:p w:rsidR="00557A6F" w:rsidRDefault="00557A6F" w:rsidP="00557A6F">
            <w:pPr>
              <w:jc w:val="right"/>
            </w:pPr>
            <w:r>
              <w:t>3 980</w:t>
            </w:r>
          </w:p>
        </w:tc>
        <w:tc>
          <w:tcPr>
            <w:tcW w:w="1140" w:type="dxa"/>
          </w:tcPr>
          <w:p w:rsidR="00557A6F" w:rsidRDefault="00557A6F" w:rsidP="00557A6F">
            <w:pPr>
              <w:jc w:val="right"/>
            </w:pPr>
            <w:r>
              <w:t>4 039</w:t>
            </w:r>
          </w:p>
        </w:tc>
      </w:tr>
      <w:tr w:rsidR="00557A6F" w:rsidTr="00557A6F">
        <w:trPr>
          <w:trHeight w:val="380"/>
        </w:trPr>
        <w:tc>
          <w:tcPr>
            <w:tcW w:w="1140" w:type="dxa"/>
          </w:tcPr>
          <w:p w:rsidR="00557A6F" w:rsidRDefault="00557A6F" w:rsidP="00557A6F">
            <w:r>
              <w:t>27</w:t>
            </w:r>
          </w:p>
        </w:tc>
        <w:tc>
          <w:tcPr>
            <w:tcW w:w="4560" w:type="dxa"/>
          </w:tcPr>
          <w:p w:rsidR="00557A6F" w:rsidRDefault="00557A6F" w:rsidP="00557A6F">
            <w:r>
              <w:t>Felles IKT-løsning</w:t>
            </w:r>
            <w:r>
              <w:rPr>
                <w:rStyle w:val="kursiv"/>
                <w:sz w:val="21"/>
                <w:szCs w:val="21"/>
              </w:rPr>
              <w:t xml:space="preserve">, kan overføres </w:t>
            </w:r>
          </w:p>
        </w:tc>
        <w:tc>
          <w:tcPr>
            <w:tcW w:w="1140" w:type="dxa"/>
          </w:tcPr>
          <w:p w:rsidR="00557A6F" w:rsidRDefault="00557A6F" w:rsidP="00557A6F">
            <w:pPr>
              <w:jc w:val="right"/>
            </w:pPr>
            <w:r>
              <w:t>2 784</w:t>
            </w:r>
          </w:p>
        </w:tc>
        <w:tc>
          <w:tcPr>
            <w:tcW w:w="1140" w:type="dxa"/>
          </w:tcPr>
          <w:p w:rsidR="00557A6F" w:rsidRDefault="00557A6F" w:rsidP="00557A6F">
            <w:pPr>
              <w:jc w:val="right"/>
            </w:pPr>
            <w:r>
              <w:t>40 000</w:t>
            </w:r>
          </w:p>
        </w:tc>
        <w:tc>
          <w:tcPr>
            <w:tcW w:w="1140" w:type="dxa"/>
          </w:tcPr>
          <w:p w:rsidR="00557A6F" w:rsidRDefault="00557A6F" w:rsidP="00557A6F">
            <w:pPr>
              <w:jc w:val="right"/>
            </w:pPr>
            <w:r>
              <w:t>40 596</w:t>
            </w:r>
          </w:p>
        </w:tc>
      </w:tr>
      <w:tr w:rsidR="00557A6F" w:rsidTr="00557A6F">
        <w:trPr>
          <w:trHeight w:val="380"/>
        </w:trPr>
        <w:tc>
          <w:tcPr>
            <w:tcW w:w="1140" w:type="dxa"/>
          </w:tcPr>
          <w:p w:rsidR="00557A6F" w:rsidRDefault="00557A6F" w:rsidP="00557A6F">
            <w:r>
              <w:t>50</w:t>
            </w:r>
          </w:p>
        </w:tc>
        <w:tc>
          <w:tcPr>
            <w:tcW w:w="4560" w:type="dxa"/>
          </w:tcPr>
          <w:p w:rsidR="00557A6F" w:rsidRDefault="00557A6F" w:rsidP="00557A6F">
            <w:r>
              <w:t xml:space="preserve">Forskningsprogrammer </w:t>
            </w:r>
          </w:p>
        </w:tc>
        <w:tc>
          <w:tcPr>
            <w:tcW w:w="1140" w:type="dxa"/>
          </w:tcPr>
          <w:p w:rsidR="00557A6F" w:rsidRDefault="00557A6F" w:rsidP="00557A6F">
            <w:pPr>
              <w:jc w:val="right"/>
            </w:pPr>
            <w:r>
              <w:t>65 760</w:t>
            </w:r>
          </w:p>
        </w:tc>
        <w:tc>
          <w:tcPr>
            <w:tcW w:w="1140" w:type="dxa"/>
          </w:tcPr>
          <w:p w:rsidR="00557A6F" w:rsidRDefault="00557A6F" w:rsidP="00557A6F">
            <w:pPr>
              <w:jc w:val="right"/>
            </w:pPr>
            <w:r>
              <w:t>84 000</w:t>
            </w:r>
          </w:p>
        </w:tc>
        <w:tc>
          <w:tcPr>
            <w:tcW w:w="1140" w:type="dxa"/>
          </w:tcPr>
          <w:p w:rsidR="00557A6F" w:rsidRDefault="00557A6F" w:rsidP="00557A6F">
            <w:pPr>
              <w:jc w:val="right"/>
            </w:pPr>
            <w:r>
              <w:t>70 632</w:t>
            </w:r>
          </w:p>
        </w:tc>
      </w:tr>
      <w:tr w:rsidR="00557A6F" w:rsidTr="00557A6F">
        <w:trPr>
          <w:trHeight w:val="380"/>
        </w:trPr>
        <w:tc>
          <w:tcPr>
            <w:tcW w:w="1140" w:type="dxa"/>
          </w:tcPr>
          <w:p w:rsidR="00557A6F" w:rsidRDefault="00557A6F" w:rsidP="00557A6F">
            <w:r>
              <w:t>70</w:t>
            </w:r>
          </w:p>
        </w:tc>
        <w:tc>
          <w:tcPr>
            <w:tcW w:w="4560" w:type="dxa"/>
          </w:tcPr>
          <w:p w:rsidR="00557A6F" w:rsidRDefault="00557A6F" w:rsidP="00557A6F">
            <w:r>
              <w:t>Diverse formål</w:t>
            </w:r>
            <w:r>
              <w:rPr>
                <w:rStyle w:val="kursiv"/>
                <w:sz w:val="21"/>
                <w:szCs w:val="21"/>
              </w:rPr>
              <w:t xml:space="preserve">, kan overføres, kan nyttes under post 21 </w:t>
            </w:r>
          </w:p>
        </w:tc>
        <w:tc>
          <w:tcPr>
            <w:tcW w:w="1140" w:type="dxa"/>
          </w:tcPr>
          <w:p w:rsidR="00557A6F" w:rsidRDefault="00557A6F" w:rsidP="00557A6F">
            <w:pPr>
              <w:jc w:val="right"/>
            </w:pPr>
          </w:p>
        </w:tc>
        <w:tc>
          <w:tcPr>
            <w:tcW w:w="1140" w:type="dxa"/>
          </w:tcPr>
          <w:p w:rsidR="00557A6F" w:rsidRDefault="00557A6F" w:rsidP="00557A6F">
            <w:pPr>
              <w:jc w:val="right"/>
            </w:pPr>
            <w:r>
              <w:t>3 000</w:t>
            </w:r>
          </w:p>
        </w:tc>
        <w:tc>
          <w:tcPr>
            <w:tcW w:w="1140" w:type="dxa"/>
          </w:tcPr>
          <w:p w:rsidR="00557A6F" w:rsidRDefault="00557A6F" w:rsidP="00557A6F">
            <w:pPr>
              <w:jc w:val="right"/>
            </w:pPr>
            <w:r>
              <w:t>2 994</w:t>
            </w:r>
          </w:p>
        </w:tc>
      </w:tr>
      <w:tr w:rsidR="00557A6F" w:rsidTr="00557A6F">
        <w:trPr>
          <w:trHeight w:val="380"/>
        </w:trPr>
        <w:tc>
          <w:tcPr>
            <w:tcW w:w="1140" w:type="dxa"/>
          </w:tcPr>
          <w:p w:rsidR="00557A6F" w:rsidRDefault="00557A6F" w:rsidP="00557A6F"/>
        </w:tc>
        <w:tc>
          <w:tcPr>
            <w:tcW w:w="4560" w:type="dxa"/>
          </w:tcPr>
          <w:p w:rsidR="00557A6F" w:rsidRDefault="00557A6F" w:rsidP="00557A6F">
            <w:r>
              <w:t>Sum kap. 0500</w:t>
            </w:r>
          </w:p>
        </w:tc>
        <w:tc>
          <w:tcPr>
            <w:tcW w:w="1140" w:type="dxa"/>
          </w:tcPr>
          <w:p w:rsidR="00557A6F" w:rsidRDefault="00557A6F" w:rsidP="00557A6F">
            <w:pPr>
              <w:jc w:val="right"/>
            </w:pPr>
            <w:r>
              <w:t>575 940</w:t>
            </w:r>
          </w:p>
        </w:tc>
        <w:tc>
          <w:tcPr>
            <w:tcW w:w="1140" w:type="dxa"/>
          </w:tcPr>
          <w:p w:rsidR="00557A6F" w:rsidRDefault="00557A6F" w:rsidP="00557A6F">
            <w:pPr>
              <w:jc w:val="right"/>
            </w:pPr>
            <w:r>
              <w:t>636 033</w:t>
            </w:r>
          </w:p>
        </w:tc>
        <w:tc>
          <w:tcPr>
            <w:tcW w:w="1140" w:type="dxa"/>
          </w:tcPr>
          <w:p w:rsidR="00557A6F" w:rsidRDefault="00557A6F" w:rsidP="00557A6F">
            <w:pPr>
              <w:jc w:val="right"/>
            </w:pPr>
            <w:r>
              <w:t>637 482</w:t>
            </w:r>
          </w:p>
        </w:tc>
      </w:tr>
    </w:tbl>
    <w:p w:rsidR="00557A6F" w:rsidRDefault="00557A6F" w:rsidP="00557A6F">
      <w:pPr>
        <w:pStyle w:val="tabell-noter"/>
      </w:pPr>
      <w:r>
        <w:t>Vedrørende 2019: Ved Stortingets vedtak av 25. april 2019 ble post 01 økt med 10 mill. kroner til 408 mill. kroner og post 50 økt med 171,4 mill. kroner til 255,4 mill. kroner, jf. Prop. 57 S og Innst. 236 S (2018–2019). Ved Stortingets vedtak av 21. juni ble post 01 redusert med 930 000 kroner til 407,1 mill. kroner og post 23 redusert med 2,8 mill. kroner til 21,9 mill. kroner, jf. Prop. 114 S og Innst. 391 S (2018–2019).</w:t>
      </w:r>
    </w:p>
    <w:p w:rsidR="00557A6F" w:rsidRDefault="00557A6F" w:rsidP="00557A6F">
      <w:pPr>
        <w:pStyle w:val="b-post"/>
      </w:pPr>
      <w:r>
        <w:t>Post 01 Driftsutgifter</w:t>
      </w:r>
    </w:p>
    <w:p w:rsidR="00557A6F" w:rsidRDefault="00557A6F" w:rsidP="00557A6F">
      <w:r>
        <w:t>Posten dekker i hovedsak lønn, husleie og andre faste driftsutgifter i Kommunal- og modernis</w:t>
      </w:r>
      <w:r>
        <w:t>e</w:t>
      </w:r>
      <w:r>
        <w:t>ringsdepartementet.</w:t>
      </w:r>
    </w:p>
    <w:p w:rsidR="00557A6F" w:rsidRDefault="00557A6F" w:rsidP="00557A6F">
      <w:r>
        <w:t>Departementet skal være et utviklingsorientert og effektivt faglig sekretariat for departementets politiske ledelse. Departementet skal bistå i utviklingen og gjennomføringen av regjeringens pol</w:t>
      </w:r>
      <w:r>
        <w:t>i</w:t>
      </w:r>
      <w:r>
        <w:t>tikk på departementets ansvarsomr</w:t>
      </w:r>
      <w:r>
        <w:t>å</w:t>
      </w:r>
      <w:r>
        <w:t>der. Departementet skal være en tydelig og forutsigbar forvalter av gjeldende lover, regler og tilskuddsordninger.</w:t>
      </w:r>
    </w:p>
    <w:p w:rsidR="00557A6F" w:rsidRDefault="00557A6F" w:rsidP="00557A6F">
      <w:r>
        <w:t>Departementet skal sikre en effektiv ressursforvaltning innen vårt forvaltningsområde. Kunnskap</w:t>
      </w:r>
      <w:r>
        <w:t>s</w:t>
      </w:r>
      <w:r>
        <w:t>utvikling, faglig kompetente ansatte, gode rutiner for saksbehandling, samordning med andre d</w:t>
      </w:r>
      <w:r>
        <w:t>e</w:t>
      </w:r>
      <w:r>
        <w:t>partementer og resultatorie</w:t>
      </w:r>
      <w:r>
        <w:t>n</w:t>
      </w:r>
      <w:r>
        <w:t>tert styring av departementet og underliggende etater er viktig for å oppnå dette.</w:t>
      </w:r>
    </w:p>
    <w:p w:rsidR="00557A6F" w:rsidRDefault="00557A6F" w:rsidP="00557A6F">
      <w:r>
        <w:t>Departementet vurderer fortløpende forbedringer av styringssystemene, sikring av en god inter</w:t>
      </w:r>
      <w:r>
        <w:t>n</w:t>
      </w:r>
      <w:r>
        <w:t>kontroll og en hensiktsmessig bruk av ny teknologi.</w:t>
      </w:r>
    </w:p>
    <w:p w:rsidR="00557A6F" w:rsidRDefault="00557A6F" w:rsidP="00557A6F">
      <w:r>
        <w:t>Departementet er opptatt av et godt arbeidsmiljø og å forebygge sykefravær. Departementet legger stor vekt på å rekruttere, utvikle og beholde kompetente medarbeidere. Det er et mål å oppnå en balansert alders- og kjønnssammensetning og å rekruttere personer med innvandrerbakgrunn, pe</w:t>
      </w:r>
      <w:r>
        <w:t>r</w:t>
      </w:r>
      <w:r>
        <w:t>soner med nedsatt funksjonsevne og pe</w:t>
      </w:r>
      <w:r>
        <w:t>r</w:t>
      </w:r>
      <w:r>
        <w:t>soner med hull i CV.</w:t>
      </w:r>
    </w:p>
    <w:p w:rsidR="00557A6F" w:rsidRDefault="00557A6F" w:rsidP="00557A6F">
      <w:r>
        <w:t>Informasjonsformidling og dialog med brukere og samarbeidspartnere er en sentral oppgave for å formidle kunnskap om departementets saksfelt, samt de politiske målene og resultatene.</w:t>
      </w:r>
    </w:p>
    <w:p w:rsidR="00557A6F" w:rsidRDefault="00557A6F" w:rsidP="00557A6F">
      <w:pPr>
        <w:pStyle w:val="avsnitt-tittel"/>
      </w:pPr>
      <w:r>
        <w:lastRenderedPageBreak/>
        <w:t>Budsjettforslag</w:t>
      </w:r>
    </w:p>
    <w:p w:rsidR="00557A6F" w:rsidRDefault="00557A6F" w:rsidP="00557A6F">
      <w:r>
        <w:t>Som følge av endringene i departementsstrukturen i 2019 foreslås det å øke bevilgningen med 14,8 mill. kroner. Økningen skyldes flytting av budsjettmidler fra Nærings- og fiskeridepartementet og Samfer</w:t>
      </w:r>
      <w:r>
        <w:t>d</w:t>
      </w:r>
      <w:r>
        <w:t>selsdepartementet, og motsvares av forslag om bevilgningsreduksjoner med 1,7 mill. kroner under kap. 900, post 01 og 13,1 mill. kroner under kap. 1300, post 01.</w:t>
      </w:r>
    </w:p>
    <w:p w:rsidR="00557A6F" w:rsidRDefault="00557A6F" w:rsidP="00557A6F">
      <w:r>
        <w:t>Bevilgningen foreslås redusert med 930 000 kroner mot en tilsvarende økning av Finansdepart</w:t>
      </w:r>
      <w:r>
        <w:t>e</w:t>
      </w:r>
      <w:r>
        <w:t>mentets kap. 1605, post 01 som følge av at enkelte statistikkoppgaver innenfor det forvaltningsp</w:t>
      </w:r>
      <w:r>
        <w:t>o</w:t>
      </w:r>
      <w:r>
        <w:t>litiske og IT-politiske området overføres til DFØ, jf. omtale av endret ansvars- og oppgaveford</w:t>
      </w:r>
      <w:r>
        <w:t>e</w:t>
      </w:r>
      <w:r>
        <w:t>ling mellom Digitalis</w:t>
      </w:r>
      <w:r>
        <w:t>e</w:t>
      </w:r>
      <w:r>
        <w:t>ringsdirektoratet og DFØ under programkategori 13.40.</w:t>
      </w:r>
    </w:p>
    <w:p w:rsidR="00557A6F" w:rsidRDefault="00557A6F" w:rsidP="00557A6F">
      <w:r>
        <w:t>Som følge av at Kulturrådet har overtatt forvaltningen av tilskuddsordningen for romanifo</w:t>
      </w:r>
      <w:r>
        <w:t>l</w:t>
      </w:r>
      <w:r>
        <w:t>ket/taterne, jf. omtale under kap. 567, post 25 og 75, foreslås det å redusere bevilgningen med 600 000 kroner mot en tilsvarende ø</w:t>
      </w:r>
      <w:r>
        <w:t>k</w:t>
      </w:r>
      <w:r>
        <w:t>ning av Kulturdepartementets kap. 320 Norsk kulturråd, post 01 Driftsutgifter.</w:t>
      </w:r>
    </w:p>
    <w:p w:rsidR="00557A6F" w:rsidRDefault="00557A6F" w:rsidP="00557A6F">
      <w:r>
        <w:t>Det foreslås å redusere bevilgningen med 3,1 mill. kroner mot en tilsvarende økning på kap. 510, post 01 til leie av lokaler i Kongens gate 20, jf. omtale på kap. 510, post 01.</w:t>
      </w:r>
    </w:p>
    <w:p w:rsidR="00557A6F" w:rsidRDefault="00557A6F" w:rsidP="00557A6F">
      <w:r>
        <w:t>Som følge av overgang til bevilgningsfinansiering av administrative tjenester fra 2020 foreslås det å redusere bevilgningen med 156 000 kroner mot en tilsvarende økning på kap. 510, post 01.</w:t>
      </w:r>
    </w:p>
    <w:p w:rsidR="00557A6F" w:rsidRDefault="00557A6F" w:rsidP="00557A6F">
      <w:r>
        <w:t>Det foreslås å øke bevilgningen med 2 mill. kroner til arbeid med tinglysing mot en tilsvarende r</w:t>
      </w:r>
      <w:r>
        <w:t>e</w:t>
      </w:r>
      <w:r>
        <w:t>duksjon på kap. 595, post 01, jf. omtale på kap. 595, post 01.</w:t>
      </w:r>
    </w:p>
    <w:p w:rsidR="00557A6F" w:rsidRDefault="00557A6F" w:rsidP="00557A6F">
      <w:r>
        <w:t>Samlet foreslås det å øke bevilgningen med 19,3 mill. kroner til 417,3 mill. kroner, inkludert en</w:t>
      </w:r>
      <w:r>
        <w:t>d</w:t>
      </w:r>
      <w:r>
        <w:t>ringer som følge av avbyråkratiserings- og effektiviseringsreformen og lønns- og prisjustering.</w:t>
      </w:r>
    </w:p>
    <w:p w:rsidR="00557A6F" w:rsidRDefault="00557A6F" w:rsidP="00557A6F">
      <w:r>
        <w:t>Det foreslås at bevilgningen kan overskrides mot tilsvarende merinntekter på kap. 3500, post 01, jf. forslag til romertallsvedtak.</w:t>
      </w:r>
    </w:p>
    <w:p w:rsidR="00557A6F" w:rsidRDefault="00557A6F" w:rsidP="00557A6F">
      <w:pPr>
        <w:pStyle w:val="b-post"/>
      </w:pPr>
      <w:r>
        <w:t>Post 21 Spesielle driftsutgifter, kan overføres, kan nyttes under post 70</w:t>
      </w:r>
    </w:p>
    <w:p w:rsidR="00557A6F" w:rsidRDefault="00557A6F" w:rsidP="00557A6F">
      <w:r>
        <w:t>Bevilgningen skal dekke departementets behov for kjøp av statistikk, data, utredninger, evalu</w:t>
      </w:r>
      <w:r>
        <w:t>e</w:t>
      </w:r>
      <w:r>
        <w:t>ringer og formidling av kunnskap, samt gjennomføring av midlertidige tiltak og prosjekter. Pr</w:t>
      </w:r>
      <w:r>
        <w:t>o</w:t>
      </w:r>
      <w:r>
        <w:t>sjektene skal bidra til et godt grunnlag for utvikling og gjennomføring av regjeringens politikk på departementets ansvar</w:t>
      </w:r>
      <w:r>
        <w:t>s</w:t>
      </w:r>
      <w:r>
        <w:t>område.</w:t>
      </w:r>
    </w:p>
    <w:p w:rsidR="00557A6F" w:rsidRDefault="00557A6F" w:rsidP="00557A6F">
      <w:pPr>
        <w:pStyle w:val="avsnitt-tittel"/>
      </w:pPr>
      <w:r>
        <w:t>Rapport</w:t>
      </w:r>
    </w:p>
    <w:p w:rsidR="00557A6F" w:rsidRDefault="00557A6F" w:rsidP="00557A6F">
      <w:pPr>
        <w:pStyle w:val="avsnitt-undertittel"/>
      </w:pPr>
      <w:r>
        <w:t>Arbeidsgiverpolitikk</w:t>
      </w:r>
    </w:p>
    <w:p w:rsidR="00557A6F" w:rsidRDefault="00557A6F" w:rsidP="00557A6F">
      <w:r>
        <w:t>Det er benyttet midler til en felles satsing på digital opplæring, lederutviklingstilbud og gjenno</w:t>
      </w:r>
      <w:r>
        <w:t>m</w:t>
      </w:r>
      <w:r>
        <w:t>føring av traineeprogram for personer med nedsatt funksjonsevne og høyere utdanning. Videre er det benyttet midler til innhenting og bearbeiding av lønns- og personaldata, som særlig benyttes i forbindelse med gjennomføring av lønnsoppgjøret i staten.</w:t>
      </w:r>
    </w:p>
    <w:p w:rsidR="00557A6F" w:rsidRDefault="00557A6F" w:rsidP="00557A6F">
      <w:pPr>
        <w:pStyle w:val="avsnitt-undertittel"/>
      </w:pPr>
      <w:r>
        <w:t>Effektivisering og fornying</w:t>
      </w:r>
    </w:p>
    <w:p w:rsidR="00557A6F" w:rsidRDefault="00557A6F" w:rsidP="00557A6F">
      <w:r>
        <w:t>I 2018 er det benyttet midler til arbeidet med å utvikle politikk for innovasjon i offentlig sektor, jf. nærm</w:t>
      </w:r>
      <w:r>
        <w:t>e</w:t>
      </w:r>
      <w:r>
        <w:t>re omtale under programkategori 13.40. Det er også satt av midler til dette formålet i 2019. Det er benyttet midler til arbeidet med klart språk i staten, blant annet har Universitetet i Oslo (UiO) fått 3 mill. kroner til satsing på å integrere klart språk i juridisk utdanning og forskning, og til dekning av Norges årlige ko</w:t>
      </w:r>
      <w:r>
        <w:t>n</w:t>
      </w:r>
      <w:r>
        <w:t>tingent til deltagelse i European Institute of Public Administration (EIPA). Midlene til UiO og EIPA er fra 2019 budsjettert under kap. 500, post 50. Det er også b</w:t>
      </w:r>
      <w:r>
        <w:t>e</w:t>
      </w:r>
      <w:r>
        <w:t>nyttet midler til Stat &amp; Styring – tidsskrift for politikk og forvaltning, og til forvaltningslovutva</w:t>
      </w:r>
      <w:r>
        <w:t>l</w:t>
      </w:r>
      <w:r>
        <w:t>get, som departementet finansierer sammen med Justis- og beredskapsdepartementet. I tillegg er det i 2018 og 2019 benyttet midler til evaluering av Statens in</w:t>
      </w:r>
      <w:r>
        <w:t>n</w:t>
      </w:r>
      <w:r>
        <w:t>kjøpssenter.</w:t>
      </w:r>
    </w:p>
    <w:p w:rsidR="00557A6F" w:rsidRDefault="00557A6F" w:rsidP="00557A6F">
      <w:pPr>
        <w:pStyle w:val="avsnitt-undertittel"/>
      </w:pPr>
      <w:r>
        <w:lastRenderedPageBreak/>
        <w:t>Fylkesmennenes fellesadministrasjon</w:t>
      </w:r>
    </w:p>
    <w:p w:rsidR="00557A6F" w:rsidRDefault="00557A6F" w:rsidP="00557A6F">
      <w:r>
        <w:t>Det ble i 2018 tildelt 1,7 mill. kroner til prosjektet Etablering av Fylkesmennenes fellesadministr</w:t>
      </w:r>
      <w:r>
        <w:t>a</w:t>
      </w:r>
      <w:r>
        <w:t>sjon (FMFA). Midlene ble benyttet til utredningsarbeid for avklaring av oppgavefordeling mellom departementet, embetene og FMFA, og til omstilling for berørte medarbeidere. I tillegg dekket midlene lønn</w:t>
      </w:r>
      <w:r>
        <w:t>s</w:t>
      </w:r>
      <w:r>
        <w:t>kostnader til fremtidig direktør i FMFA i en interimsperiode på slutten av året, og etableringskostnader til hovedsetet for FMFA i Arendal.</w:t>
      </w:r>
    </w:p>
    <w:p w:rsidR="00557A6F" w:rsidRDefault="00557A6F" w:rsidP="00557A6F">
      <w:r>
        <w:t>For å forberede innføring av lønns- og regnskapssystemer i FMFA, samt harmonisere lønns- og regnskapssyst</w:t>
      </w:r>
      <w:r>
        <w:t>e</w:t>
      </w:r>
      <w:r>
        <w:t>mer i fylkesmannsembeter som fusjonerte fra 1. januar 2019, ble det tildelt 2 mill. kroner til et prosjekt som ble gjennomført i samarbeid mellom DFØ og departementet.</w:t>
      </w:r>
    </w:p>
    <w:p w:rsidR="00557A6F" w:rsidRDefault="00557A6F" w:rsidP="00557A6F">
      <w:pPr>
        <w:pStyle w:val="avsnitt-undertittel"/>
      </w:pPr>
      <w:r>
        <w:t>Regional stat</w:t>
      </w:r>
    </w:p>
    <w:p w:rsidR="00557A6F" w:rsidRDefault="00557A6F" w:rsidP="00557A6F">
      <w:r>
        <w:t>Som del av regionreformen gav Kommunal- og moderniseringsdepartementet Difi i oppdrag å gjennomgå regional stats inndeling. Formålet med gjennomgangen var å styrke mulighetene for samhandling mellom regional stat og fylkeskommunen og innad i staten mellom ulike deler av r</w:t>
      </w:r>
      <w:r>
        <w:t>e</w:t>
      </w:r>
      <w:r>
        <w:t>gional stat.</w:t>
      </w:r>
    </w:p>
    <w:p w:rsidR="00557A6F" w:rsidRDefault="00557A6F" w:rsidP="00557A6F">
      <w:r>
        <w:t>I 2018 ble Difi tildelt 500 000 kroner for å sluttføre arbeidet, og Difi leverte sine anbefalinger hø</w:t>
      </w:r>
      <w:r>
        <w:t>s</w:t>
      </w:r>
      <w:r>
        <w:t xml:space="preserve">ten 2018. Departementets vurderinger av funnene ble presentert for Stortinget i Prop. 113 S (2018–2019) </w:t>
      </w:r>
      <w:r>
        <w:rPr>
          <w:rStyle w:val="kursiv"/>
          <w:sz w:val="21"/>
          <w:szCs w:val="21"/>
        </w:rPr>
        <w:t>Kommunepropos</w:t>
      </w:r>
      <w:r>
        <w:rPr>
          <w:rStyle w:val="kursiv"/>
          <w:sz w:val="21"/>
          <w:szCs w:val="21"/>
        </w:rPr>
        <w:t>i</w:t>
      </w:r>
      <w:r>
        <w:rPr>
          <w:rStyle w:val="kursiv"/>
          <w:sz w:val="21"/>
          <w:szCs w:val="21"/>
        </w:rPr>
        <w:t>sjonen 2020</w:t>
      </w:r>
      <w:r>
        <w:t>.</w:t>
      </w:r>
    </w:p>
    <w:p w:rsidR="00557A6F" w:rsidRDefault="00557A6F" w:rsidP="00557A6F">
      <w:pPr>
        <w:pStyle w:val="avsnitt-undertittel"/>
      </w:pPr>
      <w:r>
        <w:t>Planlegging og bypolitikk</w:t>
      </w:r>
    </w:p>
    <w:p w:rsidR="00557A6F" w:rsidRDefault="00557A6F" w:rsidP="00557A6F">
      <w:r>
        <w:t>I 2018 og 2019 er midlene benyttet til utvikling av bedre og mer effektive planprosesser for å bidra til at kommunene kan utnytte utviklingspotensialet på en bærekraftig måte. Det er satt av midler til utrednin</w:t>
      </w:r>
      <w:r>
        <w:t>g</w:t>
      </w:r>
      <w:r>
        <w:t>er, analyser og dialogarenaer til bruk i politikkutvikling, og lov- og forskriftsutvikling på områdene pla</w:t>
      </w:r>
      <w:r>
        <w:t>n</w:t>
      </w:r>
      <w:r>
        <w:t>legging og kart- og eiendomsinformasjon. Departementets arbeid med digitalisering av planprosesser finansieres over posten. Midlene har også blitt brukt til tiltak for økt plankomp</w:t>
      </w:r>
      <w:r>
        <w:t>e</w:t>
      </w:r>
      <w:r>
        <w:t>tanse og tilrettelegging av kunnskapgrunnlaget for planleggingen. Det arbeides med å gjøre veile</w:t>
      </w:r>
      <w:r>
        <w:t>d</w:t>
      </w:r>
      <w:r>
        <w:t>ningen til planområdet oppdatert og digital, og gi relevant og tilgjengelig statistikk om arealbruk. Videre er midlene benyttet til oppfølging av samordnet bolig-, areal- og transportplanlegging. Midlene er også anvendt til regjeringens arbeid med områdesatsinger og statlig plan. Departeme</w:t>
      </w:r>
      <w:r>
        <w:t>n</w:t>
      </w:r>
      <w:r>
        <w:t>tet har støttet opp om fylkesmennenes arbeid med samor</w:t>
      </w:r>
      <w:r>
        <w:t>d</w:t>
      </w:r>
      <w:r>
        <w:t>ning av innsigelser, byvekstavtaler og plankompetanse i kommunene.</w:t>
      </w:r>
    </w:p>
    <w:p w:rsidR="00557A6F" w:rsidRDefault="00557A6F" w:rsidP="00557A6F">
      <w:pPr>
        <w:pStyle w:val="avsnitt-undertittel"/>
      </w:pPr>
      <w:r>
        <w:t>Regional- og distriktspolitikk</w:t>
      </w:r>
    </w:p>
    <w:p w:rsidR="00557A6F" w:rsidRDefault="00557A6F" w:rsidP="00557A6F">
      <w:r>
        <w:t>Midlene har gått til analyser, utredninger og dialogarenaer i forbindelse med politikkutvikling og virk</w:t>
      </w:r>
      <w:r>
        <w:t>e</w:t>
      </w:r>
      <w:r>
        <w:t>middelbruk innenfor regional- og distriktspolitikken. I 2018 finansierte posten blant annet evalueringer av den differensierte arbeidsgiveravgiften, Norges deltakelse i Interreg og Utvikling</w:t>
      </w:r>
      <w:r>
        <w:t>s</w:t>
      </w:r>
      <w:r>
        <w:t>program for byregi</w:t>
      </w:r>
      <w:r>
        <w:t>o</w:t>
      </w:r>
      <w:r>
        <w:t>ner. Det har videre blitt utarbeidet en veileder for Smart Spesialisering og en rekke mindre utredninger som er blitt brukt i arbeidet med stortingsmelding om distriktspolitikken. I 2019 gjennomføres det blant annet en faglig ekstern gjennomgang av Distriktsindeksen, oppdat</w:t>
      </w:r>
      <w:r>
        <w:t>e</w:t>
      </w:r>
      <w:r>
        <w:t>ring og revidering av inndeling av kommuner i bo- og arbeidsmarkedsregioner og en sammensti</w:t>
      </w:r>
      <w:r>
        <w:t>l</w:t>
      </w:r>
      <w:r>
        <w:t>ling av tilgjengelig kunnskap om utviklin</w:t>
      </w:r>
      <w:r>
        <w:t>g</w:t>
      </w:r>
      <w:r>
        <w:t>strekk i Nord-Norge.</w:t>
      </w:r>
    </w:p>
    <w:p w:rsidR="00557A6F" w:rsidRDefault="00557A6F" w:rsidP="00557A6F">
      <w:pPr>
        <w:pStyle w:val="avsnitt-undertittel"/>
      </w:pPr>
      <w:r>
        <w:t>Bolig- og bygningspolitikk</w:t>
      </w:r>
    </w:p>
    <w:p w:rsidR="00557A6F" w:rsidRDefault="00557A6F" w:rsidP="00557A6F">
      <w:r>
        <w:t>I 2018 og 2019 er det brukt midler til blant annet en utredning om bolig og eldre i lys av en al</w:t>
      </w:r>
      <w:r>
        <w:t>d</w:t>
      </w:r>
      <w:r>
        <w:t>rende befolkning og hvordan boligsektoren kan avlaste omsorgssektoren. Det er også bevilget midler til et forprosjekt som skal avklare behov for digitale løsninger for kommunalt disponerte utleieboliger. Over posten finansieres en rammeavtale med Statistisk sentralbyrå (SSB) om st</w:t>
      </w:r>
      <w:r>
        <w:t>a</w:t>
      </w:r>
      <w:r>
        <w:t>tistikk og analyse om bolig, boforhold, boligøkonomi og byggkvalitet. Videre vurderer Byggkval</w:t>
      </w:r>
      <w:r>
        <w:t>i</w:t>
      </w:r>
      <w:r>
        <w:t>tetutvalget tiltak for å sikre god kvalitet og seriøsitet i byggenæringen, og skal levere sin tilrådning i februar 2020. Overvannsutvalget foreslo i 2015 endringer i plan- og bygningsloven og foruren</w:t>
      </w:r>
      <w:r>
        <w:t>s</w:t>
      </w:r>
      <w:r>
        <w:t>ningsloven. Departementet har, i samarbeid med Miljødirektoratet, anskaffet en samfunnsøkon</w:t>
      </w:r>
      <w:r>
        <w:t>o</w:t>
      </w:r>
      <w:r>
        <w:t>misk analyse og en juridisk vurdering av e</w:t>
      </w:r>
      <w:r>
        <w:t>n</w:t>
      </w:r>
      <w:r>
        <w:t xml:space="preserve">kelte av lovendringene som ble foreslått av utvalget. Videre har departementet igangsatt et arbeid med </w:t>
      </w:r>
      <w:r>
        <w:lastRenderedPageBreak/>
        <w:t>å vurdere om det er behov for å klargjøre ko</w:t>
      </w:r>
      <w:r>
        <w:t>m</w:t>
      </w:r>
      <w:r>
        <w:t>munenes boligsosiale ansvar, og hvordan dette i så fall skal gjøres. Det gjennomføres også et pr</w:t>
      </w:r>
      <w:r>
        <w:t>o</w:t>
      </w:r>
      <w:r>
        <w:t>sjekt om transformasjonspiloter, som skal kartlegge og a</w:t>
      </w:r>
      <w:r>
        <w:t>v</w:t>
      </w:r>
      <w:r>
        <w:t>dekke hvordan forenkling av regelverket, digitalisering eller andre virkemidler kan bidra til raskere og mindre ressurskrevende prosesser, lavere konfliktnivå og mer fornøyde parter. Over posten er det også finansiert en rapport som vu</w:t>
      </w:r>
      <w:r>
        <w:t>r</w:t>
      </w:r>
      <w:r>
        <w:t>derer hvordan offentlig infrastruktur i utbyggingsområder kan finansieres i fremtiden, uten å fo</w:t>
      </w:r>
      <w:r>
        <w:t>r</w:t>
      </w:r>
      <w:r>
        <w:t>sinke eller være til hinder for utvikling av utbyggingsområder.</w:t>
      </w:r>
    </w:p>
    <w:p w:rsidR="00557A6F" w:rsidRDefault="00557A6F" w:rsidP="00557A6F">
      <w:pPr>
        <w:pStyle w:val="avsnitt-undertittel"/>
      </w:pPr>
      <w:r>
        <w:t>Departementslokaler og nytt regjeringskvartal</w:t>
      </w:r>
    </w:p>
    <w:p w:rsidR="00557A6F" w:rsidRDefault="00557A6F" w:rsidP="00557A6F">
      <w:r>
        <w:t>Departementslokalene er skjermingsverdige objekter og underlagt krav til kontinuerlig sikkerhet</w:t>
      </w:r>
      <w:r>
        <w:t>s</w:t>
      </w:r>
      <w:r>
        <w:t>styring. Det er benyttet midler til analyser og utredning av sikringsbehov og tiltak for både midle</w:t>
      </w:r>
      <w:r>
        <w:t>r</w:t>
      </w:r>
      <w:r>
        <w:t>tidige og øvrige departementslokaler i tråd med lov og forskrift. I utviklingen av nytt regjering</w:t>
      </w:r>
      <w:r>
        <w:t>s</w:t>
      </w:r>
      <w:r>
        <w:t>kvartal er det i 2018 beny</w:t>
      </w:r>
      <w:r>
        <w:t>t</w:t>
      </w:r>
      <w:r>
        <w:t>tet midler til sikkerhetsmessig analyse og utredning av planer for å sikre at krav som er satt til sikkerhet ivaretas. Arbeidet videreføres i 2019.</w:t>
      </w:r>
    </w:p>
    <w:p w:rsidR="00557A6F" w:rsidRDefault="00557A6F" w:rsidP="00557A6F">
      <w:pPr>
        <w:pStyle w:val="avsnitt-undertittel"/>
      </w:pPr>
      <w:r>
        <w:t>Samer og nasjonale minoriteter</w:t>
      </w:r>
    </w:p>
    <w:p w:rsidR="00557A6F" w:rsidRDefault="00557A6F" w:rsidP="00557A6F">
      <w:r>
        <w:t xml:space="preserve">Midler på posten har blant annet gått til å dekke departementets utgifter til arbeid med </w:t>
      </w:r>
      <w:r>
        <w:rPr>
          <w:rStyle w:val="kursiv"/>
          <w:sz w:val="21"/>
          <w:szCs w:val="21"/>
        </w:rPr>
        <w:t>Handlingsplan mot antisemittisme 2016–2020</w:t>
      </w:r>
      <w:r>
        <w:t xml:space="preserve">, oppfølging av NOU 2007: 13 </w:t>
      </w:r>
      <w:r>
        <w:rPr>
          <w:rStyle w:val="kursiv"/>
          <w:sz w:val="21"/>
          <w:szCs w:val="21"/>
        </w:rPr>
        <w:t>Den nye sameretten</w:t>
      </w:r>
      <w:r>
        <w:t>, og til arrangement i forbi</w:t>
      </w:r>
      <w:r>
        <w:t>n</w:t>
      </w:r>
      <w:r>
        <w:t>delse med utdeling av Nordisk samisk språkpris, Gollegiella, i 2018.</w:t>
      </w:r>
    </w:p>
    <w:p w:rsidR="00557A6F" w:rsidRDefault="00557A6F" w:rsidP="00557A6F">
      <w:pPr>
        <w:pStyle w:val="avsnitt-tittel"/>
      </w:pPr>
      <w:r>
        <w:t>Budsjettforslag</w:t>
      </w:r>
    </w:p>
    <w:p w:rsidR="00557A6F" w:rsidRDefault="00557A6F" w:rsidP="00557A6F">
      <w:r>
        <w:t>Det foreslås å øke bevilgningen med 1 mill. kroner til arbeid med lærlinger i staten, mot en tilsv</w:t>
      </w:r>
      <w:r>
        <w:t>a</w:t>
      </w:r>
      <w:r>
        <w:t>rende reduksjon under Kunnskapsdepartementets budsjett.</w:t>
      </w:r>
    </w:p>
    <w:p w:rsidR="00557A6F" w:rsidRDefault="00557A6F" w:rsidP="00557A6F">
      <w:r>
        <w:t>Bevilgningen foreslås redusert med 9 mill. kroner som følge av ferdigstilling av prosjekter som var f</w:t>
      </w:r>
      <w:r>
        <w:t>i</w:t>
      </w:r>
      <w:r>
        <w:t>nansiert ved omdisponering.</w:t>
      </w:r>
    </w:p>
    <w:p w:rsidR="00557A6F" w:rsidRDefault="00557A6F" w:rsidP="00557A6F">
      <w:r>
        <w:t>Inkludert endringer som følge av avbyråkratiserings- og effektiviseringsreformen og prisjustering, f</w:t>
      </w:r>
      <w:r>
        <w:t>o</w:t>
      </w:r>
      <w:r>
        <w:t>reslås det en bevilgning på 76,6 mill. kroner, en samlet reduksjon på 5,8 mill. kroner.</w:t>
      </w:r>
    </w:p>
    <w:p w:rsidR="00557A6F" w:rsidRDefault="00557A6F" w:rsidP="00557A6F">
      <w:pPr>
        <w:pStyle w:val="b-post"/>
      </w:pPr>
      <w:r>
        <w:t>Post 23 Husleie for fellesarealer m.m.</w:t>
      </w:r>
    </w:p>
    <w:p w:rsidR="00557A6F" w:rsidRDefault="00557A6F" w:rsidP="00557A6F">
      <w:r>
        <w:t xml:space="preserve">Bevilgningen på posten skal dekke utgifter til husleie for ledige arealer i R5, utgifter i forbindelse med erstatningslokaler og driftskostnader for ødelagte bygg i regjeringskvartalet. </w:t>
      </w:r>
    </w:p>
    <w:p w:rsidR="00557A6F" w:rsidRDefault="00557A6F" w:rsidP="00557A6F">
      <w:r>
        <w:t>Inkludert endringer som følge av avbyråkratiserings- og effektiviseringsreformen og prisjustering, for</w:t>
      </w:r>
      <w:r>
        <w:t>e</w:t>
      </w:r>
      <w:r>
        <w:t xml:space="preserve">slås det en bevilgning på 25,3 mill. kroner. </w:t>
      </w:r>
    </w:p>
    <w:p w:rsidR="00557A6F" w:rsidRDefault="00557A6F" w:rsidP="00557A6F">
      <w:pPr>
        <w:pStyle w:val="b-post"/>
      </w:pPr>
      <w:r>
        <w:t>Post 25 Nytt regjeringskvartal, kan overføres</w:t>
      </w:r>
    </w:p>
    <w:p w:rsidR="00557A6F" w:rsidRDefault="00557A6F" w:rsidP="00557A6F">
      <w:r>
        <w:t>Bevilgningen på posten dekker innkjøp av faglig bistand og utredninger til departementets arbeid med nytt regjeringskvartal, herunder vurderinger av sikkerhetsspørsmål og gevinstrealisering, samt kvalitet</w:t>
      </w:r>
      <w:r>
        <w:t>s</w:t>
      </w:r>
      <w:r>
        <w:t>sikring av prosjektet.</w:t>
      </w:r>
    </w:p>
    <w:p w:rsidR="00557A6F" w:rsidRDefault="00557A6F" w:rsidP="00557A6F">
      <w:r>
        <w:t>I 2018 er midlene, av sikkerhetsmessige årsaker, benyttet til utbedring av lokalene i departementet og til faglig bistand til departementets arbeid med prosjektet.</w:t>
      </w:r>
    </w:p>
    <w:p w:rsidR="00557A6F" w:rsidRDefault="00557A6F" w:rsidP="00557A6F">
      <w:r>
        <w:t>For 2020 foreslås en bevilgning på 4 mill. kroner til faglig bistand, innleid prosjektledelse, samt pr</w:t>
      </w:r>
      <w:r>
        <w:t>o</w:t>
      </w:r>
      <w:r>
        <w:t>sjektstøtte og analysearbeid.</w:t>
      </w:r>
    </w:p>
    <w:p w:rsidR="00557A6F" w:rsidRDefault="00557A6F" w:rsidP="00557A6F">
      <w:pPr>
        <w:pStyle w:val="b-post"/>
      </w:pPr>
      <w:r>
        <w:t>Post 27 Felles IKT-løsning, kan overføres</w:t>
      </w:r>
    </w:p>
    <w:p w:rsidR="00557A6F" w:rsidRDefault="00557A6F" w:rsidP="00557A6F">
      <w:r>
        <w:t>Forsvarsdepartementets to-nivåløsning skal innføres som felles IKT-løsning for Statsministerens kontor, departementene og Departementenes sikkerhets- og serviceorganisasjon (DSS).</w:t>
      </w:r>
    </w:p>
    <w:p w:rsidR="00557A6F" w:rsidRDefault="00557A6F" w:rsidP="00557A6F">
      <w:r>
        <w:t>Prosjektet er omstrukturert og ansvaret fordelt mellom Forsvarsdepartementet og Kommunal- og modernis</w:t>
      </w:r>
      <w:r>
        <w:t>e</w:t>
      </w:r>
      <w:r>
        <w:t>ringsdepartementet.</w:t>
      </w:r>
    </w:p>
    <w:p w:rsidR="00557A6F" w:rsidRDefault="00557A6F" w:rsidP="00557A6F">
      <w:r>
        <w:t>Departementet har fra 2019 ansvar for følgende elementer:</w:t>
      </w:r>
    </w:p>
    <w:p w:rsidR="00557A6F" w:rsidRDefault="00557A6F" w:rsidP="00557A6F">
      <w:pPr>
        <w:pStyle w:val="Liste"/>
      </w:pPr>
      <w:r>
        <w:lastRenderedPageBreak/>
        <w:t>Innføring av sak-/arkiv.</w:t>
      </w:r>
    </w:p>
    <w:p w:rsidR="00557A6F" w:rsidRDefault="00557A6F" w:rsidP="00557A6F">
      <w:pPr>
        <w:pStyle w:val="Liste"/>
      </w:pPr>
      <w:r>
        <w:t>Organisering av opplæring og brukerstøtte.</w:t>
      </w:r>
    </w:p>
    <w:p w:rsidR="00557A6F" w:rsidRDefault="00557A6F" w:rsidP="00557A6F">
      <w:pPr>
        <w:pStyle w:val="Liste"/>
      </w:pPr>
      <w:r>
        <w:t>Rollefordeling mellom prosjektene og det enkelte departement.</w:t>
      </w:r>
    </w:p>
    <w:p w:rsidR="00557A6F" w:rsidRDefault="00557A6F" w:rsidP="00557A6F">
      <w:pPr>
        <w:pStyle w:val="Liste"/>
      </w:pPr>
      <w:r>
        <w:t>Standardisering og prioritering av applikasjonsportefølje.</w:t>
      </w:r>
    </w:p>
    <w:p w:rsidR="00557A6F" w:rsidRDefault="00557A6F" w:rsidP="00557A6F">
      <w:pPr>
        <w:pStyle w:val="Liste"/>
      </w:pPr>
      <w:r>
        <w:t>Oppfølging av inngått omstillingsavtale.</w:t>
      </w:r>
    </w:p>
    <w:p w:rsidR="00557A6F" w:rsidRDefault="00557A6F" w:rsidP="00557A6F">
      <w:pPr>
        <w:pStyle w:val="Liste"/>
      </w:pPr>
      <w:r>
        <w:t>Bestillinger til Forsvarsdepartementet i henhold til departementenes behov.</w:t>
      </w:r>
    </w:p>
    <w:p w:rsidR="00557A6F" w:rsidRDefault="00557A6F" w:rsidP="00557A6F">
      <w:pPr>
        <w:pStyle w:val="avsnitt-tittel"/>
      </w:pPr>
      <w:r>
        <w:t>Budsjettforslag</w:t>
      </w:r>
    </w:p>
    <w:p w:rsidR="00557A6F" w:rsidRDefault="00557A6F" w:rsidP="00557A6F">
      <w:r>
        <w:t>Det foreslås 30 mill. kroner til innføring av sak-/arkiv og 10 mill. kroner til videre arbeid med tj</w:t>
      </w:r>
      <w:r>
        <w:t>e</w:t>
      </w:r>
      <w:r>
        <w:t>nester og organisasjon.</w:t>
      </w:r>
    </w:p>
    <w:p w:rsidR="00557A6F" w:rsidRDefault="00557A6F" w:rsidP="00557A6F">
      <w:r>
        <w:t>Inkludert endringer som følge av avbyråkratiserings- og effektiviseringsreformen og prisjustering, f</w:t>
      </w:r>
      <w:r>
        <w:t>o</w:t>
      </w:r>
      <w:r>
        <w:t>reslås det en bevilgning på 40,6 mill. kroner.</w:t>
      </w:r>
    </w:p>
    <w:p w:rsidR="00557A6F" w:rsidRDefault="00557A6F" w:rsidP="00557A6F">
      <w:pPr>
        <w:pStyle w:val="b-post"/>
      </w:pPr>
      <w:r>
        <w:t>Post 50 Forskningsprogrammer</w:t>
      </w:r>
    </w:p>
    <w:p w:rsidR="00557A6F" w:rsidRDefault="00557A6F" w:rsidP="00557A6F">
      <w:r>
        <w:t>Bevilgningen skal dekke departementets behov for langsiktig kunnskapsoppbygging i regi av No</w:t>
      </w:r>
      <w:r>
        <w:t>r</w:t>
      </w:r>
      <w:r>
        <w:t>ges Forskningsråd. Bevilgningen skal underbygge og gi et godt grunnlag for faglige og politiske beslutninger, samt bidra til at det finnes kompetente forskningsmiljøer innenfor departementets sektoransvar. Bevilgningen blir også brukt til direkte støtte til forskning ved statlige forskningsi</w:t>
      </w:r>
      <w:r>
        <w:t>n</w:t>
      </w:r>
      <w:r>
        <w:t>stitusjoner, samt satsing for å inkludere klarspråk i jusutdanningen. Norges forskningsråd er en sentral aktør i det norske forsknings- og innovasjonssystemet og et viktig virkemiddel for å nå r</w:t>
      </w:r>
      <w:r>
        <w:t>e</w:t>
      </w:r>
      <w:r>
        <w:t>gjeringens forskningspolitiske mål.</w:t>
      </w:r>
    </w:p>
    <w:p w:rsidR="00557A6F" w:rsidRDefault="00557A6F" w:rsidP="00557A6F">
      <w:r>
        <w:t>Regjeringen har fastsatt fem mål for Forskningsrådet. Målene er:</w:t>
      </w:r>
    </w:p>
    <w:p w:rsidR="00557A6F" w:rsidRDefault="00557A6F" w:rsidP="00557A6F">
      <w:pPr>
        <w:pStyle w:val="Liste"/>
      </w:pPr>
      <w:r>
        <w:t>Økt vitenskapelig kvalitet.</w:t>
      </w:r>
    </w:p>
    <w:p w:rsidR="00557A6F" w:rsidRDefault="00557A6F" w:rsidP="00557A6F">
      <w:pPr>
        <w:pStyle w:val="Liste"/>
      </w:pPr>
      <w:r>
        <w:t>Økt verdiskaping i næringslivet.</w:t>
      </w:r>
    </w:p>
    <w:p w:rsidR="00557A6F" w:rsidRDefault="00557A6F" w:rsidP="00557A6F">
      <w:pPr>
        <w:pStyle w:val="Liste"/>
      </w:pPr>
      <w:r>
        <w:t>Møte store samfunnsutfordringer.</w:t>
      </w:r>
    </w:p>
    <w:p w:rsidR="00557A6F" w:rsidRDefault="00557A6F" w:rsidP="00557A6F">
      <w:pPr>
        <w:pStyle w:val="Liste"/>
      </w:pPr>
      <w:r>
        <w:t>Et velfungerende forskningssystem.</w:t>
      </w:r>
    </w:p>
    <w:p w:rsidR="00557A6F" w:rsidRDefault="00557A6F" w:rsidP="00557A6F">
      <w:pPr>
        <w:pStyle w:val="Liste"/>
      </w:pPr>
      <w:r>
        <w:t>God rådgiving.</w:t>
      </w:r>
    </w:p>
    <w:p w:rsidR="00557A6F" w:rsidRDefault="00557A6F" w:rsidP="00557A6F">
      <w:r>
        <w:t>Målene er felles for alle departementene. Kunnskapsdepartementet har i samarbeid med depart</w:t>
      </w:r>
      <w:r>
        <w:t>e</w:t>
      </w:r>
      <w:r>
        <w:t>mentene og Forskningsrådet utarbeidet et styringssystem for departementenes styring av Fors</w:t>
      </w:r>
      <w:r>
        <w:t>k</w:t>
      </w:r>
      <w:r>
        <w:t>ningsrådet. Samlet måloppnåelse for Forskningsrådets virksomhet i 2018 er omtalt i Kunnskapsd</w:t>
      </w:r>
      <w:r>
        <w:t>e</w:t>
      </w:r>
      <w:r>
        <w:t>partementets budsjettpr</w:t>
      </w:r>
      <w:r>
        <w:t>o</w:t>
      </w:r>
      <w:r>
        <w:t>posisjon for 2020.</w:t>
      </w:r>
    </w:p>
    <w:p w:rsidR="00557A6F" w:rsidRDefault="00557A6F" w:rsidP="00557A6F">
      <w:pPr>
        <w:pStyle w:val="avsnitt-tittel"/>
      </w:pPr>
      <w:r>
        <w:t>Rapport</w:t>
      </w:r>
    </w:p>
    <w:p w:rsidR="00557A6F" w:rsidRDefault="00557A6F" w:rsidP="00557A6F">
      <w:pPr>
        <w:pStyle w:val="avsnitt-undertittel"/>
      </w:pPr>
      <w:r>
        <w:t>Demokratisk og effektiv styring og forvaltning (DEMOS)</w:t>
      </w:r>
    </w:p>
    <w:p w:rsidR="00557A6F" w:rsidRDefault="00557A6F" w:rsidP="00557A6F">
      <w:r>
        <w:t>DEMOS er et tiårig forskningsprogram med oppstart i 2015. Programmet skal bidra til å utvikle kun</w:t>
      </w:r>
      <w:r>
        <w:t>n</w:t>
      </w:r>
      <w:r>
        <w:t>skapsgrunnlaget for en demokratisk og effektiv styring, planlegging og forvaltning. Et mål for DEMOS er å bygge kompetente forskermiljøer som kan hevde seg internasjonalt. Programmet har utlyst relativt store forskerprosjekter for å oppnå dette.</w:t>
      </w:r>
    </w:p>
    <w:p w:rsidR="00557A6F" w:rsidRDefault="00557A6F" w:rsidP="00557A6F">
      <w:r>
        <w:t>Prosjektene i DEMOS retter seg spesifikt mot offentlig sektor, både på statlig, regionalt eller kommunalt nivå, og mange belyser forholdet mellom nivåene. Statlig styring og forvaltning, ko</w:t>
      </w:r>
      <w:r>
        <w:t>m</w:t>
      </w:r>
      <w:r>
        <w:t>munereformen og styrings- og sa</w:t>
      </w:r>
      <w:r>
        <w:t>m</w:t>
      </w:r>
      <w:r>
        <w:t>arbeidsformer er noen av temaene. Det er en klar økning både i vitenskapelige publiseringer og i bruker- og al</w:t>
      </w:r>
      <w:r>
        <w:t>l</w:t>
      </w:r>
      <w:r>
        <w:t>mennrettet formidling fra 2017 til 2018. Prosjektene har klar relevans for norsk politikkutforming og forval</w:t>
      </w:r>
      <w:r>
        <w:t>t</w:t>
      </w:r>
      <w:r>
        <w:t>ningsutvikling.</w:t>
      </w:r>
    </w:p>
    <w:p w:rsidR="00557A6F" w:rsidRDefault="00557A6F" w:rsidP="00557A6F">
      <w:r>
        <w:t>I 2018 tildelte DEMOS midler til prosjektet «NoReg» ved Transportøkonomisk institutt. Prosjektet skal utvikle en lett tilgjengelig og relevant regionalmodell for norsk økonomi (NoReg). Modellen skal være tilgjengelig for lokale, regionale og nasjonale myndigheter, og for akademiske miljøer for studier av politikkreformer og strukt</w:t>
      </w:r>
      <w:r>
        <w:t>u</w:t>
      </w:r>
      <w:r>
        <w:t>relle endringer i norsk økonomi over tid. EVAPLAN 2008 – en forskningsb</w:t>
      </w:r>
      <w:r>
        <w:t>a</w:t>
      </w:r>
      <w:r>
        <w:t>sert evaluering av hvordan plandelen av plan- og bygningsloven har fungert – ble avsluttet i 2018. Pr</w:t>
      </w:r>
      <w:r>
        <w:t>o</w:t>
      </w:r>
      <w:r>
        <w:t>sjektet har resultert i blant annet to rapporter utgitt i bokform og dokumenterer at plan- og bygningsloven i hovedsak har høy legitimitet og er godt balansert med hensyn til ra</w:t>
      </w:r>
      <w:r>
        <w:t>m</w:t>
      </w:r>
      <w:r>
        <w:t>mer for nøkkelaktører. EVAPLAN har gitt klare anbefalinger til forbedringer i lovverk og forval</w:t>
      </w:r>
      <w:r>
        <w:t>t</w:t>
      </w:r>
      <w:r>
        <w:t>ningspraksis som departementet er i gang med å følge opp. Det er dessuten pekt på behov for vid</w:t>
      </w:r>
      <w:r>
        <w:t>e</w:t>
      </w:r>
      <w:r>
        <w:t>re forsk</w:t>
      </w:r>
      <w:r>
        <w:lastRenderedPageBreak/>
        <w:t>ning på planfeltet. Dette er fulgt opp gjennom at departementet ga Forskningsrådet i op</w:t>
      </w:r>
      <w:r>
        <w:t>p</w:t>
      </w:r>
      <w:r>
        <w:t>drag å lyse ut samarbeidsprosjekter innenfor pla</w:t>
      </w:r>
      <w:r>
        <w:t>n</w:t>
      </w:r>
      <w:r>
        <w:t>forskning med en totalramme på 20 mill. kroner tidlig i 2019. Satsingen er ledd i et langsiktig arbeid for å bidra til å utvikle kunnskapsgrunnlaget som må ligge til grunn for planlegging etter plan- og bygningsloven, bygge sterke fagmiljøer, øke forskningskapasiteten og også bidra til å koble forskningsmilj</w:t>
      </w:r>
      <w:r>
        <w:t>ø</w:t>
      </w:r>
      <w:r>
        <w:t>ene tetter på utdanninger innenfor dette feltet. Departementets bidrag til DEMOS var 39,1 mill. kroner i 2019.</w:t>
      </w:r>
    </w:p>
    <w:p w:rsidR="00557A6F" w:rsidRDefault="00557A6F" w:rsidP="00557A6F">
      <w:pPr>
        <w:pStyle w:val="avsnitt-undertittel"/>
      </w:pPr>
      <w:r>
        <w:t>Velferd, arbeid og migrasjon (VAM)</w:t>
      </w:r>
    </w:p>
    <w:p w:rsidR="00557A6F" w:rsidRDefault="00557A6F" w:rsidP="00557A6F">
      <w:r>
        <w:t>VAM er det største samfunnsvitenskapelige forskningsprogrammet i Norge. Programmets hove</w:t>
      </w:r>
      <w:r>
        <w:t>d</w:t>
      </w:r>
      <w:r>
        <w:t>mål er å gi kunnskap av høy kvalitet som bidrar til at samfunnet får bedre evne, virkemidler og kapasitet til å håndtere og løse samfunnsutfordringer innenfor velferd, arbeidsliv og migrasjon. VAM har et bredt nedslagsfelt og har grenseflater til andre satsingsområder i Forskningsrådet og internasjonalt. Handlingsrettet samfunnsforskning favner vidt og har mange brukere og interesse</w:t>
      </w:r>
      <w:r>
        <w:t>n</w:t>
      </w:r>
      <w:r>
        <w:t>ter. Det er definert syv delmål for programmet:</w:t>
      </w:r>
    </w:p>
    <w:p w:rsidR="00557A6F" w:rsidRDefault="00557A6F" w:rsidP="00557A6F">
      <w:pPr>
        <w:pStyle w:val="Liste"/>
      </w:pPr>
      <w:r>
        <w:t>Gi kunnskapsgrunnlag for utvikling av samfunn, sektorer og politikk.</w:t>
      </w:r>
    </w:p>
    <w:p w:rsidR="00557A6F" w:rsidRDefault="00557A6F" w:rsidP="00557A6F">
      <w:pPr>
        <w:pStyle w:val="Liste"/>
      </w:pPr>
      <w:r>
        <w:t>Bidra til bredere forståelse av utviklingstrekk og samfunnsendringer.</w:t>
      </w:r>
    </w:p>
    <w:p w:rsidR="00557A6F" w:rsidRDefault="00557A6F" w:rsidP="00557A6F">
      <w:pPr>
        <w:pStyle w:val="Liste"/>
      </w:pPr>
      <w:r>
        <w:t>Bidra til en opplyst og deltakende offentlighet.</w:t>
      </w:r>
    </w:p>
    <w:p w:rsidR="00557A6F" w:rsidRDefault="00557A6F" w:rsidP="00557A6F">
      <w:pPr>
        <w:pStyle w:val="Liste"/>
      </w:pPr>
      <w:r>
        <w:t>Bidra til å finne løsninger på samfunnsutfordringer.</w:t>
      </w:r>
    </w:p>
    <w:p w:rsidR="00557A6F" w:rsidRDefault="00557A6F" w:rsidP="00557A6F">
      <w:pPr>
        <w:pStyle w:val="Liste"/>
      </w:pPr>
      <w:r>
        <w:t>Styrke faglig og metodisk kvalitet og bredde.</w:t>
      </w:r>
    </w:p>
    <w:p w:rsidR="00557A6F" w:rsidRDefault="00557A6F" w:rsidP="00557A6F">
      <w:pPr>
        <w:pStyle w:val="Liste"/>
      </w:pPr>
      <w:r>
        <w:t>Styrke forskningens internasjonale orientering og samarbeid.</w:t>
      </w:r>
    </w:p>
    <w:p w:rsidR="00557A6F" w:rsidRDefault="00557A6F" w:rsidP="00557A6F">
      <w:pPr>
        <w:pStyle w:val="Liste"/>
      </w:pPr>
      <w:r>
        <w:t>Bygge kompetanse og kapasitet og styrke strategiske forskningsområder.</w:t>
      </w:r>
    </w:p>
    <w:p w:rsidR="00557A6F" w:rsidRDefault="00557A6F" w:rsidP="00557A6F">
      <w:r>
        <w:t>Fra 2011 ble programmet utvidet til å omfatte boligspørsmål. Formålet er å synliggjøre at boligp</w:t>
      </w:r>
      <w:r>
        <w:t>o</w:t>
      </w:r>
      <w:r>
        <w:t>litikken er en viktig del av velferdspolitikken, og få mer kunnskap om boligens betydning i sa</w:t>
      </w:r>
      <w:r>
        <w:t>m</w:t>
      </w:r>
      <w:r>
        <w:t>menheng med andre velferdstematiske felt.</w:t>
      </w:r>
    </w:p>
    <w:p w:rsidR="00557A6F" w:rsidRDefault="00557A6F" w:rsidP="00557A6F">
      <w:r>
        <w:t>Departementets bidrag er 7,4 mill. kroner i 2019.</w:t>
      </w:r>
    </w:p>
    <w:p w:rsidR="00557A6F" w:rsidRDefault="00557A6F" w:rsidP="00557A6F">
      <w:r>
        <w:t>Programplanen for forskningsprogrammet VAM er revidert og den nye planen gjelder fra 2019. Programplanen for VAM II omfatter tre temaområder, herunder: «velferd, levekår og ulikhet», hvor boligtematikk er fo</w:t>
      </w:r>
      <w:r>
        <w:t>r</w:t>
      </w:r>
      <w:r>
        <w:t>ankret i VAMs reviderte programplan. Det omfatter blant annet behov for kunnskap om hva som skaper inkl</w:t>
      </w:r>
      <w:r>
        <w:t>u</w:t>
      </w:r>
      <w:r>
        <w:t>sjon og eksklusjon på områder som helse, bolig, utdanning og arbeid, og sammenhengene mellom slike prosesser på disse områdene. Videre er det behov for kunnskap om mobilitet mellom generasjoner i befolkningen og om hvilke nye typer sosial og ku</w:t>
      </w:r>
      <w:r>
        <w:t>l</w:t>
      </w:r>
      <w:r>
        <w:t>turell segregering som finnes må ses i sammenheng med prosesser i fam</w:t>
      </w:r>
      <w:r>
        <w:t>i</w:t>
      </w:r>
      <w:r>
        <w:t>lien, i lokalmiljøet, på boligmarkedet, i arbeidsmarkedet og i velferdsstaten. Sammenhengen mellom de ulike velferd</w:t>
      </w:r>
      <w:r>
        <w:t>s</w:t>
      </w:r>
      <w:r>
        <w:t>områdene, blant annet hvilken betydning boligsituasjonen har for arbeidslivstilknytning, utda</w:t>
      </w:r>
      <w:r>
        <w:t>n</w:t>
      </w:r>
      <w:r>
        <w:t>ningsløp og helse, er også fremhevet som viktig.</w:t>
      </w:r>
    </w:p>
    <w:p w:rsidR="00557A6F" w:rsidRDefault="00557A6F" w:rsidP="00557A6F">
      <w:pPr>
        <w:pStyle w:val="avsnitt-undertittel"/>
      </w:pPr>
      <w:r>
        <w:t>FORKOMMUNE</w:t>
      </w:r>
    </w:p>
    <w:p w:rsidR="00557A6F" w:rsidRDefault="00557A6F" w:rsidP="00557A6F">
      <w:r>
        <w:t>Det er behov for å øke kapasiteten for innovasjon og forskning i offentlig sektor for å kunne løse viktige samfunnsutfordringer, øke effektiviteten og gi brukerne bedre tjenester. FORKOMMUNE er Forskningsrådets program for forskning og innovasjon i kommunesektoren. Departementet b</w:t>
      </w:r>
      <w:r>
        <w:t>e</w:t>
      </w:r>
      <w:r>
        <w:t>vilget 5 mill. kroner til FORKOMMUNE i 2019. Fem prosjekter mottok midler gjennom pr</w:t>
      </w:r>
      <w:r>
        <w:t>o</w:t>
      </w:r>
      <w:r>
        <w:t>grammet i 2019, med temaer som blant annet samarbeid mellom kommune og universitet, innby</w:t>
      </w:r>
      <w:r>
        <w:t>g</w:t>
      </w:r>
      <w:r>
        <w:t>gerinvolvering og bedre area</w:t>
      </w:r>
      <w:r>
        <w:t>l</w:t>
      </w:r>
      <w:r>
        <w:t>planlegging i kystsonen. Fra 2019 ses søknadene til FORKOMMUNE i sammenheng med andre fors</w:t>
      </w:r>
      <w:r>
        <w:t>k</w:t>
      </w:r>
      <w:r>
        <w:t>ningsprogrammer, som HELSEVEL og FINNUT. I første halvår 2019 delte Forskningsrådet ut 130 mill. kroner til over 50 kommuner som søkte om innovasjon</w:t>
      </w:r>
      <w:r>
        <w:t>s</w:t>
      </w:r>
      <w:r>
        <w:t>prosjekter i fjor høst. Både nasjonale og internasjonale forskningsmiljøer deltar i samtlige prosje</w:t>
      </w:r>
      <w:r>
        <w:t>k</w:t>
      </w:r>
      <w:r>
        <w:t>ter. I tillegg er flere nettverk og private virksomheter involvert i prosjektene.</w:t>
      </w:r>
    </w:p>
    <w:p w:rsidR="00557A6F" w:rsidRDefault="00557A6F" w:rsidP="00557A6F">
      <w:pPr>
        <w:pStyle w:val="avsnitt-undertittel"/>
      </w:pPr>
      <w:r>
        <w:t xml:space="preserve">Joint Programming Initiative Urban Europe </w:t>
      </w:r>
      <w:r>
        <w:br/>
        <w:t>(JPI Urbant Europa)</w:t>
      </w:r>
    </w:p>
    <w:p w:rsidR="00557A6F" w:rsidRDefault="00557A6F" w:rsidP="00557A6F">
      <w:r>
        <w:t>JPI Urbant Europa er et initiativ på regjeringsnivå til forsknings- og innovasjonssamarbeid om u</w:t>
      </w:r>
      <w:r>
        <w:t>r</w:t>
      </w:r>
      <w:r>
        <w:t>bane spørsmål. Samarbeidet startet opp i 2010 og omfatter i dag 20 europeiske land, hvorav 14 land er fullve</w:t>
      </w:r>
      <w:r>
        <w:t>r</w:t>
      </w:r>
      <w:r>
        <w:t xml:space="preserve">dige medlemmer. Mer enn 80 forsknings- og innovasjonsprosjekter har blitt finansiert siden oppstart, med </w:t>
      </w:r>
      <w:r>
        <w:lastRenderedPageBreak/>
        <w:t>et samlet volum på om lag 85 mill. euro, og med nærmere 500 prosjektpartnere involvert. EU-kommisjonen deltar som observatør. Urbant Europa er ett av flere fellesprogrammer som er etablert for å svare på de store samfunnsutfordringene som Europa står overfor. De utgjør komplementære akt</w:t>
      </w:r>
      <w:r>
        <w:t>i</w:t>
      </w:r>
      <w:r>
        <w:t>viteter til rammeprogrammet Horisont 2020.</w:t>
      </w:r>
    </w:p>
    <w:p w:rsidR="00557A6F" w:rsidRDefault="00557A6F" w:rsidP="00557A6F">
      <w:r>
        <w:t>Departementet har, i et nært samarbeid med Norges forskningsråd, hovedansvaret for den norske oppfølgingen av JPI Urbant Europa. Viktige mål for samarbeidet er å belyse og legge grunnlaget for utviklingen av byer som er bærekraftige og gode å leve i, gjennom en sektorovergripende og tverrfaglig tilnærming til forskning og innovasjon. I den reviderte forsknings- og innovasjonsage</w:t>
      </w:r>
      <w:r>
        <w:t>n</w:t>
      </w:r>
      <w:r>
        <w:t>daen fra februar 2019 vektlegges koblingen til FNs bærekraftsmål og det å oppnå resultater som er relevante for pågående politiske prosesser, herunder arbeidet med EUs Urban Agenda. Det fre</w:t>
      </w:r>
      <w:r>
        <w:t>m</w:t>
      </w:r>
      <w:r>
        <w:t>heves at de ulike dilemmaene byene og deres omland står overfor i sine bestrebelser på å møte s</w:t>
      </w:r>
      <w:r>
        <w:t>o</w:t>
      </w:r>
      <w:r>
        <w:t>siale, næringspolitiske og miljømessige utfordringer ved byutvikling, bør være u</w:t>
      </w:r>
      <w:r>
        <w:t>t</w:t>
      </w:r>
      <w:r>
        <w:t>gangspunktet for videre forskning og innov</w:t>
      </w:r>
      <w:r>
        <w:t>a</w:t>
      </w:r>
      <w:r>
        <w:t>sjon. Norske forskningsmiljøer er aktive i utlysningene som JPI Urbant Europa er involvert i, samt i forskernettverket som er etablert. Departementets bidrag er 2,7 mill. kr</w:t>
      </w:r>
      <w:r>
        <w:t>o</w:t>
      </w:r>
      <w:r>
        <w:t>ner i 2019.</w:t>
      </w:r>
    </w:p>
    <w:p w:rsidR="00557A6F" w:rsidRDefault="00557A6F" w:rsidP="00557A6F">
      <w:pPr>
        <w:pStyle w:val="avsnitt-undertittel"/>
      </w:pPr>
      <w:r>
        <w:t>Samisk forskning (SAMISK)</w:t>
      </w:r>
    </w:p>
    <w:p w:rsidR="00557A6F" w:rsidRDefault="00557A6F" w:rsidP="00557A6F">
      <w:r>
        <w:t>Programmet Samisk forskning III er et løpende program med en ikke-definert tidsperiode. Det er et faglig bredt grunnforskningsprogram for samiske problemstillinger innenfor humaniora og sa</w:t>
      </w:r>
      <w:r>
        <w:t>m</w:t>
      </w:r>
      <w:r>
        <w:t>funnsvitenskap. Programmet skal fremme forskning av høy kvalitet som er relevant for politikku</w:t>
      </w:r>
      <w:r>
        <w:t>t</w:t>
      </w:r>
      <w:r>
        <w:t>vikling, forvaltning og for andre aktører i samfunnet. Målet er å få mer kunnskap om kulturuttrykk, samisk identitet og samfunn</w:t>
      </w:r>
      <w:r>
        <w:t>s</w:t>
      </w:r>
      <w:r>
        <w:t>bygging, oppvekst og utdanning, språk, klima og miljø, levekår og befolkningsutvikling. Departementets bidrag er 3,4 mill. kroner i 2019.</w:t>
      </w:r>
    </w:p>
    <w:p w:rsidR="00557A6F" w:rsidRDefault="00557A6F" w:rsidP="00557A6F">
      <w:pPr>
        <w:pStyle w:val="avsnitt-undertittel"/>
      </w:pPr>
      <w:r>
        <w:t>Forskning som gjelder nasjonale minoriteter (SAMKUL)</w:t>
      </w:r>
    </w:p>
    <w:p w:rsidR="00557A6F" w:rsidRDefault="00557A6F" w:rsidP="00557A6F">
      <w:r>
        <w:t>Forskning som gjelder nasjonale minoriteter finansieres gjennom Norges forskningsråds program Sa</w:t>
      </w:r>
      <w:r>
        <w:t>m</w:t>
      </w:r>
      <w:r>
        <w:t xml:space="preserve">funnsutviklingens kulturelle forutsetninger (SAMKUL). Departementets bidrag er 2,9 mill. kroner i 2019. </w:t>
      </w:r>
    </w:p>
    <w:p w:rsidR="00557A6F" w:rsidRDefault="00557A6F" w:rsidP="00557A6F">
      <w:r>
        <w:t>I Forskningsrådets satsing inngår flere prosjekter som følger opp regjeringens handlingsplan mot a</w:t>
      </w:r>
      <w:r>
        <w:t>n</w:t>
      </w:r>
      <w:r>
        <w:t>tisemittisme (2017–2021). Senter for studier av Holocaust og livssynsminoriteter har igangsatt forskningsprosjektene Skiftende grenser og Definisjoner, uttrykk og konsekvenser av antisemitti</w:t>
      </w:r>
      <w:r>
        <w:t>s</w:t>
      </w:r>
      <w:r>
        <w:t>me i samtidens Norge og Jødiske identiteter – valg og forhandlinger, praksiser og tradisjoner i sa</w:t>
      </w:r>
      <w:r>
        <w:t>m</w:t>
      </w:r>
      <w:r>
        <w:t>tidens Norge. Forskningsstiftelsen Fafo har igangsatt pr</w:t>
      </w:r>
      <w:r>
        <w:t>o</w:t>
      </w:r>
      <w:r>
        <w:t>sjektet «Negative holdninger mot jøder, homofile og muslimer. Fordommer blant ungdom og hvordan de håndteres i den flerkulturelle sk</w:t>
      </w:r>
      <w:r>
        <w:t>o</w:t>
      </w:r>
      <w:r>
        <w:t>len».</w:t>
      </w:r>
    </w:p>
    <w:p w:rsidR="00557A6F" w:rsidRDefault="00557A6F" w:rsidP="00557A6F">
      <w:r>
        <w:t>Forskningsrådet finansierer også Universitetet i Tromsø – Norges Arktiske Universitets fors</w:t>
      </w:r>
      <w:r>
        <w:t>k</w:t>
      </w:r>
      <w:r>
        <w:t>ningsprosjekt I</w:t>
      </w:r>
      <w:r>
        <w:t>n</w:t>
      </w:r>
      <w:r>
        <w:t>tangiblization, Materializations and Mobilities of Kven Heritage: Contemporary Articulations in Fields of Fam</w:t>
      </w:r>
      <w:r>
        <w:t>i</w:t>
      </w:r>
      <w:r>
        <w:t>ly, Museums, and Culture Industry.</w:t>
      </w:r>
    </w:p>
    <w:p w:rsidR="00557A6F" w:rsidRDefault="00557A6F" w:rsidP="00557A6F">
      <w:pPr>
        <w:pStyle w:val="avsnitt-undertittel"/>
      </w:pPr>
      <w:r>
        <w:t>Direkte støtte til statlige forskningsinstitusjoner</w:t>
      </w:r>
    </w:p>
    <w:p w:rsidR="00557A6F" w:rsidRDefault="00557A6F" w:rsidP="00557A6F">
      <w:r>
        <w:t>Høsten 2018 ga Kommunal- og moderniseringsdepartementet og Finansdepartementet OsloMet, Samfunnsøkonomisk analyse og Eiendomsverdi i oppdrag å etablere et nytt senter for boligma</w:t>
      </w:r>
      <w:r>
        <w:t>r</w:t>
      </w:r>
      <w:r>
        <w:t>kedsforskning. Det nye senteret, Housing Lab, skal forske på hva som er driverne i boligmarkedet, og sammenhenger mellom boligmarkedet, makroøkonomien og finansmarkedene. Miljøet skal legge til rette for at det for</w:t>
      </w:r>
      <w:r>
        <w:t>s</w:t>
      </w:r>
      <w:r>
        <w:t>kes mer på forhold i boligmarkedet der forskningen er mangelfull, og da særlig på tilbudssiden. Et av formålene med Housing Lab er å danne bedre beslutningsgrunnlag for politikkutformingen, blant annet for å sikre en mer treffsikker politikk. Senteret er nå etablert med ansatte og lokaler, og er i oppstartsfasen med flere relevante forskningsprosjekter. Nytt boligfors</w:t>
      </w:r>
      <w:r>
        <w:t>k</w:t>
      </w:r>
      <w:r>
        <w:t>ningsmiljø ble tildelt 2,5 mill. kroner i 2019.</w:t>
      </w:r>
    </w:p>
    <w:p w:rsidR="00557A6F" w:rsidRDefault="00557A6F" w:rsidP="00557A6F">
      <w:r>
        <w:t>Universitetet i Oslo (UiO) er tildelt 3 mill. kroner til deres satsing på å integrere klart språk i jusu</w:t>
      </w:r>
      <w:r>
        <w:t>t</w:t>
      </w:r>
      <w:r>
        <w:t>danningen. UiO, ARENA Senter for europaforskning er tildelt 1 mill. kroner i 2019.</w:t>
      </w:r>
    </w:p>
    <w:p w:rsidR="00557A6F" w:rsidRDefault="00557A6F" w:rsidP="00557A6F">
      <w:r>
        <w:t>Senter for forskningsbasert innovasjon ved Norges teknisk-naturvitenskapelige universitet (NTNU) er tildelt 1 mill. kroner i 2019.</w:t>
      </w:r>
    </w:p>
    <w:p w:rsidR="00557A6F" w:rsidRDefault="00557A6F" w:rsidP="00557A6F">
      <w:r>
        <w:t>Det er bevilget 1,2 mill. kroner i 2019 til en ph.d i rettsinformatikk over tre år. Midlene bidrar til å øke komp</w:t>
      </w:r>
      <w:r>
        <w:t>e</w:t>
      </w:r>
      <w:r>
        <w:t>tansen om forholdet mellom bygningsrett og digitalisering av byggesaksprosess.</w:t>
      </w:r>
    </w:p>
    <w:p w:rsidR="00557A6F" w:rsidRDefault="00557A6F" w:rsidP="00557A6F">
      <w:pPr>
        <w:pStyle w:val="avsnitt-tittel"/>
      </w:pPr>
      <w:r>
        <w:lastRenderedPageBreak/>
        <w:t>Budsjettforslag</w:t>
      </w:r>
    </w:p>
    <w:p w:rsidR="00557A6F" w:rsidRDefault="00557A6F" w:rsidP="00557A6F">
      <w:r>
        <w:t>Det foreslås at bevilgningen til IKTPLUSS reduseres fra 14,75 mill. kroner til 10 mill. kroner, som er samme nivå som i 2018. Det foreslås videre at IKTPLUSS flyttes til en ny samlet post for IKT- og eko</w:t>
      </w:r>
      <w:r>
        <w:t>m</w:t>
      </w:r>
      <w:r>
        <w:t>forskning under programkategori 13.40. Det foreslås derfor å redusere bevilgningen med 10 mill. kroner mot en tilsvarende økning på kap. 541, ny post 50 Forskningsprogrammer, jf. o</w:t>
      </w:r>
      <w:r>
        <w:t>m</w:t>
      </w:r>
      <w:r>
        <w:t>tale under kap. 541, post 50.</w:t>
      </w:r>
    </w:p>
    <w:p w:rsidR="00557A6F" w:rsidRDefault="00557A6F" w:rsidP="00557A6F">
      <w:r>
        <w:t>Samlet foreslås det en bevilgning på 70,6 mill. kroner inkludert endringer som følge av avbyråkr</w:t>
      </w:r>
      <w:r>
        <w:t>a</w:t>
      </w:r>
      <w:r>
        <w:t>tiserings- og effektiviseringsreformen og prisjustering.</w:t>
      </w:r>
    </w:p>
    <w:p w:rsidR="00557A6F" w:rsidRDefault="00557A6F" w:rsidP="00557A6F">
      <w:r>
        <w:t>Forslag til fordeling av bevilgningen på programmer framgår av tabellen under.</w:t>
      </w:r>
    </w:p>
    <w:p w:rsidR="007F3140" w:rsidRDefault="007F3140" w:rsidP="007F3140">
      <w:pPr>
        <w:pStyle w:val="tabell-tittel"/>
      </w:pPr>
      <w:r>
        <w:t>Fordeling av bevilgningen på programmer</w:t>
      </w:r>
    </w:p>
    <w:p w:rsidR="00557A6F" w:rsidRDefault="00557A6F" w:rsidP="00557A6F">
      <w:pPr>
        <w:pStyle w:val="Tabellnavn"/>
      </w:pPr>
      <w:r>
        <w:t>03J2xt2</w:t>
      </w:r>
    </w:p>
    <w:tbl>
      <w:tblPr>
        <w:tblStyle w:val="StandardTabell"/>
        <w:tblW w:w="0" w:type="auto"/>
        <w:tblLayout w:type="fixed"/>
        <w:tblLook w:val="04A0" w:firstRow="1" w:lastRow="0" w:firstColumn="1" w:lastColumn="0" w:noHBand="0" w:noVBand="1"/>
      </w:tblPr>
      <w:tblGrid>
        <w:gridCol w:w="6080"/>
        <w:gridCol w:w="1520"/>
        <w:gridCol w:w="1520"/>
      </w:tblGrid>
      <w:tr w:rsidR="00557A6F" w:rsidTr="007F3140">
        <w:trPr>
          <w:trHeight w:val="360"/>
        </w:trPr>
        <w:tc>
          <w:tcPr>
            <w:tcW w:w="6080" w:type="dxa"/>
            <w:shd w:val="clear" w:color="auto" w:fill="FFFFFF"/>
          </w:tcPr>
          <w:p w:rsidR="00557A6F" w:rsidRDefault="00557A6F" w:rsidP="007F3140"/>
        </w:tc>
        <w:tc>
          <w:tcPr>
            <w:tcW w:w="1520" w:type="dxa"/>
          </w:tcPr>
          <w:p w:rsidR="00557A6F" w:rsidRDefault="00557A6F" w:rsidP="007F3140">
            <w:pPr>
              <w:jc w:val="right"/>
            </w:pPr>
          </w:p>
        </w:tc>
        <w:tc>
          <w:tcPr>
            <w:tcW w:w="1520" w:type="dxa"/>
          </w:tcPr>
          <w:p w:rsidR="00557A6F" w:rsidRDefault="00557A6F" w:rsidP="007F3140">
            <w:pPr>
              <w:jc w:val="right"/>
            </w:pPr>
            <w:r>
              <w:t>(i 1 000 kr</w:t>
            </w:r>
            <w:r>
              <w:t>o</w:t>
            </w:r>
            <w:r>
              <w:t>ner)</w:t>
            </w:r>
          </w:p>
        </w:tc>
      </w:tr>
      <w:tr w:rsidR="00557A6F" w:rsidTr="007F3140">
        <w:trPr>
          <w:trHeight w:val="360"/>
        </w:trPr>
        <w:tc>
          <w:tcPr>
            <w:tcW w:w="6080" w:type="dxa"/>
          </w:tcPr>
          <w:p w:rsidR="00557A6F" w:rsidRDefault="00557A6F" w:rsidP="007F3140">
            <w:r>
              <w:t>Program</w:t>
            </w:r>
          </w:p>
        </w:tc>
        <w:tc>
          <w:tcPr>
            <w:tcW w:w="1520" w:type="dxa"/>
          </w:tcPr>
          <w:p w:rsidR="00557A6F" w:rsidRDefault="00557A6F" w:rsidP="007F3140">
            <w:pPr>
              <w:jc w:val="right"/>
            </w:pPr>
            <w:r>
              <w:t>Budsjett 2019</w:t>
            </w:r>
          </w:p>
        </w:tc>
        <w:tc>
          <w:tcPr>
            <w:tcW w:w="1520" w:type="dxa"/>
          </w:tcPr>
          <w:p w:rsidR="00557A6F" w:rsidRDefault="00557A6F" w:rsidP="007F3140">
            <w:pPr>
              <w:jc w:val="right"/>
            </w:pPr>
            <w:r>
              <w:t>Forslag 2020</w:t>
            </w:r>
          </w:p>
        </w:tc>
      </w:tr>
      <w:tr w:rsidR="00557A6F" w:rsidTr="007F3140">
        <w:trPr>
          <w:trHeight w:val="380"/>
        </w:trPr>
        <w:tc>
          <w:tcPr>
            <w:tcW w:w="6080" w:type="dxa"/>
          </w:tcPr>
          <w:p w:rsidR="00557A6F" w:rsidRDefault="00557A6F" w:rsidP="007F3140">
            <w:r>
              <w:rPr>
                <w:rStyle w:val="kursiv"/>
                <w:sz w:val="21"/>
                <w:szCs w:val="21"/>
              </w:rPr>
              <w:t>Norges Forskningsråd:</w:t>
            </w:r>
          </w:p>
        </w:tc>
        <w:tc>
          <w:tcPr>
            <w:tcW w:w="1520" w:type="dxa"/>
          </w:tcPr>
          <w:p w:rsidR="00557A6F" w:rsidRDefault="00557A6F" w:rsidP="007F3140">
            <w:pPr>
              <w:jc w:val="right"/>
            </w:pPr>
          </w:p>
        </w:tc>
        <w:tc>
          <w:tcPr>
            <w:tcW w:w="1520" w:type="dxa"/>
          </w:tcPr>
          <w:p w:rsidR="00557A6F" w:rsidRDefault="00557A6F" w:rsidP="007F3140">
            <w:pPr>
              <w:jc w:val="right"/>
            </w:pPr>
          </w:p>
        </w:tc>
      </w:tr>
      <w:tr w:rsidR="00557A6F" w:rsidTr="007F3140">
        <w:trPr>
          <w:trHeight w:val="380"/>
        </w:trPr>
        <w:tc>
          <w:tcPr>
            <w:tcW w:w="6080" w:type="dxa"/>
          </w:tcPr>
          <w:p w:rsidR="00557A6F" w:rsidRDefault="00557A6F" w:rsidP="007F3140">
            <w:r>
              <w:t>DEMOS</w:t>
            </w:r>
          </w:p>
        </w:tc>
        <w:tc>
          <w:tcPr>
            <w:tcW w:w="1520" w:type="dxa"/>
          </w:tcPr>
          <w:p w:rsidR="00557A6F" w:rsidRDefault="00557A6F" w:rsidP="007F3140">
            <w:pPr>
              <w:jc w:val="right"/>
            </w:pPr>
            <w:r>
              <w:t>39 100</w:t>
            </w:r>
          </w:p>
        </w:tc>
        <w:tc>
          <w:tcPr>
            <w:tcW w:w="1520" w:type="dxa"/>
          </w:tcPr>
          <w:p w:rsidR="00557A6F" w:rsidRDefault="00557A6F" w:rsidP="007F3140">
            <w:pPr>
              <w:jc w:val="right"/>
            </w:pPr>
            <w:r>
              <w:t>40 000</w:t>
            </w:r>
          </w:p>
        </w:tc>
      </w:tr>
      <w:tr w:rsidR="00557A6F" w:rsidTr="007F3140">
        <w:trPr>
          <w:trHeight w:val="380"/>
        </w:trPr>
        <w:tc>
          <w:tcPr>
            <w:tcW w:w="6080" w:type="dxa"/>
          </w:tcPr>
          <w:p w:rsidR="00557A6F" w:rsidRDefault="00557A6F" w:rsidP="007F3140">
            <w:r>
              <w:t>IKTPLUSS</w:t>
            </w:r>
          </w:p>
        </w:tc>
        <w:tc>
          <w:tcPr>
            <w:tcW w:w="1520" w:type="dxa"/>
          </w:tcPr>
          <w:p w:rsidR="00557A6F" w:rsidRDefault="00557A6F" w:rsidP="007F3140">
            <w:pPr>
              <w:jc w:val="right"/>
            </w:pPr>
            <w:r>
              <w:t>14 750</w:t>
            </w:r>
          </w:p>
        </w:tc>
        <w:tc>
          <w:tcPr>
            <w:tcW w:w="1520" w:type="dxa"/>
          </w:tcPr>
          <w:p w:rsidR="00557A6F" w:rsidRDefault="00557A6F" w:rsidP="007F3140">
            <w:pPr>
              <w:jc w:val="right"/>
            </w:pPr>
            <w:r>
              <w:rPr>
                <w:rStyle w:val="skrift-hevet"/>
                <w:sz w:val="21"/>
                <w:szCs w:val="21"/>
              </w:rPr>
              <w:t>1</w:t>
            </w:r>
          </w:p>
        </w:tc>
      </w:tr>
      <w:tr w:rsidR="00557A6F" w:rsidTr="007F3140">
        <w:trPr>
          <w:trHeight w:val="380"/>
        </w:trPr>
        <w:tc>
          <w:tcPr>
            <w:tcW w:w="6080" w:type="dxa"/>
          </w:tcPr>
          <w:p w:rsidR="00557A6F" w:rsidRDefault="00557A6F" w:rsidP="007F3140">
            <w:r>
              <w:t>VAM</w:t>
            </w:r>
          </w:p>
        </w:tc>
        <w:tc>
          <w:tcPr>
            <w:tcW w:w="1520" w:type="dxa"/>
          </w:tcPr>
          <w:p w:rsidR="00557A6F" w:rsidRDefault="00557A6F" w:rsidP="007F3140">
            <w:pPr>
              <w:jc w:val="right"/>
            </w:pPr>
            <w:r>
              <w:t>7 400</w:t>
            </w:r>
          </w:p>
        </w:tc>
        <w:tc>
          <w:tcPr>
            <w:tcW w:w="1520" w:type="dxa"/>
          </w:tcPr>
          <w:p w:rsidR="00557A6F" w:rsidRDefault="00557A6F" w:rsidP="007F3140">
            <w:pPr>
              <w:jc w:val="right"/>
            </w:pPr>
            <w:r>
              <w:t>7 550</w:t>
            </w:r>
          </w:p>
        </w:tc>
      </w:tr>
      <w:tr w:rsidR="00557A6F" w:rsidTr="007F3140">
        <w:trPr>
          <w:trHeight w:val="380"/>
        </w:trPr>
        <w:tc>
          <w:tcPr>
            <w:tcW w:w="6080" w:type="dxa"/>
          </w:tcPr>
          <w:p w:rsidR="00557A6F" w:rsidRDefault="00557A6F" w:rsidP="007F3140">
            <w:r>
              <w:t>FORKOMMUNE</w:t>
            </w:r>
          </w:p>
        </w:tc>
        <w:tc>
          <w:tcPr>
            <w:tcW w:w="1520" w:type="dxa"/>
          </w:tcPr>
          <w:p w:rsidR="00557A6F" w:rsidRDefault="00557A6F" w:rsidP="007F3140">
            <w:pPr>
              <w:jc w:val="right"/>
            </w:pPr>
            <w:r>
              <w:t>5 000</w:t>
            </w:r>
          </w:p>
        </w:tc>
        <w:tc>
          <w:tcPr>
            <w:tcW w:w="1520" w:type="dxa"/>
          </w:tcPr>
          <w:p w:rsidR="00557A6F" w:rsidRDefault="00557A6F" w:rsidP="007F3140">
            <w:pPr>
              <w:jc w:val="right"/>
            </w:pPr>
            <w:r>
              <w:t>5 132</w:t>
            </w:r>
          </w:p>
        </w:tc>
      </w:tr>
      <w:tr w:rsidR="00557A6F" w:rsidTr="007F3140">
        <w:trPr>
          <w:trHeight w:val="380"/>
        </w:trPr>
        <w:tc>
          <w:tcPr>
            <w:tcW w:w="6080" w:type="dxa"/>
          </w:tcPr>
          <w:p w:rsidR="00557A6F" w:rsidRDefault="00557A6F" w:rsidP="007F3140">
            <w:r>
              <w:t>JPI Urbant Europa</w:t>
            </w:r>
          </w:p>
        </w:tc>
        <w:tc>
          <w:tcPr>
            <w:tcW w:w="1520" w:type="dxa"/>
          </w:tcPr>
          <w:p w:rsidR="00557A6F" w:rsidRDefault="00557A6F" w:rsidP="007F3140">
            <w:pPr>
              <w:jc w:val="right"/>
            </w:pPr>
            <w:r>
              <w:t>2 735</w:t>
            </w:r>
          </w:p>
        </w:tc>
        <w:tc>
          <w:tcPr>
            <w:tcW w:w="1520" w:type="dxa"/>
          </w:tcPr>
          <w:p w:rsidR="00557A6F" w:rsidRDefault="00557A6F" w:rsidP="007F3140">
            <w:pPr>
              <w:jc w:val="right"/>
            </w:pPr>
            <w:r>
              <w:t>2 800</w:t>
            </w:r>
          </w:p>
        </w:tc>
      </w:tr>
      <w:tr w:rsidR="00557A6F" w:rsidTr="007F3140">
        <w:trPr>
          <w:trHeight w:val="380"/>
        </w:trPr>
        <w:tc>
          <w:tcPr>
            <w:tcW w:w="6080" w:type="dxa"/>
          </w:tcPr>
          <w:p w:rsidR="00557A6F" w:rsidRDefault="00557A6F" w:rsidP="007F3140">
            <w:r>
              <w:t>SAMISK</w:t>
            </w:r>
          </w:p>
        </w:tc>
        <w:tc>
          <w:tcPr>
            <w:tcW w:w="1520" w:type="dxa"/>
          </w:tcPr>
          <w:p w:rsidR="00557A6F" w:rsidRDefault="00557A6F" w:rsidP="007F3140">
            <w:pPr>
              <w:jc w:val="right"/>
            </w:pPr>
            <w:r>
              <w:t>3 415</w:t>
            </w:r>
          </w:p>
        </w:tc>
        <w:tc>
          <w:tcPr>
            <w:tcW w:w="1520" w:type="dxa"/>
          </w:tcPr>
          <w:p w:rsidR="00557A6F" w:rsidRDefault="00557A6F" w:rsidP="007F3140">
            <w:pPr>
              <w:jc w:val="right"/>
            </w:pPr>
            <w:r>
              <w:t>3 500</w:t>
            </w:r>
          </w:p>
        </w:tc>
      </w:tr>
      <w:tr w:rsidR="00557A6F" w:rsidTr="007F3140">
        <w:trPr>
          <w:trHeight w:val="380"/>
        </w:trPr>
        <w:tc>
          <w:tcPr>
            <w:tcW w:w="6080" w:type="dxa"/>
          </w:tcPr>
          <w:p w:rsidR="00557A6F" w:rsidRDefault="00557A6F" w:rsidP="007F3140">
            <w:r>
              <w:t>SAMKUL</w:t>
            </w:r>
          </w:p>
        </w:tc>
        <w:tc>
          <w:tcPr>
            <w:tcW w:w="1520" w:type="dxa"/>
          </w:tcPr>
          <w:p w:rsidR="00557A6F" w:rsidRDefault="00557A6F" w:rsidP="007F3140">
            <w:pPr>
              <w:jc w:val="right"/>
            </w:pPr>
            <w:r>
              <w:t>2 900</w:t>
            </w:r>
          </w:p>
        </w:tc>
        <w:tc>
          <w:tcPr>
            <w:tcW w:w="1520" w:type="dxa"/>
          </w:tcPr>
          <w:p w:rsidR="00557A6F" w:rsidRDefault="00557A6F" w:rsidP="007F3140">
            <w:pPr>
              <w:jc w:val="right"/>
            </w:pPr>
            <w:r>
              <w:t>2 950</w:t>
            </w:r>
          </w:p>
        </w:tc>
      </w:tr>
      <w:tr w:rsidR="00557A6F" w:rsidTr="007F3140">
        <w:trPr>
          <w:trHeight w:val="380"/>
        </w:trPr>
        <w:tc>
          <w:tcPr>
            <w:tcW w:w="6080" w:type="dxa"/>
          </w:tcPr>
          <w:p w:rsidR="00557A6F" w:rsidRDefault="00557A6F" w:rsidP="007F3140">
            <w:r>
              <w:rPr>
                <w:rStyle w:val="kursiv"/>
                <w:sz w:val="21"/>
                <w:szCs w:val="21"/>
              </w:rPr>
              <w:t>Direkte støtte:</w:t>
            </w:r>
          </w:p>
        </w:tc>
        <w:tc>
          <w:tcPr>
            <w:tcW w:w="1520" w:type="dxa"/>
          </w:tcPr>
          <w:p w:rsidR="00557A6F" w:rsidRDefault="00557A6F" w:rsidP="007F3140">
            <w:pPr>
              <w:jc w:val="right"/>
            </w:pPr>
          </w:p>
        </w:tc>
        <w:tc>
          <w:tcPr>
            <w:tcW w:w="1520" w:type="dxa"/>
          </w:tcPr>
          <w:p w:rsidR="00557A6F" w:rsidRDefault="00557A6F" w:rsidP="007F3140">
            <w:pPr>
              <w:jc w:val="right"/>
            </w:pPr>
          </w:p>
        </w:tc>
      </w:tr>
      <w:tr w:rsidR="00557A6F" w:rsidTr="007F3140">
        <w:trPr>
          <w:trHeight w:val="380"/>
        </w:trPr>
        <w:tc>
          <w:tcPr>
            <w:tcW w:w="6080" w:type="dxa"/>
          </w:tcPr>
          <w:p w:rsidR="00557A6F" w:rsidRDefault="00557A6F" w:rsidP="007F3140">
            <w:r>
              <w:t>ARENA</w:t>
            </w:r>
          </w:p>
        </w:tc>
        <w:tc>
          <w:tcPr>
            <w:tcW w:w="1520" w:type="dxa"/>
          </w:tcPr>
          <w:p w:rsidR="00557A6F" w:rsidRDefault="00557A6F" w:rsidP="007F3140">
            <w:pPr>
              <w:jc w:val="right"/>
            </w:pPr>
            <w:r>
              <w:t>1 000</w:t>
            </w:r>
          </w:p>
        </w:tc>
        <w:tc>
          <w:tcPr>
            <w:tcW w:w="1520" w:type="dxa"/>
          </w:tcPr>
          <w:p w:rsidR="00557A6F" w:rsidRDefault="00557A6F" w:rsidP="007F3140">
            <w:pPr>
              <w:jc w:val="right"/>
            </w:pPr>
            <w:r>
              <w:t>1 000</w:t>
            </w:r>
          </w:p>
        </w:tc>
      </w:tr>
      <w:tr w:rsidR="00557A6F" w:rsidTr="007F3140">
        <w:trPr>
          <w:trHeight w:val="380"/>
        </w:trPr>
        <w:tc>
          <w:tcPr>
            <w:tcW w:w="6080" w:type="dxa"/>
          </w:tcPr>
          <w:p w:rsidR="00557A6F" w:rsidRDefault="00557A6F" w:rsidP="007F3140">
            <w:r>
              <w:t>NTNU</w:t>
            </w:r>
          </w:p>
        </w:tc>
        <w:tc>
          <w:tcPr>
            <w:tcW w:w="1520" w:type="dxa"/>
          </w:tcPr>
          <w:p w:rsidR="00557A6F" w:rsidRDefault="00557A6F" w:rsidP="007F3140">
            <w:pPr>
              <w:jc w:val="right"/>
            </w:pPr>
            <w:r>
              <w:t>1 000</w:t>
            </w:r>
          </w:p>
        </w:tc>
        <w:tc>
          <w:tcPr>
            <w:tcW w:w="1520" w:type="dxa"/>
          </w:tcPr>
          <w:p w:rsidR="00557A6F" w:rsidRDefault="00557A6F" w:rsidP="007F3140">
            <w:pPr>
              <w:jc w:val="right"/>
            </w:pPr>
            <w:r>
              <w:t>1 000</w:t>
            </w:r>
          </w:p>
        </w:tc>
      </w:tr>
      <w:tr w:rsidR="00557A6F" w:rsidTr="007F3140">
        <w:trPr>
          <w:trHeight w:val="380"/>
        </w:trPr>
        <w:tc>
          <w:tcPr>
            <w:tcW w:w="6080" w:type="dxa"/>
          </w:tcPr>
          <w:p w:rsidR="00557A6F" w:rsidRDefault="00557A6F" w:rsidP="007F3140">
            <w:r>
              <w:t>Klart språk i juridisk utdanning og forskning (UiO)</w:t>
            </w:r>
          </w:p>
        </w:tc>
        <w:tc>
          <w:tcPr>
            <w:tcW w:w="1520" w:type="dxa"/>
          </w:tcPr>
          <w:p w:rsidR="00557A6F" w:rsidRDefault="00557A6F" w:rsidP="007F3140">
            <w:pPr>
              <w:jc w:val="right"/>
            </w:pPr>
            <w:r>
              <w:t>3 000</w:t>
            </w:r>
          </w:p>
        </w:tc>
        <w:tc>
          <w:tcPr>
            <w:tcW w:w="1520" w:type="dxa"/>
          </w:tcPr>
          <w:p w:rsidR="00557A6F" w:rsidRDefault="00557A6F" w:rsidP="007F3140">
            <w:pPr>
              <w:jc w:val="right"/>
            </w:pPr>
            <w:r>
              <w:t>3 000</w:t>
            </w:r>
          </w:p>
        </w:tc>
      </w:tr>
      <w:tr w:rsidR="00557A6F" w:rsidTr="007F3140">
        <w:trPr>
          <w:trHeight w:val="380"/>
        </w:trPr>
        <w:tc>
          <w:tcPr>
            <w:tcW w:w="6080" w:type="dxa"/>
          </w:tcPr>
          <w:p w:rsidR="00557A6F" w:rsidRDefault="00557A6F" w:rsidP="007F3140">
            <w:r>
              <w:t>ph.d rettsinformatikk</w:t>
            </w:r>
          </w:p>
        </w:tc>
        <w:tc>
          <w:tcPr>
            <w:tcW w:w="1520" w:type="dxa"/>
          </w:tcPr>
          <w:p w:rsidR="00557A6F" w:rsidRDefault="00557A6F" w:rsidP="007F3140">
            <w:pPr>
              <w:jc w:val="right"/>
            </w:pPr>
            <w:r>
              <w:t>1 200</w:t>
            </w:r>
          </w:p>
        </w:tc>
        <w:tc>
          <w:tcPr>
            <w:tcW w:w="1520" w:type="dxa"/>
          </w:tcPr>
          <w:p w:rsidR="00557A6F" w:rsidRDefault="00557A6F" w:rsidP="007F3140">
            <w:pPr>
              <w:jc w:val="right"/>
            </w:pPr>
            <w:r>
              <w:t>1 200</w:t>
            </w:r>
          </w:p>
        </w:tc>
      </w:tr>
      <w:tr w:rsidR="00557A6F" w:rsidTr="007F3140">
        <w:trPr>
          <w:trHeight w:val="380"/>
        </w:trPr>
        <w:tc>
          <w:tcPr>
            <w:tcW w:w="6080" w:type="dxa"/>
          </w:tcPr>
          <w:p w:rsidR="00557A6F" w:rsidRDefault="00557A6F" w:rsidP="007F3140">
            <w:r>
              <w:t>Nytt boligforskningsmiljø</w:t>
            </w:r>
          </w:p>
        </w:tc>
        <w:tc>
          <w:tcPr>
            <w:tcW w:w="1520" w:type="dxa"/>
          </w:tcPr>
          <w:p w:rsidR="00557A6F" w:rsidRDefault="00557A6F" w:rsidP="007F3140">
            <w:pPr>
              <w:jc w:val="right"/>
            </w:pPr>
            <w:r>
              <w:t>2 500</w:t>
            </w:r>
          </w:p>
        </w:tc>
        <w:tc>
          <w:tcPr>
            <w:tcW w:w="1520" w:type="dxa"/>
          </w:tcPr>
          <w:p w:rsidR="00557A6F" w:rsidRDefault="00557A6F" w:rsidP="007F3140">
            <w:pPr>
              <w:jc w:val="right"/>
            </w:pPr>
            <w:r>
              <w:t>2 500</w:t>
            </w:r>
          </w:p>
        </w:tc>
      </w:tr>
      <w:tr w:rsidR="00557A6F" w:rsidTr="007F3140">
        <w:trPr>
          <w:trHeight w:val="380"/>
        </w:trPr>
        <w:tc>
          <w:tcPr>
            <w:tcW w:w="6080" w:type="dxa"/>
          </w:tcPr>
          <w:p w:rsidR="00557A6F" w:rsidRDefault="00557A6F" w:rsidP="007F3140">
            <w:r>
              <w:t>Sum</w:t>
            </w:r>
          </w:p>
        </w:tc>
        <w:tc>
          <w:tcPr>
            <w:tcW w:w="1520" w:type="dxa"/>
          </w:tcPr>
          <w:p w:rsidR="00557A6F" w:rsidRDefault="00557A6F" w:rsidP="007F3140">
            <w:pPr>
              <w:jc w:val="right"/>
            </w:pPr>
            <w:r>
              <w:t>84 000</w:t>
            </w:r>
          </w:p>
        </w:tc>
        <w:tc>
          <w:tcPr>
            <w:tcW w:w="1520" w:type="dxa"/>
          </w:tcPr>
          <w:p w:rsidR="00557A6F" w:rsidRDefault="00557A6F" w:rsidP="007F3140">
            <w:pPr>
              <w:jc w:val="right"/>
            </w:pPr>
            <w:r>
              <w:t>70 632</w:t>
            </w:r>
          </w:p>
        </w:tc>
      </w:tr>
    </w:tbl>
    <w:p w:rsidR="00557A6F" w:rsidRDefault="00557A6F" w:rsidP="00557A6F">
      <w:pPr>
        <w:pStyle w:val="tabell-noter"/>
        <w:rPr>
          <w:i/>
          <w:iCs/>
          <w:sz w:val="21"/>
          <w:szCs w:val="21"/>
        </w:rPr>
      </w:pPr>
      <w:r>
        <w:rPr>
          <w:rStyle w:val="skrift-hevet"/>
          <w:sz w:val="17"/>
          <w:szCs w:val="17"/>
        </w:rPr>
        <w:t>1</w:t>
      </w:r>
      <w:r>
        <w:rPr>
          <w:rStyle w:val="skrift-hevet"/>
          <w:sz w:val="17"/>
          <w:szCs w:val="17"/>
        </w:rPr>
        <w:tab/>
      </w:r>
      <w:r>
        <w:t>IKTPLUSS er flyttet til kap. 541, post 50. Det gjelder også rapporteringen.</w:t>
      </w:r>
    </w:p>
    <w:p w:rsidR="00557A6F" w:rsidRDefault="00557A6F" w:rsidP="00557A6F">
      <w:pPr>
        <w:pStyle w:val="b-post"/>
      </w:pPr>
      <w:r>
        <w:lastRenderedPageBreak/>
        <w:t>Post 70 Diverse formål, kan overføres, kan nyttes under post 21</w:t>
      </w:r>
    </w:p>
    <w:p w:rsidR="00557A6F" w:rsidRDefault="00557A6F" w:rsidP="00557A6F">
      <w:r>
        <w:t>Bevilgningen skal dekke kontingenter og enkeltstående tilskudd med navngitt mottaker, som ikke hører naturlig inn under andre budsjettposter.</w:t>
      </w:r>
    </w:p>
    <w:p w:rsidR="00557A6F" w:rsidRDefault="00557A6F" w:rsidP="00557A6F">
      <w:pPr>
        <w:pStyle w:val="avsnitt-tittel"/>
      </w:pPr>
      <w:r>
        <w:t>Budsjettforslag</w:t>
      </w:r>
    </w:p>
    <w:p w:rsidR="00557A6F" w:rsidRDefault="00557A6F" w:rsidP="00557A6F">
      <w:r>
        <w:t>Bevilgningen skal dekke Norges årlige kontingent for medlemskap i European Institute of Public Adm</w:t>
      </w:r>
      <w:r>
        <w:t>i</w:t>
      </w:r>
      <w:r>
        <w:t>nistration (EIPA), i European Centre of Employers and Enterprises providing Public Services and Se</w:t>
      </w:r>
      <w:r>
        <w:t>r</w:t>
      </w:r>
      <w:r>
        <w:t>vices of general interest (CEEP) og i International Hydrographic Organization (IHO).</w:t>
      </w:r>
    </w:p>
    <w:p w:rsidR="00557A6F" w:rsidRDefault="00557A6F" w:rsidP="00557A6F">
      <w:r>
        <w:t>Bevilgningen skal videre dekke utgifter på 1,3 mill. kroner til oppfølging av handlingsplan mot antisemittisme. Midlene skal blant annet benyttes til sikkerhetstiltak og informasjonstiltak ved J</w:t>
      </w:r>
      <w:r>
        <w:t>ø</w:t>
      </w:r>
      <w:r>
        <w:t>disk Museum i Trondheim.</w:t>
      </w:r>
    </w:p>
    <w:p w:rsidR="00557A6F" w:rsidRDefault="00557A6F" w:rsidP="00557A6F">
      <w:r>
        <w:t>Bevilgningen skal også dekke noen mindre stipendutbetalinger til mastergradsstudenter innenfor økonomi og juss på bolig, bomiljø og byggområdet, samt prispenger til Attraktiv by – Statens pris for bærekraftig by- og stedsu</w:t>
      </w:r>
      <w:r>
        <w:t>t</w:t>
      </w:r>
      <w:r>
        <w:t>vikling.</w:t>
      </w:r>
    </w:p>
    <w:p w:rsidR="00557A6F" w:rsidRDefault="00557A6F" w:rsidP="00557A6F">
      <w:r>
        <w:t>Samlet foreslås det en bevilgning på 3 mill. kroner.</w:t>
      </w:r>
    </w:p>
    <w:p w:rsidR="00557A6F" w:rsidRDefault="00557A6F" w:rsidP="00557A6F">
      <w:pPr>
        <w:pStyle w:val="b-budkaptit"/>
      </w:pPr>
      <w:r>
        <w:t>Kap. 502 Tariffavtalte avsetninger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7A6F" w:rsidTr="00557A6F">
        <w:trPr>
          <w:trHeight w:val="640"/>
        </w:trPr>
        <w:tc>
          <w:tcPr>
            <w:tcW w:w="1140" w:type="dxa"/>
            <w:shd w:val="clear" w:color="auto" w:fill="FFFFFF"/>
          </w:tcPr>
          <w:p w:rsidR="00557A6F" w:rsidRDefault="00557A6F" w:rsidP="00557A6F">
            <w:pPr>
              <w:pStyle w:val="Tabellnavn"/>
            </w:pPr>
            <w:r>
              <w:t>KPAL</w:t>
            </w:r>
          </w:p>
        </w:tc>
        <w:tc>
          <w:tcPr>
            <w:tcW w:w="4560" w:type="dxa"/>
          </w:tcPr>
          <w:p w:rsidR="00557A6F" w:rsidRDefault="00557A6F" w:rsidP="00557A6F"/>
        </w:tc>
        <w:tc>
          <w:tcPr>
            <w:tcW w:w="1140" w:type="dxa"/>
          </w:tcPr>
          <w:p w:rsidR="00557A6F" w:rsidRDefault="00557A6F" w:rsidP="00557A6F">
            <w:pPr>
              <w:pStyle w:val="Tabellnavn"/>
              <w:jc w:val="right"/>
            </w:pPr>
          </w:p>
        </w:tc>
        <w:tc>
          <w:tcPr>
            <w:tcW w:w="1140" w:type="dxa"/>
          </w:tcPr>
          <w:p w:rsidR="00557A6F" w:rsidRDefault="00557A6F" w:rsidP="00557A6F">
            <w:pPr>
              <w:pStyle w:val="Tabellnavn"/>
              <w:jc w:val="right"/>
            </w:pPr>
          </w:p>
        </w:tc>
        <w:tc>
          <w:tcPr>
            <w:tcW w:w="1140" w:type="dxa"/>
          </w:tcPr>
          <w:p w:rsidR="00557A6F" w:rsidRDefault="00557A6F" w:rsidP="00557A6F">
            <w:pPr>
              <w:jc w:val="right"/>
            </w:pPr>
            <w:r>
              <w:t>(i 1 000 kr)</w:t>
            </w:r>
          </w:p>
        </w:tc>
      </w:tr>
      <w:tr w:rsidR="00557A6F" w:rsidTr="00557A6F">
        <w:trPr>
          <w:trHeight w:val="600"/>
        </w:trPr>
        <w:tc>
          <w:tcPr>
            <w:tcW w:w="1140" w:type="dxa"/>
          </w:tcPr>
          <w:p w:rsidR="00557A6F" w:rsidRDefault="00557A6F" w:rsidP="00557A6F">
            <w:r>
              <w:t>Post</w:t>
            </w:r>
          </w:p>
        </w:tc>
        <w:tc>
          <w:tcPr>
            <w:tcW w:w="4560" w:type="dxa"/>
          </w:tcPr>
          <w:p w:rsidR="00557A6F" w:rsidRDefault="00557A6F" w:rsidP="00557A6F">
            <w:r>
              <w:t>Betegnelse</w:t>
            </w:r>
          </w:p>
        </w:tc>
        <w:tc>
          <w:tcPr>
            <w:tcW w:w="1140" w:type="dxa"/>
          </w:tcPr>
          <w:p w:rsidR="00557A6F" w:rsidRDefault="00557A6F" w:rsidP="00557A6F">
            <w:pPr>
              <w:jc w:val="right"/>
            </w:pPr>
            <w:r>
              <w:t>Regnskap 2018</w:t>
            </w:r>
          </w:p>
        </w:tc>
        <w:tc>
          <w:tcPr>
            <w:tcW w:w="1140" w:type="dxa"/>
          </w:tcPr>
          <w:p w:rsidR="00557A6F" w:rsidRDefault="00557A6F" w:rsidP="00557A6F">
            <w:pPr>
              <w:jc w:val="right"/>
            </w:pPr>
            <w:r>
              <w:t xml:space="preserve">Saldert </w:t>
            </w:r>
            <w:r>
              <w:br/>
              <w:t>budsjett 2019</w:t>
            </w:r>
          </w:p>
        </w:tc>
        <w:tc>
          <w:tcPr>
            <w:tcW w:w="1140" w:type="dxa"/>
          </w:tcPr>
          <w:p w:rsidR="00557A6F" w:rsidRDefault="00557A6F" w:rsidP="00557A6F">
            <w:pPr>
              <w:jc w:val="right"/>
            </w:pPr>
            <w:r>
              <w:t xml:space="preserve">Forslag </w:t>
            </w:r>
            <w:r>
              <w:br/>
              <w:t>2020</w:t>
            </w:r>
          </w:p>
        </w:tc>
      </w:tr>
      <w:tr w:rsidR="00557A6F" w:rsidTr="00557A6F">
        <w:trPr>
          <w:trHeight w:val="640"/>
        </w:trPr>
        <w:tc>
          <w:tcPr>
            <w:tcW w:w="1140" w:type="dxa"/>
          </w:tcPr>
          <w:p w:rsidR="00557A6F" w:rsidRDefault="00557A6F" w:rsidP="00557A6F">
            <w:r>
              <w:t>21</w:t>
            </w:r>
          </w:p>
        </w:tc>
        <w:tc>
          <w:tcPr>
            <w:tcW w:w="4560" w:type="dxa"/>
          </w:tcPr>
          <w:p w:rsidR="00557A6F" w:rsidRDefault="00557A6F" w:rsidP="00557A6F">
            <w:r>
              <w:t>Spesielle driftsutgifter</w:t>
            </w:r>
            <w:r>
              <w:rPr>
                <w:rStyle w:val="kursiv"/>
                <w:sz w:val="21"/>
                <w:szCs w:val="21"/>
              </w:rPr>
              <w:t xml:space="preserve">, kan overføres, </w:t>
            </w:r>
            <w:r>
              <w:rPr>
                <w:rStyle w:val="kursiv"/>
                <w:sz w:val="21"/>
                <w:szCs w:val="21"/>
              </w:rPr>
              <w:br/>
              <w:t xml:space="preserve">kan nyttes under post 70 </w:t>
            </w:r>
          </w:p>
        </w:tc>
        <w:tc>
          <w:tcPr>
            <w:tcW w:w="1140" w:type="dxa"/>
          </w:tcPr>
          <w:p w:rsidR="00557A6F" w:rsidRDefault="00557A6F" w:rsidP="00557A6F">
            <w:pPr>
              <w:jc w:val="right"/>
            </w:pPr>
            <w:r>
              <w:t>154</w:t>
            </w:r>
          </w:p>
        </w:tc>
        <w:tc>
          <w:tcPr>
            <w:tcW w:w="1140" w:type="dxa"/>
          </w:tcPr>
          <w:p w:rsidR="00557A6F" w:rsidRDefault="00557A6F" w:rsidP="00557A6F">
            <w:pPr>
              <w:jc w:val="right"/>
            </w:pPr>
            <w:r>
              <w:t>1 000</w:t>
            </w:r>
          </w:p>
        </w:tc>
        <w:tc>
          <w:tcPr>
            <w:tcW w:w="1140" w:type="dxa"/>
          </w:tcPr>
          <w:p w:rsidR="00557A6F" w:rsidRDefault="00557A6F" w:rsidP="00557A6F">
            <w:pPr>
              <w:jc w:val="right"/>
            </w:pPr>
          </w:p>
        </w:tc>
      </w:tr>
      <w:tr w:rsidR="00557A6F" w:rsidTr="00557A6F">
        <w:trPr>
          <w:trHeight w:val="640"/>
        </w:trPr>
        <w:tc>
          <w:tcPr>
            <w:tcW w:w="1140" w:type="dxa"/>
          </w:tcPr>
          <w:p w:rsidR="00557A6F" w:rsidRDefault="00557A6F" w:rsidP="00557A6F">
            <w:r>
              <w:t>70</w:t>
            </w:r>
          </w:p>
        </w:tc>
        <w:tc>
          <w:tcPr>
            <w:tcW w:w="4560" w:type="dxa"/>
          </w:tcPr>
          <w:p w:rsidR="00557A6F" w:rsidRDefault="00557A6F" w:rsidP="00557A6F">
            <w:r>
              <w:t>Kompetanseutvikling mv.</w:t>
            </w:r>
            <w:r>
              <w:rPr>
                <w:rStyle w:val="kursiv"/>
                <w:sz w:val="21"/>
                <w:szCs w:val="21"/>
              </w:rPr>
              <w:t xml:space="preserve">, kan overføres, </w:t>
            </w:r>
            <w:r>
              <w:rPr>
                <w:rStyle w:val="kursiv"/>
                <w:sz w:val="21"/>
                <w:szCs w:val="21"/>
              </w:rPr>
              <w:br/>
              <w:t xml:space="preserve">kan nyttes under post 21 </w:t>
            </w:r>
          </w:p>
        </w:tc>
        <w:tc>
          <w:tcPr>
            <w:tcW w:w="1140" w:type="dxa"/>
          </w:tcPr>
          <w:p w:rsidR="00557A6F" w:rsidRDefault="00557A6F" w:rsidP="00557A6F">
            <w:pPr>
              <w:jc w:val="right"/>
            </w:pPr>
            <w:r>
              <w:t>7 287</w:t>
            </w:r>
          </w:p>
        </w:tc>
        <w:tc>
          <w:tcPr>
            <w:tcW w:w="1140" w:type="dxa"/>
          </w:tcPr>
          <w:p w:rsidR="00557A6F" w:rsidRDefault="00557A6F" w:rsidP="00557A6F">
            <w:pPr>
              <w:jc w:val="right"/>
            </w:pPr>
            <w:r>
              <w:t>16 500</w:t>
            </w:r>
          </w:p>
        </w:tc>
        <w:tc>
          <w:tcPr>
            <w:tcW w:w="1140" w:type="dxa"/>
          </w:tcPr>
          <w:p w:rsidR="00557A6F" w:rsidRDefault="00557A6F" w:rsidP="00557A6F">
            <w:pPr>
              <w:jc w:val="right"/>
            </w:pPr>
          </w:p>
        </w:tc>
      </w:tr>
      <w:tr w:rsidR="00557A6F" w:rsidTr="00557A6F">
        <w:trPr>
          <w:trHeight w:val="380"/>
        </w:trPr>
        <w:tc>
          <w:tcPr>
            <w:tcW w:w="1140" w:type="dxa"/>
          </w:tcPr>
          <w:p w:rsidR="00557A6F" w:rsidRDefault="00557A6F" w:rsidP="00557A6F">
            <w:r>
              <w:t>71</w:t>
            </w:r>
          </w:p>
        </w:tc>
        <w:tc>
          <w:tcPr>
            <w:tcW w:w="4560" w:type="dxa"/>
          </w:tcPr>
          <w:p w:rsidR="00557A6F" w:rsidRDefault="00557A6F" w:rsidP="00557A6F">
            <w:r>
              <w:t xml:space="preserve">Opplæring og utvikling av tillitsvalgte </w:t>
            </w:r>
          </w:p>
        </w:tc>
        <w:tc>
          <w:tcPr>
            <w:tcW w:w="1140" w:type="dxa"/>
          </w:tcPr>
          <w:p w:rsidR="00557A6F" w:rsidRDefault="00557A6F" w:rsidP="00557A6F">
            <w:pPr>
              <w:jc w:val="right"/>
            </w:pPr>
            <w:r>
              <w:t>190 600</w:t>
            </w:r>
          </w:p>
        </w:tc>
        <w:tc>
          <w:tcPr>
            <w:tcW w:w="1140" w:type="dxa"/>
          </w:tcPr>
          <w:p w:rsidR="00557A6F" w:rsidRDefault="00557A6F" w:rsidP="00557A6F">
            <w:pPr>
              <w:jc w:val="right"/>
            </w:pPr>
            <w:r>
              <w:t>190 600</w:t>
            </w:r>
          </w:p>
        </w:tc>
        <w:tc>
          <w:tcPr>
            <w:tcW w:w="1140" w:type="dxa"/>
          </w:tcPr>
          <w:p w:rsidR="00557A6F" w:rsidRDefault="00557A6F" w:rsidP="00557A6F">
            <w:pPr>
              <w:jc w:val="right"/>
            </w:pPr>
            <w:r>
              <w:t>195 000</w:t>
            </w:r>
          </w:p>
        </w:tc>
      </w:tr>
      <w:tr w:rsidR="00557A6F" w:rsidTr="00557A6F">
        <w:trPr>
          <w:trHeight w:val="380"/>
        </w:trPr>
        <w:tc>
          <w:tcPr>
            <w:tcW w:w="1140" w:type="dxa"/>
          </w:tcPr>
          <w:p w:rsidR="00557A6F" w:rsidRDefault="00557A6F" w:rsidP="00557A6F"/>
        </w:tc>
        <w:tc>
          <w:tcPr>
            <w:tcW w:w="4560" w:type="dxa"/>
          </w:tcPr>
          <w:p w:rsidR="00557A6F" w:rsidRDefault="00557A6F" w:rsidP="00557A6F">
            <w:r>
              <w:t>Sum kap. 0502</w:t>
            </w:r>
          </w:p>
        </w:tc>
        <w:tc>
          <w:tcPr>
            <w:tcW w:w="1140" w:type="dxa"/>
          </w:tcPr>
          <w:p w:rsidR="00557A6F" w:rsidRDefault="00557A6F" w:rsidP="00557A6F">
            <w:pPr>
              <w:jc w:val="right"/>
            </w:pPr>
            <w:r>
              <w:t>198 041</w:t>
            </w:r>
          </w:p>
        </w:tc>
        <w:tc>
          <w:tcPr>
            <w:tcW w:w="1140" w:type="dxa"/>
          </w:tcPr>
          <w:p w:rsidR="00557A6F" w:rsidRDefault="00557A6F" w:rsidP="00557A6F">
            <w:pPr>
              <w:jc w:val="right"/>
            </w:pPr>
            <w:r>
              <w:t>208 100</w:t>
            </w:r>
          </w:p>
        </w:tc>
        <w:tc>
          <w:tcPr>
            <w:tcW w:w="1140" w:type="dxa"/>
          </w:tcPr>
          <w:p w:rsidR="00557A6F" w:rsidRDefault="00557A6F" w:rsidP="00557A6F">
            <w:pPr>
              <w:jc w:val="right"/>
            </w:pPr>
            <w:r>
              <w:t>195 000</w:t>
            </w:r>
          </w:p>
        </w:tc>
      </w:tr>
    </w:tbl>
    <w:p w:rsidR="00557A6F" w:rsidRDefault="00557A6F" w:rsidP="00557A6F">
      <w:pPr>
        <w:pStyle w:val="tabell-noter"/>
      </w:pPr>
      <w:r>
        <w:t>Vedrørende 2019: Ved Stortingets vedtak av 18. juni 2019 ble post 71 økt med 4,4 mill. kroner til 195 mill. kroner, jf. Prop. 123 S og Innst. 406 S (2018–2019).</w:t>
      </w:r>
    </w:p>
    <w:p w:rsidR="00557A6F" w:rsidRDefault="00557A6F" w:rsidP="00557A6F">
      <w:pPr>
        <w:pStyle w:val="b-post"/>
      </w:pPr>
      <w:r>
        <w:t>Post 21 Spesielle driftsutgifter, kan overføres, kan nyttes under post 70</w:t>
      </w:r>
    </w:p>
    <w:p w:rsidR="00557A6F" w:rsidRDefault="00557A6F" w:rsidP="00557A6F">
      <w:r>
        <w:t>Bevilgningen er benyttet i hovedsak til honorarer i forbindelse med de sentrale partenes satsing på forsøk i statens felles regel- og avtaleverk.</w:t>
      </w:r>
    </w:p>
    <w:p w:rsidR="00557A6F" w:rsidRDefault="00557A6F" w:rsidP="00557A6F">
      <w:r>
        <w:t>Det foreslås ikke bevilgning for 2020. Dersom partene foretar en avsetning av kompetansemidler ved lønnsop</w:t>
      </w:r>
      <w:r>
        <w:t>p</w:t>
      </w:r>
      <w:r>
        <w:t>gjøret per 1. mai 2020, vil forslag til bevilgning bli fremmet i en egen proposisjon.</w:t>
      </w:r>
    </w:p>
    <w:p w:rsidR="00557A6F" w:rsidRDefault="00557A6F" w:rsidP="00557A6F">
      <w:pPr>
        <w:pStyle w:val="b-post"/>
      </w:pPr>
      <w:r>
        <w:t>Post 70 Kompetanseutvikling mv., kan overføres, kan nyttes under post 21</w:t>
      </w:r>
    </w:p>
    <w:p w:rsidR="00557A6F" w:rsidRDefault="00557A6F" w:rsidP="00557A6F">
      <w:r>
        <w:t>Bevilgningen dekker tilskudd til kompetanse- og omstillingsarbeid og har blant annet bidratt til å legge til rette for en god praktisering av de tillitsvalgtes medbestemmelse. Dette skjer gjennom delfinansiering av prosjekter basert på samarbeid mellom partene i virksomhetene, og sentrale ti</w:t>
      </w:r>
      <w:r>
        <w:t>l</w:t>
      </w:r>
      <w:r>
        <w:t>tak. Gjennom å stimulere organisasjons- og ledelsesutvikling, oppfølging av avtalen om et inkl</w:t>
      </w:r>
      <w:r>
        <w:t>u</w:t>
      </w:r>
      <w:r>
        <w:t>derende arbeidsliv, større mangfold og flere lærlinger i staten, har partene ønsket å bidra til å u</w:t>
      </w:r>
      <w:r>
        <w:t>t</w:t>
      </w:r>
      <w:r>
        <w:t>vikle og fornye statlige virksomheter.</w:t>
      </w:r>
    </w:p>
    <w:p w:rsidR="00557A6F" w:rsidRDefault="00557A6F" w:rsidP="00557A6F">
      <w:r>
        <w:lastRenderedPageBreak/>
        <w:t>Midlene har også finansiert regionale konferanser som skal føre til bedre samarbeidsrelasjoner mellom partene lokalt. Midlene fordeles av Difi etter vedtak av de sentrale parter, basert på søkn</w:t>
      </w:r>
      <w:r>
        <w:t>a</w:t>
      </w:r>
      <w:r>
        <w:t>der fra virksomhetene.</w:t>
      </w:r>
    </w:p>
    <w:p w:rsidR="00557A6F" w:rsidRDefault="00557A6F" w:rsidP="00557A6F">
      <w:r>
        <w:t>Som følge av tariffoppgjøret 2019 er det startet et partssammensatt arbeid for å revitalisere bruken av midlene. Dette skal være ferdig før tariffoppgjøret 2020.</w:t>
      </w:r>
    </w:p>
    <w:p w:rsidR="00557A6F" w:rsidRDefault="00557A6F" w:rsidP="00557A6F">
      <w:r>
        <w:t>Det foreslås ikke bevilgning for 2020. Dersom partene foretar en avsetning av kompetansemidler ved lønnsop</w:t>
      </w:r>
      <w:r>
        <w:t>p</w:t>
      </w:r>
      <w:r>
        <w:t>gjøret per 1. mai 2020, vil forslag til bevilgning bli fremmet i en egen proposisjon.</w:t>
      </w:r>
    </w:p>
    <w:p w:rsidR="00557A6F" w:rsidRDefault="00557A6F" w:rsidP="00557A6F">
      <w:pPr>
        <w:pStyle w:val="b-post"/>
      </w:pPr>
      <w:r>
        <w:t>Post 71 Opplæring og utvikling av tillitsvalgte</w:t>
      </w:r>
    </w:p>
    <w:p w:rsidR="00557A6F" w:rsidRDefault="00557A6F" w:rsidP="00557A6F">
      <w:r>
        <w:t>Posten dekker organisasjonenes utgifter i forbindelse med opplæring og utvikling av tillitsvalgte. Staten ved Kommunal- og moderniseringsdepartementet og hovedsammenslutningene har i H</w:t>
      </w:r>
      <w:r>
        <w:t>o</w:t>
      </w:r>
      <w:r>
        <w:t>vedtariffavtalene i staten 2018–2020 videreført avtale om avsetning av midler til organisasjonenes opplærings- og utvi</w:t>
      </w:r>
      <w:r>
        <w:t>k</w:t>
      </w:r>
      <w:r>
        <w:t xml:space="preserve">lingstiltak (OU-midler). Midlene disponeres av hovedsammenslutningene i samsvar med avtalen om OU-midler. Avsetningen utgjør totalt 0,24 pst. av lønnsmassen i staten (fastlønn før fratrekk for pensjon) og utgjør 195 mill. kroner, jf. Prop. 123 S </w:t>
      </w:r>
      <w:r>
        <w:rPr>
          <w:rStyle w:val="kursiv"/>
          <w:sz w:val="21"/>
          <w:szCs w:val="21"/>
        </w:rPr>
        <w:t>Endringar i statsbudsje</w:t>
      </w:r>
      <w:r>
        <w:rPr>
          <w:rStyle w:val="kursiv"/>
          <w:sz w:val="21"/>
          <w:szCs w:val="21"/>
        </w:rPr>
        <w:t>t</w:t>
      </w:r>
      <w:r>
        <w:rPr>
          <w:rStyle w:val="kursiv"/>
          <w:sz w:val="21"/>
          <w:szCs w:val="21"/>
        </w:rPr>
        <w:t>tet 2019 under Finansdepartementet og Kommunal- og moderniseringsdepartementet (Lønsregulering for a</w:t>
      </w:r>
      <w:r>
        <w:rPr>
          <w:rStyle w:val="kursiv"/>
          <w:sz w:val="21"/>
          <w:szCs w:val="21"/>
        </w:rPr>
        <w:t>r</w:t>
      </w:r>
      <w:r>
        <w:rPr>
          <w:rStyle w:val="kursiv"/>
          <w:sz w:val="21"/>
          <w:szCs w:val="21"/>
        </w:rPr>
        <w:t>beidstakarar i det statlege tariffområdet 2019 mv.)</w:t>
      </w:r>
      <w:r>
        <w:t xml:space="preserve"> og Innst. 406 (2018–2019).</w:t>
      </w:r>
    </w:p>
    <w:p w:rsidR="00557A6F" w:rsidRDefault="00557A6F" w:rsidP="00557A6F">
      <w:r>
        <w:t>Avsetningen av midlene er beregnet og fastsatt sentralt. Arbeidstakernes bidrag til finansieringen er 400 kroner per arbeidstaker (forholdsmessig etter stillingsandel) per år og utgjør 58,8 mill. kr</w:t>
      </w:r>
      <w:r>
        <w:t>o</w:t>
      </w:r>
      <w:r>
        <w:t>ner. Statens andel av bevil</w:t>
      </w:r>
      <w:r>
        <w:t>g</w:t>
      </w:r>
      <w:r>
        <w:t>ningen er beregnet til 136,2 mill. kroner.</w:t>
      </w:r>
    </w:p>
    <w:p w:rsidR="00557A6F" w:rsidRDefault="00557A6F" w:rsidP="00557A6F">
      <w:r>
        <w:t>Bevilgningen er brukt i samsvar med særavtale om opplærings- og utviklingsmidler.</w:t>
      </w:r>
    </w:p>
    <w:p w:rsidR="00557A6F" w:rsidRDefault="00557A6F" w:rsidP="00557A6F">
      <w:r>
        <w:t>Det foreslås en bevilgning på 195 mill. kroner i 2020.</w:t>
      </w:r>
    </w:p>
    <w:p w:rsidR="00557A6F" w:rsidRDefault="00557A6F" w:rsidP="00557A6F">
      <w:pPr>
        <w:pStyle w:val="b-budkaptit"/>
      </w:pPr>
      <w:r>
        <w:t>Kap. 510 Departementenes sikkerhets- og serviceorganisasjon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7A6F" w:rsidTr="00557A6F">
        <w:trPr>
          <w:trHeight w:val="640"/>
        </w:trPr>
        <w:tc>
          <w:tcPr>
            <w:tcW w:w="1140" w:type="dxa"/>
            <w:shd w:val="clear" w:color="auto" w:fill="FFFFFF"/>
          </w:tcPr>
          <w:p w:rsidR="00557A6F" w:rsidRDefault="00557A6F" w:rsidP="00557A6F">
            <w:pPr>
              <w:pStyle w:val="Tabellnavn"/>
            </w:pPr>
            <w:r>
              <w:t>KPAL</w:t>
            </w:r>
          </w:p>
        </w:tc>
        <w:tc>
          <w:tcPr>
            <w:tcW w:w="4560" w:type="dxa"/>
          </w:tcPr>
          <w:p w:rsidR="00557A6F" w:rsidRDefault="00557A6F" w:rsidP="00557A6F"/>
        </w:tc>
        <w:tc>
          <w:tcPr>
            <w:tcW w:w="1140" w:type="dxa"/>
          </w:tcPr>
          <w:p w:rsidR="00557A6F" w:rsidRDefault="00557A6F" w:rsidP="00557A6F">
            <w:pPr>
              <w:pStyle w:val="Tabellnavn"/>
              <w:jc w:val="right"/>
            </w:pPr>
          </w:p>
        </w:tc>
        <w:tc>
          <w:tcPr>
            <w:tcW w:w="1140" w:type="dxa"/>
          </w:tcPr>
          <w:p w:rsidR="00557A6F" w:rsidRDefault="00557A6F" w:rsidP="00557A6F">
            <w:pPr>
              <w:pStyle w:val="Tabellnavn"/>
              <w:jc w:val="right"/>
            </w:pPr>
          </w:p>
        </w:tc>
        <w:tc>
          <w:tcPr>
            <w:tcW w:w="1140" w:type="dxa"/>
          </w:tcPr>
          <w:p w:rsidR="00557A6F" w:rsidRDefault="00557A6F" w:rsidP="00557A6F">
            <w:pPr>
              <w:jc w:val="right"/>
            </w:pPr>
            <w:r>
              <w:t>(i 1 000 kr)</w:t>
            </w:r>
          </w:p>
        </w:tc>
      </w:tr>
      <w:tr w:rsidR="00557A6F" w:rsidTr="00557A6F">
        <w:trPr>
          <w:trHeight w:val="600"/>
        </w:trPr>
        <w:tc>
          <w:tcPr>
            <w:tcW w:w="1140" w:type="dxa"/>
          </w:tcPr>
          <w:p w:rsidR="00557A6F" w:rsidRDefault="00557A6F" w:rsidP="00557A6F">
            <w:r>
              <w:t>Post</w:t>
            </w:r>
          </w:p>
        </w:tc>
        <w:tc>
          <w:tcPr>
            <w:tcW w:w="4560" w:type="dxa"/>
          </w:tcPr>
          <w:p w:rsidR="00557A6F" w:rsidRDefault="00557A6F" w:rsidP="00557A6F">
            <w:r>
              <w:t>Betegnelse</w:t>
            </w:r>
          </w:p>
        </w:tc>
        <w:tc>
          <w:tcPr>
            <w:tcW w:w="1140" w:type="dxa"/>
          </w:tcPr>
          <w:p w:rsidR="00557A6F" w:rsidRDefault="00557A6F" w:rsidP="00557A6F">
            <w:pPr>
              <w:jc w:val="right"/>
            </w:pPr>
            <w:r>
              <w:t>Regnskap 2018</w:t>
            </w:r>
          </w:p>
        </w:tc>
        <w:tc>
          <w:tcPr>
            <w:tcW w:w="1140" w:type="dxa"/>
          </w:tcPr>
          <w:p w:rsidR="00557A6F" w:rsidRDefault="00557A6F" w:rsidP="00557A6F">
            <w:pPr>
              <w:jc w:val="right"/>
            </w:pPr>
            <w:r>
              <w:t xml:space="preserve">Saldert </w:t>
            </w:r>
            <w:r>
              <w:br/>
              <w:t>budsjett 2019</w:t>
            </w:r>
          </w:p>
        </w:tc>
        <w:tc>
          <w:tcPr>
            <w:tcW w:w="1140" w:type="dxa"/>
          </w:tcPr>
          <w:p w:rsidR="00557A6F" w:rsidRDefault="00557A6F" w:rsidP="00557A6F">
            <w:pPr>
              <w:jc w:val="right"/>
            </w:pPr>
            <w:r>
              <w:t xml:space="preserve">Forslag </w:t>
            </w:r>
            <w:r>
              <w:br/>
              <w:t>2020</w:t>
            </w:r>
          </w:p>
        </w:tc>
      </w:tr>
      <w:tr w:rsidR="00557A6F" w:rsidTr="00557A6F">
        <w:trPr>
          <w:trHeight w:val="380"/>
        </w:trPr>
        <w:tc>
          <w:tcPr>
            <w:tcW w:w="1140" w:type="dxa"/>
          </w:tcPr>
          <w:p w:rsidR="00557A6F" w:rsidRDefault="00557A6F" w:rsidP="00557A6F">
            <w:r>
              <w:t>01</w:t>
            </w:r>
          </w:p>
        </w:tc>
        <w:tc>
          <w:tcPr>
            <w:tcW w:w="4560" w:type="dxa"/>
          </w:tcPr>
          <w:p w:rsidR="00557A6F" w:rsidRDefault="00557A6F" w:rsidP="00557A6F">
            <w:r>
              <w:t xml:space="preserve">Driftsutgifter </w:t>
            </w:r>
          </w:p>
        </w:tc>
        <w:tc>
          <w:tcPr>
            <w:tcW w:w="1140" w:type="dxa"/>
          </w:tcPr>
          <w:p w:rsidR="00557A6F" w:rsidRDefault="00557A6F" w:rsidP="00557A6F">
            <w:pPr>
              <w:jc w:val="right"/>
            </w:pPr>
            <w:r>
              <w:t>690 557</w:t>
            </w:r>
          </w:p>
        </w:tc>
        <w:tc>
          <w:tcPr>
            <w:tcW w:w="1140" w:type="dxa"/>
          </w:tcPr>
          <w:p w:rsidR="00557A6F" w:rsidRDefault="00557A6F" w:rsidP="00557A6F">
            <w:pPr>
              <w:jc w:val="right"/>
            </w:pPr>
            <w:r>
              <w:t>625 417</w:t>
            </w:r>
          </w:p>
        </w:tc>
        <w:tc>
          <w:tcPr>
            <w:tcW w:w="1140" w:type="dxa"/>
          </w:tcPr>
          <w:p w:rsidR="00557A6F" w:rsidRDefault="00557A6F" w:rsidP="00557A6F">
            <w:pPr>
              <w:jc w:val="right"/>
            </w:pPr>
            <w:r>
              <w:t>640 329</w:t>
            </w:r>
          </w:p>
        </w:tc>
      </w:tr>
      <w:tr w:rsidR="00557A6F" w:rsidTr="00557A6F">
        <w:trPr>
          <w:trHeight w:val="380"/>
        </w:trPr>
        <w:tc>
          <w:tcPr>
            <w:tcW w:w="1140" w:type="dxa"/>
          </w:tcPr>
          <w:p w:rsidR="00557A6F" w:rsidRDefault="00557A6F" w:rsidP="00557A6F">
            <w:r>
              <w:t>21</w:t>
            </w:r>
          </w:p>
        </w:tc>
        <w:tc>
          <w:tcPr>
            <w:tcW w:w="4560" w:type="dxa"/>
          </w:tcPr>
          <w:p w:rsidR="00557A6F" w:rsidRDefault="00557A6F" w:rsidP="00557A6F">
            <w:r>
              <w:t>Spesielle driftsutgifter</w:t>
            </w:r>
            <w:r>
              <w:rPr>
                <w:rStyle w:val="kursiv"/>
                <w:sz w:val="21"/>
                <w:szCs w:val="21"/>
              </w:rPr>
              <w:t xml:space="preserve">, kan overføres </w:t>
            </w:r>
          </w:p>
        </w:tc>
        <w:tc>
          <w:tcPr>
            <w:tcW w:w="1140" w:type="dxa"/>
          </w:tcPr>
          <w:p w:rsidR="00557A6F" w:rsidRDefault="00557A6F" w:rsidP="00557A6F">
            <w:pPr>
              <w:jc w:val="right"/>
            </w:pPr>
          </w:p>
        </w:tc>
        <w:tc>
          <w:tcPr>
            <w:tcW w:w="1140" w:type="dxa"/>
          </w:tcPr>
          <w:p w:rsidR="00557A6F" w:rsidRDefault="00557A6F" w:rsidP="00557A6F">
            <w:pPr>
              <w:jc w:val="right"/>
            </w:pPr>
            <w:r>
              <w:t>59 559</w:t>
            </w:r>
          </w:p>
        </w:tc>
        <w:tc>
          <w:tcPr>
            <w:tcW w:w="1140" w:type="dxa"/>
          </w:tcPr>
          <w:p w:rsidR="00557A6F" w:rsidRDefault="00557A6F" w:rsidP="00557A6F">
            <w:pPr>
              <w:jc w:val="right"/>
            </w:pPr>
            <w:r>
              <w:t>61 157</w:t>
            </w:r>
          </w:p>
        </w:tc>
      </w:tr>
      <w:tr w:rsidR="00557A6F" w:rsidTr="00557A6F">
        <w:trPr>
          <w:trHeight w:val="380"/>
        </w:trPr>
        <w:tc>
          <w:tcPr>
            <w:tcW w:w="1140" w:type="dxa"/>
          </w:tcPr>
          <w:p w:rsidR="00557A6F" w:rsidRDefault="00557A6F" w:rsidP="00557A6F">
            <w:r>
              <w:t>22</w:t>
            </w:r>
          </w:p>
        </w:tc>
        <w:tc>
          <w:tcPr>
            <w:tcW w:w="4560" w:type="dxa"/>
          </w:tcPr>
          <w:p w:rsidR="00557A6F" w:rsidRDefault="00557A6F" w:rsidP="00557A6F">
            <w:r>
              <w:t xml:space="preserve">Fellesutgifter </w:t>
            </w:r>
          </w:p>
        </w:tc>
        <w:tc>
          <w:tcPr>
            <w:tcW w:w="1140" w:type="dxa"/>
          </w:tcPr>
          <w:p w:rsidR="00557A6F" w:rsidRDefault="00557A6F" w:rsidP="00557A6F">
            <w:pPr>
              <w:jc w:val="right"/>
            </w:pPr>
            <w:r>
              <w:t>128 021</w:t>
            </w:r>
          </w:p>
        </w:tc>
        <w:tc>
          <w:tcPr>
            <w:tcW w:w="1140" w:type="dxa"/>
          </w:tcPr>
          <w:p w:rsidR="00557A6F" w:rsidRDefault="00557A6F" w:rsidP="00557A6F">
            <w:pPr>
              <w:jc w:val="right"/>
            </w:pPr>
            <w:r>
              <w:t>130 710</w:t>
            </w:r>
          </w:p>
        </w:tc>
        <w:tc>
          <w:tcPr>
            <w:tcW w:w="1140" w:type="dxa"/>
          </w:tcPr>
          <w:p w:rsidR="00557A6F" w:rsidRDefault="00557A6F" w:rsidP="00557A6F">
            <w:pPr>
              <w:jc w:val="right"/>
            </w:pPr>
            <w:r>
              <w:t>134 672</w:t>
            </w:r>
          </w:p>
        </w:tc>
      </w:tr>
      <w:tr w:rsidR="00557A6F" w:rsidTr="00557A6F">
        <w:trPr>
          <w:trHeight w:val="380"/>
        </w:trPr>
        <w:tc>
          <w:tcPr>
            <w:tcW w:w="1140" w:type="dxa"/>
          </w:tcPr>
          <w:p w:rsidR="00557A6F" w:rsidRDefault="00557A6F" w:rsidP="00557A6F">
            <w:r>
              <w:t>23</w:t>
            </w:r>
          </w:p>
        </w:tc>
        <w:tc>
          <w:tcPr>
            <w:tcW w:w="4560" w:type="dxa"/>
          </w:tcPr>
          <w:p w:rsidR="00557A6F" w:rsidRDefault="00557A6F" w:rsidP="00557A6F">
            <w:r>
              <w:t xml:space="preserve">22. juli-senteret </w:t>
            </w:r>
          </w:p>
        </w:tc>
        <w:tc>
          <w:tcPr>
            <w:tcW w:w="1140" w:type="dxa"/>
          </w:tcPr>
          <w:p w:rsidR="00557A6F" w:rsidRDefault="00557A6F" w:rsidP="00557A6F">
            <w:pPr>
              <w:jc w:val="right"/>
            </w:pPr>
            <w:r>
              <w:t>7 882</w:t>
            </w:r>
          </w:p>
        </w:tc>
        <w:tc>
          <w:tcPr>
            <w:tcW w:w="1140" w:type="dxa"/>
          </w:tcPr>
          <w:p w:rsidR="00557A6F" w:rsidRDefault="00557A6F" w:rsidP="00557A6F">
            <w:pPr>
              <w:jc w:val="right"/>
            </w:pPr>
            <w:r>
              <w:t>12 260</w:t>
            </w:r>
          </w:p>
        </w:tc>
        <w:tc>
          <w:tcPr>
            <w:tcW w:w="1140" w:type="dxa"/>
          </w:tcPr>
          <w:p w:rsidR="00557A6F" w:rsidRDefault="00557A6F" w:rsidP="00557A6F">
            <w:pPr>
              <w:jc w:val="right"/>
            </w:pPr>
          </w:p>
        </w:tc>
      </w:tr>
      <w:tr w:rsidR="00557A6F" w:rsidTr="00557A6F">
        <w:trPr>
          <w:trHeight w:val="640"/>
        </w:trPr>
        <w:tc>
          <w:tcPr>
            <w:tcW w:w="1140" w:type="dxa"/>
          </w:tcPr>
          <w:p w:rsidR="00557A6F" w:rsidRDefault="00557A6F" w:rsidP="00557A6F">
            <w:r>
              <w:t>45</w:t>
            </w:r>
          </w:p>
        </w:tc>
        <w:tc>
          <w:tcPr>
            <w:tcW w:w="4560" w:type="dxa"/>
          </w:tcPr>
          <w:p w:rsidR="00557A6F" w:rsidRDefault="00557A6F" w:rsidP="00557A6F">
            <w:r>
              <w:t>Større utstyrsanskaffelser og vedlikehold</w:t>
            </w:r>
            <w:r>
              <w:rPr>
                <w:rStyle w:val="kursiv"/>
                <w:sz w:val="21"/>
                <w:szCs w:val="21"/>
              </w:rPr>
              <w:t xml:space="preserve">, </w:t>
            </w:r>
            <w:r>
              <w:rPr>
                <w:rStyle w:val="kursiv"/>
                <w:sz w:val="21"/>
                <w:szCs w:val="21"/>
              </w:rPr>
              <w:br/>
              <w:t xml:space="preserve">kan overføres </w:t>
            </w:r>
          </w:p>
        </w:tc>
        <w:tc>
          <w:tcPr>
            <w:tcW w:w="1140" w:type="dxa"/>
          </w:tcPr>
          <w:p w:rsidR="00557A6F" w:rsidRDefault="00557A6F" w:rsidP="00557A6F">
            <w:pPr>
              <w:jc w:val="right"/>
            </w:pPr>
            <w:r>
              <w:t>28 369</w:t>
            </w:r>
          </w:p>
        </w:tc>
        <w:tc>
          <w:tcPr>
            <w:tcW w:w="1140" w:type="dxa"/>
          </w:tcPr>
          <w:p w:rsidR="00557A6F" w:rsidRDefault="00557A6F" w:rsidP="00557A6F">
            <w:pPr>
              <w:jc w:val="right"/>
            </w:pPr>
            <w:r>
              <w:t>49 869</w:t>
            </w:r>
          </w:p>
        </w:tc>
        <w:tc>
          <w:tcPr>
            <w:tcW w:w="1140" w:type="dxa"/>
          </w:tcPr>
          <w:p w:rsidR="00557A6F" w:rsidRDefault="00557A6F" w:rsidP="00557A6F">
            <w:pPr>
              <w:jc w:val="right"/>
            </w:pPr>
            <w:r>
              <w:t>21 083</w:t>
            </w:r>
          </w:p>
        </w:tc>
      </w:tr>
      <w:tr w:rsidR="00557A6F" w:rsidTr="00557A6F">
        <w:trPr>
          <w:trHeight w:val="380"/>
        </w:trPr>
        <w:tc>
          <w:tcPr>
            <w:tcW w:w="1140" w:type="dxa"/>
          </w:tcPr>
          <w:p w:rsidR="00557A6F" w:rsidRDefault="00557A6F" w:rsidP="00557A6F">
            <w:r>
              <w:t>46</w:t>
            </w:r>
          </w:p>
        </w:tc>
        <w:tc>
          <w:tcPr>
            <w:tcW w:w="4560" w:type="dxa"/>
          </w:tcPr>
          <w:p w:rsidR="00557A6F" w:rsidRDefault="00557A6F" w:rsidP="00557A6F">
            <w:r>
              <w:t>Sikringsanlegg og sperresystemer</w:t>
            </w:r>
            <w:r>
              <w:rPr>
                <w:rStyle w:val="kursiv"/>
                <w:sz w:val="21"/>
                <w:szCs w:val="21"/>
              </w:rPr>
              <w:t xml:space="preserve">, kan overføres </w:t>
            </w:r>
          </w:p>
        </w:tc>
        <w:tc>
          <w:tcPr>
            <w:tcW w:w="1140" w:type="dxa"/>
          </w:tcPr>
          <w:p w:rsidR="00557A6F" w:rsidRDefault="00557A6F" w:rsidP="00557A6F">
            <w:pPr>
              <w:jc w:val="right"/>
            </w:pPr>
            <w:r>
              <w:t>11 680</w:t>
            </w:r>
          </w:p>
        </w:tc>
        <w:tc>
          <w:tcPr>
            <w:tcW w:w="1140" w:type="dxa"/>
          </w:tcPr>
          <w:p w:rsidR="00557A6F" w:rsidRDefault="00557A6F" w:rsidP="00557A6F">
            <w:pPr>
              <w:jc w:val="right"/>
            </w:pPr>
            <w:r>
              <w:t>8 565</w:t>
            </w:r>
          </w:p>
        </w:tc>
        <w:tc>
          <w:tcPr>
            <w:tcW w:w="1140" w:type="dxa"/>
          </w:tcPr>
          <w:p w:rsidR="00557A6F" w:rsidRDefault="00557A6F" w:rsidP="00557A6F">
            <w:pPr>
              <w:jc w:val="right"/>
            </w:pPr>
            <w:r>
              <w:t>8 779</w:t>
            </w:r>
          </w:p>
        </w:tc>
      </w:tr>
      <w:tr w:rsidR="00557A6F" w:rsidTr="00557A6F">
        <w:trPr>
          <w:trHeight w:val="380"/>
        </w:trPr>
        <w:tc>
          <w:tcPr>
            <w:tcW w:w="1140" w:type="dxa"/>
          </w:tcPr>
          <w:p w:rsidR="00557A6F" w:rsidRDefault="00557A6F" w:rsidP="00557A6F"/>
        </w:tc>
        <w:tc>
          <w:tcPr>
            <w:tcW w:w="4560" w:type="dxa"/>
          </w:tcPr>
          <w:p w:rsidR="00557A6F" w:rsidRDefault="00557A6F" w:rsidP="00557A6F">
            <w:r>
              <w:t>Sum kap. 0510</w:t>
            </w:r>
          </w:p>
        </w:tc>
        <w:tc>
          <w:tcPr>
            <w:tcW w:w="1140" w:type="dxa"/>
          </w:tcPr>
          <w:p w:rsidR="00557A6F" w:rsidRDefault="00557A6F" w:rsidP="00557A6F">
            <w:pPr>
              <w:jc w:val="right"/>
            </w:pPr>
            <w:r>
              <w:t>866 509</w:t>
            </w:r>
          </w:p>
        </w:tc>
        <w:tc>
          <w:tcPr>
            <w:tcW w:w="1140" w:type="dxa"/>
          </w:tcPr>
          <w:p w:rsidR="00557A6F" w:rsidRDefault="00557A6F" w:rsidP="00557A6F">
            <w:pPr>
              <w:jc w:val="right"/>
            </w:pPr>
            <w:r>
              <w:t>886 380</w:t>
            </w:r>
          </w:p>
        </w:tc>
        <w:tc>
          <w:tcPr>
            <w:tcW w:w="1140" w:type="dxa"/>
          </w:tcPr>
          <w:p w:rsidR="00557A6F" w:rsidRDefault="00557A6F" w:rsidP="00557A6F">
            <w:pPr>
              <w:jc w:val="right"/>
            </w:pPr>
            <w:r>
              <w:t>866 020</w:t>
            </w:r>
          </w:p>
        </w:tc>
      </w:tr>
    </w:tbl>
    <w:p w:rsidR="00557A6F" w:rsidRDefault="00557A6F" w:rsidP="00557A6F">
      <w:pPr>
        <w:pStyle w:val="tabell-noter"/>
      </w:pPr>
      <w:r>
        <w:t>Vedrørende 2019: Ved Stortingets vedtak av 21. juni 2019 ble post 23 redusert med 0,7 mill. kroner til 11,6 mill. kr</w:t>
      </w:r>
      <w:r>
        <w:t>o</w:t>
      </w:r>
      <w:r>
        <w:t>ner og post 45 ble økt med 2,8 mill. kroner til 52,7 mill. kroner, jf. Prop. 114 S og Innst. 391 S (2018–2019).</w:t>
      </w:r>
    </w:p>
    <w:p w:rsidR="00557A6F" w:rsidRDefault="00557A6F" w:rsidP="00557A6F">
      <w:r>
        <w:lastRenderedPageBreak/>
        <w:t>Departementenes sikkerhets- og serviceorganisasjon (DSS) skal levere gode og effektive fellestj</w:t>
      </w:r>
      <w:r>
        <w:t>e</w:t>
      </w:r>
      <w:r>
        <w:t>nester til departementene og Statsministerens kontor. DSS leverer tjenester innenfor områdene a</w:t>
      </w:r>
      <w:r>
        <w:t>n</w:t>
      </w:r>
      <w:r>
        <w:t>skaffelser, bedriftshelsetjeneste, post- og varemottak, resepsjon, kantine, renhold, møteromstjene</w:t>
      </w:r>
      <w:r>
        <w:t>s</w:t>
      </w:r>
      <w:r>
        <w:t>ter, IKT og digitale innholdstjenester, vakthold og sikring mv. DSS skal styrkes som hovedlev</w:t>
      </w:r>
      <w:r>
        <w:t>e</w:t>
      </w:r>
      <w:r>
        <w:t>randør av fellestjenester, og oppgaver innenfor HR og arkiv- og dokumentforvaltning skal etableres som nye fellestjenester.</w:t>
      </w:r>
    </w:p>
    <w:p w:rsidR="00557A6F" w:rsidRDefault="00557A6F" w:rsidP="00557A6F">
      <w:pPr>
        <w:pStyle w:val="b-post"/>
      </w:pPr>
      <w:r>
        <w:t>Post 01 Driftsutgifter</w:t>
      </w:r>
    </w:p>
    <w:p w:rsidR="00557A6F" w:rsidRDefault="00557A6F" w:rsidP="00557A6F">
      <w:r>
        <w:t>Bevilgningen dekker utgifter til lønn og andre driftsutgifter for DSS. I tillegg dekker bevilgningen utgifter til fellestjenester for departementsfellesskapet og Statsministerens kontor.</w:t>
      </w:r>
    </w:p>
    <w:p w:rsidR="00557A6F" w:rsidRDefault="00557A6F" w:rsidP="00557A6F">
      <w:pPr>
        <w:pStyle w:val="avsnitt-tittel"/>
      </w:pPr>
      <w:r>
        <w:t>Rapport</w:t>
      </w:r>
    </w:p>
    <w:p w:rsidR="00557A6F" w:rsidRDefault="00557A6F" w:rsidP="00557A6F">
      <w:r>
        <w:t>DSS har arbeidet med å utvikle standardiserte fellesløsninger som understøtter og effektiviserer depa</w:t>
      </w:r>
      <w:r>
        <w:t>r</w:t>
      </w:r>
      <w:r>
        <w:t>tementenes kjerneprosesser. I 2018 er det blant annet lansert løsninger for utarbeidelse av statsbudsjettet og spørsmål fra Stortinget. DSS har inngått avtale om levering av renholdstjenester til Forsvarsdepart</w:t>
      </w:r>
      <w:r>
        <w:t>e</w:t>
      </w:r>
      <w:r>
        <w:t>mentet og Statsministerens kontor fra 2019.</w:t>
      </w:r>
    </w:p>
    <w:p w:rsidR="00557A6F" w:rsidRDefault="00557A6F" w:rsidP="00557A6F">
      <w:r>
        <w:t>DSS hadde også i 2018 et særlig høyt antall lærlinger med totalt 15 lærlinger. 12 av lærlingene er plassert inne</w:t>
      </w:r>
      <w:r>
        <w:t>n</w:t>
      </w:r>
      <w:r>
        <w:t>for sikkerhetsområdet, to innenfor digitale tjenester og en innenfor grafisk område.</w:t>
      </w:r>
    </w:p>
    <w:p w:rsidR="00557A6F" w:rsidRDefault="00557A6F" w:rsidP="00557A6F">
      <w:r>
        <w:t>DSS har hatt ansvaret for driften av 22. juli-senteret fram til det ble overført til Kunnskapsdepa</w:t>
      </w:r>
      <w:r>
        <w:t>r</w:t>
      </w:r>
      <w:r>
        <w:t>tementet 1. juli 2019.</w:t>
      </w:r>
    </w:p>
    <w:p w:rsidR="00557A6F" w:rsidRDefault="00557A6F" w:rsidP="00557A6F">
      <w:r>
        <w:t>Klareringen av egne ansatte er overført til Sivil klareringsmyndighet.</w:t>
      </w:r>
    </w:p>
    <w:p w:rsidR="00557A6F" w:rsidRDefault="00557A6F" w:rsidP="00557A6F">
      <w:pPr>
        <w:pStyle w:val="avsnitt-tittel"/>
      </w:pPr>
      <w:r>
        <w:t>Budsjettforslag</w:t>
      </w:r>
    </w:p>
    <w:p w:rsidR="00557A6F" w:rsidRDefault="00557A6F" w:rsidP="00557A6F">
      <w:r>
        <w:t xml:space="preserve">Posten foreslås økt med 3,1 mill. kroner for å </w:t>
      </w:r>
      <w:r>
        <w:rPr>
          <w:spacing w:val="3"/>
        </w:rPr>
        <w:t>dekke merkostnader til husleie ved flytting fra Y</w:t>
      </w:r>
      <w:r>
        <w:t>-blokka til lokaler i Kongensgate.</w:t>
      </w:r>
    </w:p>
    <w:p w:rsidR="00557A6F" w:rsidRDefault="00557A6F" w:rsidP="00557A6F">
      <w:r>
        <w:t>Inkludert avbyråkratiserings- og effektiviseringsreformen og lønns- og prisjusteringer, foreslås det en samlet bevilgning på 640,3 mill. kroner.</w:t>
      </w:r>
    </w:p>
    <w:p w:rsidR="00557A6F" w:rsidRDefault="00557A6F" w:rsidP="00557A6F">
      <w:r>
        <w:t>Det foreslås at bevilgningen kan overskrides mot tilsvarende merinntekter under kap. 3510, postene 02 og 03, jf. forslag til romertallsvedtak.</w:t>
      </w:r>
    </w:p>
    <w:p w:rsidR="00557A6F" w:rsidRDefault="00557A6F" w:rsidP="00557A6F">
      <w:pPr>
        <w:pStyle w:val="b-post"/>
      </w:pPr>
      <w:r>
        <w:t>Post 21 Spesielle driftsutgifter, kan overføres</w:t>
      </w:r>
    </w:p>
    <w:p w:rsidR="00557A6F" w:rsidRDefault="00557A6F" w:rsidP="00557A6F">
      <w:r>
        <w:t>Bevilgningen skal dekke deler av IKT-tjenestene som DSS leverer til departementene på felles IKT-plattform. Standardiserte løsninger som hvert enkelt departement har behov for, skal være obligat</w:t>
      </w:r>
      <w:r>
        <w:t>o</w:t>
      </w:r>
      <w:r>
        <w:t>riske og bevilgningsfinansierte.</w:t>
      </w:r>
    </w:p>
    <w:p w:rsidR="00557A6F" w:rsidRDefault="00557A6F" w:rsidP="00557A6F">
      <w:r>
        <w:t>Inkludert avbyråkratiserings- og effektiviseringsreformen og prisjustering, foreslås det en bevil</w:t>
      </w:r>
      <w:r>
        <w:t>g</w:t>
      </w:r>
      <w:r>
        <w:t>ning på 61,2 mill. kroner.</w:t>
      </w:r>
    </w:p>
    <w:p w:rsidR="00557A6F" w:rsidRDefault="00557A6F" w:rsidP="00557A6F">
      <w:pPr>
        <w:pStyle w:val="b-post"/>
      </w:pPr>
      <w:r>
        <w:t>Post 22 Fellesutgifter</w:t>
      </w:r>
    </w:p>
    <w:p w:rsidR="00557A6F" w:rsidRDefault="00557A6F" w:rsidP="00557A6F">
      <w:r>
        <w:t>Bevilgningen dekker deler av fellesutgiftene for departementsfellesskapet. Dette gjelder blant annet husleie for fellesareal, statsforvaltningens avtale med Kopinor og drifts- og vedlikeholdsavtaler samt utvi</w:t>
      </w:r>
      <w:r>
        <w:t>k</w:t>
      </w:r>
      <w:r>
        <w:t>lingskostnader for regjeringen.no.</w:t>
      </w:r>
    </w:p>
    <w:p w:rsidR="00557A6F" w:rsidRDefault="00557A6F" w:rsidP="00557A6F">
      <w:r>
        <w:t>Om lag 100 mill. kroner av utgiftene gikk i 2018 til dekning av husleie, energi og brukeravhengige driftskostn</w:t>
      </w:r>
      <w:r>
        <w:t>a</w:t>
      </w:r>
      <w:r>
        <w:t>der for felles arealer i regjeringskvartalet. Til dekning av statens avtale med Kopinor, utenom forsvarssektoren, ble det utgiftsført om lag 9 mill. kroner. Resterende bevilgning er beny</w:t>
      </w:r>
      <w:r>
        <w:t>t</w:t>
      </w:r>
      <w:r>
        <w:t>tet til kjøp av tjenester for drift og utvi</w:t>
      </w:r>
      <w:r>
        <w:t>k</w:t>
      </w:r>
      <w:r>
        <w:t xml:space="preserve">ling av regjeringen.no </w:t>
      </w:r>
    </w:p>
    <w:p w:rsidR="00557A6F" w:rsidRDefault="00557A6F" w:rsidP="00557A6F">
      <w:r>
        <w:t>Bevilgningen foreslås økt med 1,8 mill. kroner til husleie for 22. juli-senteret, jf. omtale under post 23. Bevil</w:t>
      </w:r>
      <w:r>
        <w:t>g</w:t>
      </w:r>
      <w:r>
        <w:t>ningen foreslås redusert med 1,3 mill. kroner som følge av redusert husleie etter riving av R4.</w:t>
      </w:r>
    </w:p>
    <w:p w:rsidR="00557A6F" w:rsidRDefault="00557A6F" w:rsidP="00557A6F">
      <w:r>
        <w:t>Inkludert avbyråkratiserings- og effektiviseringsreformen og prisjustering, foreslås det en samlet b</w:t>
      </w:r>
      <w:r>
        <w:t>e</w:t>
      </w:r>
      <w:r>
        <w:t>vilgning på 134,7 mill. kroner.</w:t>
      </w:r>
    </w:p>
    <w:p w:rsidR="00557A6F" w:rsidRDefault="00557A6F" w:rsidP="00557A6F">
      <w:pPr>
        <w:pStyle w:val="b-post"/>
      </w:pPr>
      <w:r>
        <w:lastRenderedPageBreak/>
        <w:t>Post 23 22. juli-senteret</w:t>
      </w:r>
    </w:p>
    <w:p w:rsidR="00557A6F" w:rsidRDefault="00557A6F" w:rsidP="00557A6F">
      <w:r>
        <w:t>Bevilgningen har dekket drift av 22. juli-senteret. 22. juli-senterets oppgave er å formidle kunnskap om terrorangrepene i regjeringskvartalet og på Utøya 22. juli 2011. Senteret skal gjennom utsti</w:t>
      </w:r>
      <w:r>
        <w:t>l</w:t>
      </w:r>
      <w:r>
        <w:t>lingen og p</w:t>
      </w:r>
      <w:r>
        <w:t>e</w:t>
      </w:r>
      <w:r>
        <w:t>dagogisk opplegg bidra til refleksjon og læring for nye generasjoner.</w:t>
      </w:r>
    </w:p>
    <w:p w:rsidR="00557A6F" w:rsidRDefault="00557A6F" w:rsidP="00557A6F">
      <w:r>
        <w:t>Senteret er åpent for alle, men har skoleelever på ungdomstrinnet og i videregående opplæring som sin primære målgruppe. Læringssenteret har i 2018 tilbudt flere egenutviklede undervisningstilbud til skoleklasser og hadde undervisning for 11 500 elever. Senteret har samarbeidet med formi</w:t>
      </w:r>
      <w:r>
        <w:t>d</w:t>
      </w:r>
      <w:r>
        <w:t>lings- og læringssenteret på Utøya og Det Europeiske Wergelandssenteret om et opplegg for d</w:t>
      </w:r>
      <w:r>
        <w:t>e</w:t>
      </w:r>
      <w:r>
        <w:t>mokratilæring for elever. Siden åpningen i 2015 og til 31. juli 2019 har det totalt vært over 197 000 besøkende.</w:t>
      </w:r>
    </w:p>
    <w:p w:rsidR="00557A6F" w:rsidRDefault="00557A6F" w:rsidP="00557A6F">
      <w:r>
        <w:t xml:space="preserve">Det ble i forbindelse med revidert nasjonalbudsjett 2019 besluttet at ansvaret for 22. juli-senteret skulle overføres til Kunnskapsdepartementet fra 1. juli 2019. Lokalene til senteret med tilhørende husleie skal fortsatt ivaretas av DSS. </w:t>
      </w:r>
    </w:p>
    <w:p w:rsidR="00557A6F" w:rsidRDefault="00557A6F" w:rsidP="00557A6F">
      <w:r>
        <w:t>Det foreslås å overføre 9,1 mill. kroner fra kap. 510, post 23 til kap. 251, post 01 under Kun</w:t>
      </w:r>
      <w:r>
        <w:t>n</w:t>
      </w:r>
      <w:r>
        <w:t>skapsdepartementet. Utgiftene til husleie er redusert fra 3,5 mill. kroner til 1,8 mill. kroner og for</w:t>
      </w:r>
      <w:r>
        <w:t>e</w:t>
      </w:r>
      <w:r>
        <w:t>slås overført til kap. 510, post 22. Det foreslås ikke bevilgning på posten i 2020.</w:t>
      </w:r>
    </w:p>
    <w:p w:rsidR="00557A6F" w:rsidRDefault="00557A6F" w:rsidP="00557A6F">
      <w:pPr>
        <w:pStyle w:val="b-post"/>
      </w:pPr>
      <w:r>
        <w:t>Post 45 Større utstyrsanskaffelser og vedlikehold, kan overføres</w:t>
      </w:r>
    </w:p>
    <w:p w:rsidR="00557A6F" w:rsidRDefault="00557A6F" w:rsidP="00557A6F">
      <w:r>
        <w:t>Bevilgningen skal dekke utgifter til investeringer, vedlikehold og utskiftinger av utstyr.</w:t>
      </w:r>
    </w:p>
    <w:p w:rsidR="00557A6F" w:rsidRDefault="00557A6F" w:rsidP="00557A6F">
      <w:r>
        <w:t>Bevilgningen ble i 2018 benyttet til å utbedre kantineløsningen for departementene, nye maskiner til renholdstj</w:t>
      </w:r>
      <w:r>
        <w:t>e</w:t>
      </w:r>
      <w:r>
        <w:t xml:space="preserve">nesten, teknisk utstyr for vakt- og resepsjonstjenestene og utstyr til IKT infrastruktur. </w:t>
      </w:r>
    </w:p>
    <w:p w:rsidR="00557A6F" w:rsidRDefault="00557A6F" w:rsidP="00557A6F">
      <w:r>
        <w:t>Arbeidet med etablering av løsning for sikring av informasjon ved samhandling er sluttført i 2018, og løsningen er tilgjengelig i 2019 for innføring i departementene på felles plattform. Løsningen kan benyttes for samhandling med både interne og eksterne aktører.</w:t>
      </w:r>
    </w:p>
    <w:p w:rsidR="00557A6F" w:rsidRDefault="00557A6F" w:rsidP="00557A6F">
      <w:r>
        <w:t>Arbeidet med omplassering av funksjoner i DSS og ombygging og flytting til nye midlertidige l</w:t>
      </w:r>
      <w:r>
        <w:t>o</w:t>
      </w:r>
      <w:r>
        <w:t>kaler for 22. juli-senteret skal sluttføres i 2019. Bevilgningen gitt i 2018 er benyttet til å klargjøre de nye lokalene for fun</w:t>
      </w:r>
      <w:r>
        <w:t>k</w:t>
      </w:r>
      <w:r>
        <w:t>sjonene som er flyttet.</w:t>
      </w:r>
    </w:p>
    <w:p w:rsidR="00557A6F" w:rsidRDefault="00557A6F" w:rsidP="00557A6F">
      <w:r>
        <w:t>Bevilgningen foreslås redusert med 29,3 mill. kroner, hvorav 8 mill. kroner i forbindelse med fly</w:t>
      </w:r>
      <w:r>
        <w:t>t</w:t>
      </w:r>
      <w:r>
        <w:t>ting av 22. j</w:t>
      </w:r>
      <w:r>
        <w:t>u</w:t>
      </w:r>
      <w:r>
        <w:t>li-senteret og 21,3 mill. kroner til flytting av DSS-ansatte i forbindelse med riving av Y-blokka og R4/M1.</w:t>
      </w:r>
    </w:p>
    <w:p w:rsidR="00557A6F" w:rsidRDefault="00557A6F" w:rsidP="00557A6F">
      <w:r>
        <w:t>Inkludert prisjustering foreslås det en samlet bevilgning på 21,1 mill. kroner.</w:t>
      </w:r>
    </w:p>
    <w:p w:rsidR="00557A6F" w:rsidRDefault="00557A6F" w:rsidP="00557A6F">
      <w:pPr>
        <w:pStyle w:val="b-post"/>
      </w:pPr>
      <w:r>
        <w:t>Post 46 Sikringsanlegg og sperresystemer, kan overføres</w:t>
      </w:r>
    </w:p>
    <w:p w:rsidR="00557A6F" w:rsidRDefault="00557A6F" w:rsidP="00557A6F">
      <w:r>
        <w:t>Bevilgningen dekker utgifter til investeringer, vedlikehold og utskiftning av elektroniske sikring</w:t>
      </w:r>
      <w:r>
        <w:t>s</w:t>
      </w:r>
      <w:r>
        <w:t>anlegg og vedlikehold av sperresystemer i regjeringsbyggene.</w:t>
      </w:r>
    </w:p>
    <w:p w:rsidR="00557A6F" w:rsidRDefault="00557A6F" w:rsidP="00557A6F">
      <w:r>
        <w:t>Bevilgningen er i all hovedsak benyttet til investeringer og vedlikehold av elektroniske sikkerhet</w:t>
      </w:r>
      <w:r>
        <w:t>s</w:t>
      </w:r>
      <w:r>
        <w:t>systemer og teknisk sikringsutstyr samt vedlikehold av kjøretøysperrer.</w:t>
      </w:r>
    </w:p>
    <w:p w:rsidR="00557A6F" w:rsidRDefault="00557A6F" w:rsidP="00557A6F">
      <w:r>
        <w:t>Inkludert prisjustering foreslås det en bevilgning på 8,8 mill. kroner.</w:t>
      </w:r>
    </w:p>
    <w:p w:rsidR="00557A6F" w:rsidRDefault="00557A6F" w:rsidP="00557A6F">
      <w:pPr>
        <w:pStyle w:val="b-budkaptit"/>
      </w:pPr>
      <w:r>
        <w:t>Kap. 3510 Departementenes sikkerhets- og serviceorganisasjon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7A6F" w:rsidTr="00557A6F">
        <w:trPr>
          <w:trHeight w:val="640"/>
        </w:trPr>
        <w:tc>
          <w:tcPr>
            <w:tcW w:w="1140" w:type="dxa"/>
            <w:shd w:val="clear" w:color="auto" w:fill="FFFFFF"/>
          </w:tcPr>
          <w:p w:rsidR="00557A6F" w:rsidRDefault="00557A6F" w:rsidP="00557A6F">
            <w:pPr>
              <w:pStyle w:val="Tabellnavn"/>
            </w:pPr>
            <w:r>
              <w:t>KPAL</w:t>
            </w:r>
          </w:p>
        </w:tc>
        <w:tc>
          <w:tcPr>
            <w:tcW w:w="4560" w:type="dxa"/>
          </w:tcPr>
          <w:p w:rsidR="00557A6F" w:rsidRDefault="00557A6F" w:rsidP="00557A6F"/>
        </w:tc>
        <w:tc>
          <w:tcPr>
            <w:tcW w:w="1140" w:type="dxa"/>
          </w:tcPr>
          <w:p w:rsidR="00557A6F" w:rsidRDefault="00557A6F" w:rsidP="00557A6F">
            <w:pPr>
              <w:pStyle w:val="Tabellnavn"/>
              <w:jc w:val="right"/>
            </w:pPr>
          </w:p>
        </w:tc>
        <w:tc>
          <w:tcPr>
            <w:tcW w:w="1140" w:type="dxa"/>
          </w:tcPr>
          <w:p w:rsidR="00557A6F" w:rsidRDefault="00557A6F" w:rsidP="00557A6F">
            <w:pPr>
              <w:pStyle w:val="Tabellnavn"/>
              <w:jc w:val="right"/>
            </w:pPr>
          </w:p>
        </w:tc>
        <w:tc>
          <w:tcPr>
            <w:tcW w:w="1140" w:type="dxa"/>
          </w:tcPr>
          <w:p w:rsidR="00557A6F" w:rsidRDefault="00557A6F" w:rsidP="00557A6F">
            <w:pPr>
              <w:jc w:val="right"/>
            </w:pPr>
            <w:r>
              <w:t>(i 1 000 kr)</w:t>
            </w:r>
          </w:p>
        </w:tc>
      </w:tr>
      <w:tr w:rsidR="00557A6F" w:rsidTr="00557A6F">
        <w:trPr>
          <w:trHeight w:val="600"/>
        </w:trPr>
        <w:tc>
          <w:tcPr>
            <w:tcW w:w="1140" w:type="dxa"/>
          </w:tcPr>
          <w:p w:rsidR="00557A6F" w:rsidRDefault="00557A6F" w:rsidP="00557A6F">
            <w:r>
              <w:t>Post</w:t>
            </w:r>
          </w:p>
        </w:tc>
        <w:tc>
          <w:tcPr>
            <w:tcW w:w="4560" w:type="dxa"/>
          </w:tcPr>
          <w:p w:rsidR="00557A6F" w:rsidRDefault="00557A6F" w:rsidP="00557A6F">
            <w:r>
              <w:t>Betegnelse</w:t>
            </w:r>
          </w:p>
        </w:tc>
        <w:tc>
          <w:tcPr>
            <w:tcW w:w="1140" w:type="dxa"/>
          </w:tcPr>
          <w:p w:rsidR="00557A6F" w:rsidRDefault="00557A6F" w:rsidP="00557A6F">
            <w:pPr>
              <w:jc w:val="right"/>
            </w:pPr>
            <w:r>
              <w:t>Regnskap 2018</w:t>
            </w:r>
          </w:p>
        </w:tc>
        <w:tc>
          <w:tcPr>
            <w:tcW w:w="1140" w:type="dxa"/>
          </w:tcPr>
          <w:p w:rsidR="00557A6F" w:rsidRDefault="00557A6F" w:rsidP="00557A6F">
            <w:pPr>
              <w:jc w:val="right"/>
            </w:pPr>
            <w:r>
              <w:t xml:space="preserve">Saldert </w:t>
            </w:r>
            <w:r>
              <w:br/>
              <w:t>budsjett 2019</w:t>
            </w:r>
          </w:p>
        </w:tc>
        <w:tc>
          <w:tcPr>
            <w:tcW w:w="1140" w:type="dxa"/>
          </w:tcPr>
          <w:p w:rsidR="00557A6F" w:rsidRDefault="00557A6F" w:rsidP="00557A6F">
            <w:pPr>
              <w:jc w:val="right"/>
            </w:pPr>
            <w:r>
              <w:t xml:space="preserve">Forslag </w:t>
            </w:r>
            <w:r>
              <w:br/>
              <w:t>2020</w:t>
            </w:r>
          </w:p>
        </w:tc>
      </w:tr>
      <w:tr w:rsidR="00557A6F" w:rsidTr="00557A6F">
        <w:trPr>
          <w:trHeight w:val="380"/>
        </w:trPr>
        <w:tc>
          <w:tcPr>
            <w:tcW w:w="1140" w:type="dxa"/>
          </w:tcPr>
          <w:p w:rsidR="00557A6F" w:rsidRDefault="00557A6F" w:rsidP="00557A6F">
            <w:r>
              <w:t>02</w:t>
            </w:r>
          </w:p>
        </w:tc>
        <w:tc>
          <w:tcPr>
            <w:tcW w:w="4560" w:type="dxa"/>
          </w:tcPr>
          <w:p w:rsidR="00557A6F" w:rsidRDefault="00557A6F" w:rsidP="00557A6F">
            <w:r>
              <w:t xml:space="preserve">Diverse inntekter </w:t>
            </w:r>
          </w:p>
        </w:tc>
        <w:tc>
          <w:tcPr>
            <w:tcW w:w="1140" w:type="dxa"/>
          </w:tcPr>
          <w:p w:rsidR="00557A6F" w:rsidRDefault="00557A6F" w:rsidP="00557A6F">
            <w:pPr>
              <w:jc w:val="right"/>
            </w:pPr>
            <w:r>
              <w:t>43 850</w:t>
            </w:r>
          </w:p>
        </w:tc>
        <w:tc>
          <w:tcPr>
            <w:tcW w:w="1140" w:type="dxa"/>
          </w:tcPr>
          <w:p w:rsidR="00557A6F" w:rsidRDefault="00557A6F" w:rsidP="00557A6F">
            <w:pPr>
              <w:jc w:val="right"/>
            </w:pPr>
            <w:r>
              <w:t>22 166</w:t>
            </w:r>
          </w:p>
        </w:tc>
        <w:tc>
          <w:tcPr>
            <w:tcW w:w="1140" w:type="dxa"/>
          </w:tcPr>
          <w:p w:rsidR="00557A6F" w:rsidRDefault="00557A6F" w:rsidP="00557A6F">
            <w:pPr>
              <w:jc w:val="right"/>
            </w:pPr>
            <w:r>
              <w:t>22 761</w:t>
            </w:r>
          </w:p>
        </w:tc>
      </w:tr>
      <w:tr w:rsidR="00557A6F" w:rsidTr="00557A6F">
        <w:trPr>
          <w:trHeight w:val="380"/>
        </w:trPr>
        <w:tc>
          <w:tcPr>
            <w:tcW w:w="1140" w:type="dxa"/>
          </w:tcPr>
          <w:p w:rsidR="00557A6F" w:rsidRDefault="00557A6F" w:rsidP="00557A6F">
            <w:r>
              <w:t>03</w:t>
            </w:r>
          </w:p>
        </w:tc>
        <w:tc>
          <w:tcPr>
            <w:tcW w:w="4560" w:type="dxa"/>
          </w:tcPr>
          <w:p w:rsidR="00557A6F" w:rsidRDefault="00557A6F" w:rsidP="00557A6F">
            <w:r>
              <w:t xml:space="preserve">Brukerbetaling </w:t>
            </w:r>
          </w:p>
        </w:tc>
        <w:tc>
          <w:tcPr>
            <w:tcW w:w="1140" w:type="dxa"/>
          </w:tcPr>
          <w:p w:rsidR="00557A6F" w:rsidRDefault="00557A6F" w:rsidP="00557A6F">
            <w:pPr>
              <w:jc w:val="right"/>
            </w:pPr>
            <w:r>
              <w:t>127 612</w:t>
            </w:r>
          </w:p>
        </w:tc>
        <w:tc>
          <w:tcPr>
            <w:tcW w:w="1140" w:type="dxa"/>
          </w:tcPr>
          <w:p w:rsidR="00557A6F" w:rsidRDefault="00557A6F" w:rsidP="00557A6F">
            <w:pPr>
              <w:jc w:val="right"/>
            </w:pPr>
            <w:r>
              <w:t>67 540</w:t>
            </w:r>
          </w:p>
        </w:tc>
        <w:tc>
          <w:tcPr>
            <w:tcW w:w="1140" w:type="dxa"/>
          </w:tcPr>
          <w:p w:rsidR="00557A6F" w:rsidRDefault="00557A6F" w:rsidP="00557A6F">
            <w:pPr>
              <w:jc w:val="right"/>
            </w:pPr>
            <w:r>
              <w:t>62 295</w:t>
            </w:r>
          </w:p>
        </w:tc>
      </w:tr>
      <w:tr w:rsidR="00557A6F" w:rsidTr="00557A6F">
        <w:trPr>
          <w:trHeight w:val="380"/>
        </w:trPr>
        <w:tc>
          <w:tcPr>
            <w:tcW w:w="1140" w:type="dxa"/>
          </w:tcPr>
          <w:p w:rsidR="00557A6F" w:rsidRDefault="00557A6F" w:rsidP="00557A6F"/>
        </w:tc>
        <w:tc>
          <w:tcPr>
            <w:tcW w:w="4560" w:type="dxa"/>
          </w:tcPr>
          <w:p w:rsidR="00557A6F" w:rsidRDefault="00557A6F" w:rsidP="00557A6F">
            <w:r>
              <w:t>Sum kap. 3510</w:t>
            </w:r>
          </w:p>
        </w:tc>
        <w:tc>
          <w:tcPr>
            <w:tcW w:w="1140" w:type="dxa"/>
          </w:tcPr>
          <w:p w:rsidR="00557A6F" w:rsidRDefault="00557A6F" w:rsidP="00557A6F">
            <w:pPr>
              <w:jc w:val="right"/>
            </w:pPr>
            <w:r>
              <w:t>171 462</w:t>
            </w:r>
          </w:p>
        </w:tc>
        <w:tc>
          <w:tcPr>
            <w:tcW w:w="1140" w:type="dxa"/>
          </w:tcPr>
          <w:p w:rsidR="00557A6F" w:rsidRDefault="00557A6F" w:rsidP="00557A6F">
            <w:pPr>
              <w:jc w:val="right"/>
            </w:pPr>
            <w:r>
              <w:t>89 706</w:t>
            </w:r>
          </w:p>
        </w:tc>
        <w:tc>
          <w:tcPr>
            <w:tcW w:w="1140" w:type="dxa"/>
          </w:tcPr>
          <w:p w:rsidR="00557A6F" w:rsidRDefault="00557A6F" w:rsidP="00557A6F">
            <w:pPr>
              <w:jc w:val="right"/>
            </w:pPr>
            <w:r>
              <w:t>85 056</w:t>
            </w:r>
          </w:p>
        </w:tc>
      </w:tr>
    </w:tbl>
    <w:p w:rsidR="00557A6F" w:rsidRDefault="00557A6F" w:rsidP="00557A6F">
      <w:pPr>
        <w:pStyle w:val="b-post"/>
      </w:pPr>
      <w:r>
        <w:t>Post 02 Diverse inntekter</w:t>
      </w:r>
    </w:p>
    <w:p w:rsidR="00557A6F" w:rsidRDefault="00557A6F" w:rsidP="00557A6F">
      <w:r>
        <w:t>På posten føres blant annet betaling for standard- og tilleggstjenester til Stortinget, Høyesterett og drift</w:t>
      </w:r>
      <w:r>
        <w:t>s</w:t>
      </w:r>
      <w:r>
        <w:t xml:space="preserve">inntekter for Statens servicesenter i Engerdal. </w:t>
      </w:r>
    </w:p>
    <w:p w:rsidR="00557A6F" w:rsidRDefault="00557A6F" w:rsidP="00557A6F">
      <w:r>
        <w:t>Det foreslås en bevilgning på 22,8 mill. kroner.</w:t>
      </w:r>
    </w:p>
    <w:p w:rsidR="00557A6F" w:rsidRDefault="00557A6F" w:rsidP="00557A6F">
      <w:pPr>
        <w:pStyle w:val="b-post"/>
      </w:pPr>
      <w:r>
        <w:t>Post 03 Brukerbetaling</w:t>
      </w:r>
    </w:p>
    <w:p w:rsidR="00557A6F" w:rsidRDefault="00557A6F" w:rsidP="00557A6F">
      <w:r>
        <w:t>På posten føres brukerbetaling for tilleggstjenester til departementene og Statsministerens kontor.</w:t>
      </w:r>
    </w:p>
    <w:p w:rsidR="00557A6F" w:rsidRDefault="00557A6F" w:rsidP="00557A6F">
      <w:r>
        <w:t>Fra 2020 endres flere tjenester fra fakturering av departementene til bevilgningsfinansiering. Det gjelder tjene</w:t>
      </w:r>
      <w:r>
        <w:t>s</w:t>
      </w:r>
      <w:r>
        <w:t>tene JobbPort, miljøledelse, tilleggstjenester på WebSak, felles inventarregister og renhold. Som en følge av dette foreslås bevilgningen redusert med 7,1 mill. kroner. Departement</w:t>
      </w:r>
      <w:r>
        <w:t>e</w:t>
      </w:r>
      <w:r>
        <w:t>nes utgiftsra</w:t>
      </w:r>
      <w:r>
        <w:t>m</w:t>
      </w:r>
      <w:r>
        <w:t>mer foreslås redusert tilsvarende.</w:t>
      </w:r>
    </w:p>
    <w:p w:rsidR="00557A6F" w:rsidRDefault="00557A6F" w:rsidP="00557A6F">
      <w:r>
        <w:t>Samlet foreslås det å redusere posten med 5,2 mill. kroner til 62,3 mill. kroner, inkludert prisjust</w:t>
      </w:r>
      <w:r>
        <w:t>e</w:t>
      </w:r>
      <w:r>
        <w:t>ring.</w:t>
      </w:r>
    </w:p>
    <w:p w:rsidR="00557A6F" w:rsidRDefault="00557A6F" w:rsidP="00557A6F">
      <w:pPr>
        <w:pStyle w:val="b-progkat"/>
      </w:pPr>
      <w:r>
        <w:lastRenderedPageBreak/>
        <w:t>Programkategori 13.25 Fylkesmannsembetene mv.</w:t>
      </w:r>
    </w:p>
    <w:p w:rsidR="00557A6F" w:rsidRDefault="00557A6F" w:rsidP="00557A6F">
      <w:pPr>
        <w:pStyle w:val="avsnitt-tittel"/>
      </w:pPr>
      <w:r>
        <w:t>Utgifter under programkategori 13.25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557A6F" w:rsidTr="00557A6F">
        <w:trPr>
          <w:trHeight w:val="640"/>
        </w:trPr>
        <w:tc>
          <w:tcPr>
            <w:tcW w:w="1020" w:type="dxa"/>
            <w:shd w:val="clear" w:color="auto" w:fill="FFFFFF"/>
          </w:tcPr>
          <w:p w:rsidR="00557A6F" w:rsidRDefault="00557A6F" w:rsidP="00557A6F">
            <w:pPr>
              <w:pStyle w:val="Tabellnavn"/>
            </w:pPr>
            <w:r>
              <w:t>PIKL</w:t>
            </w:r>
          </w:p>
        </w:tc>
        <w:tc>
          <w:tcPr>
            <w:tcW w:w="4080" w:type="dxa"/>
          </w:tcPr>
          <w:p w:rsidR="00557A6F" w:rsidRDefault="00557A6F" w:rsidP="00557A6F"/>
        </w:tc>
        <w:tc>
          <w:tcPr>
            <w:tcW w:w="1020" w:type="dxa"/>
          </w:tcPr>
          <w:p w:rsidR="00557A6F" w:rsidRDefault="00557A6F" w:rsidP="00557A6F">
            <w:pPr>
              <w:pStyle w:val="Tabellnavn"/>
              <w:jc w:val="right"/>
            </w:pPr>
          </w:p>
        </w:tc>
        <w:tc>
          <w:tcPr>
            <w:tcW w:w="1020" w:type="dxa"/>
          </w:tcPr>
          <w:p w:rsidR="00557A6F" w:rsidRDefault="00557A6F" w:rsidP="00557A6F">
            <w:pPr>
              <w:pStyle w:val="Tabellnavn"/>
              <w:jc w:val="right"/>
            </w:pPr>
          </w:p>
        </w:tc>
        <w:tc>
          <w:tcPr>
            <w:tcW w:w="1020" w:type="dxa"/>
          </w:tcPr>
          <w:p w:rsidR="00557A6F" w:rsidRDefault="00557A6F" w:rsidP="00557A6F">
            <w:pPr>
              <w:pStyle w:val="Tabellnavn"/>
              <w:jc w:val="right"/>
            </w:pPr>
          </w:p>
        </w:tc>
        <w:tc>
          <w:tcPr>
            <w:tcW w:w="1020" w:type="dxa"/>
          </w:tcPr>
          <w:p w:rsidR="00557A6F" w:rsidRDefault="00557A6F" w:rsidP="00557A6F">
            <w:pPr>
              <w:jc w:val="right"/>
            </w:pPr>
            <w:r>
              <w:t>(i 1 000 kr)</w:t>
            </w:r>
          </w:p>
        </w:tc>
      </w:tr>
      <w:tr w:rsidR="00557A6F" w:rsidTr="00557A6F">
        <w:trPr>
          <w:trHeight w:val="600"/>
        </w:trPr>
        <w:tc>
          <w:tcPr>
            <w:tcW w:w="1020" w:type="dxa"/>
          </w:tcPr>
          <w:p w:rsidR="00557A6F" w:rsidRDefault="00557A6F" w:rsidP="00557A6F">
            <w:r>
              <w:t>Kap.</w:t>
            </w:r>
          </w:p>
        </w:tc>
        <w:tc>
          <w:tcPr>
            <w:tcW w:w="4080" w:type="dxa"/>
          </w:tcPr>
          <w:p w:rsidR="00557A6F" w:rsidRDefault="00557A6F" w:rsidP="00557A6F">
            <w:r>
              <w:t>Betegnelse</w:t>
            </w:r>
          </w:p>
        </w:tc>
        <w:tc>
          <w:tcPr>
            <w:tcW w:w="1020" w:type="dxa"/>
          </w:tcPr>
          <w:p w:rsidR="00557A6F" w:rsidRDefault="00557A6F" w:rsidP="00557A6F">
            <w:pPr>
              <w:jc w:val="right"/>
            </w:pPr>
            <w:r>
              <w:t>Reg</w:t>
            </w:r>
            <w:r>
              <w:t>n</w:t>
            </w:r>
            <w:r>
              <w:t>skap 2018</w:t>
            </w:r>
          </w:p>
        </w:tc>
        <w:tc>
          <w:tcPr>
            <w:tcW w:w="1020" w:type="dxa"/>
          </w:tcPr>
          <w:p w:rsidR="00557A6F" w:rsidRDefault="00557A6F" w:rsidP="00557A6F">
            <w:pPr>
              <w:jc w:val="right"/>
            </w:pPr>
            <w:r>
              <w:t xml:space="preserve">Saldert </w:t>
            </w:r>
            <w:r>
              <w:br/>
              <w:t>budsjett 2019</w:t>
            </w:r>
          </w:p>
        </w:tc>
        <w:tc>
          <w:tcPr>
            <w:tcW w:w="1020" w:type="dxa"/>
          </w:tcPr>
          <w:p w:rsidR="00557A6F" w:rsidRDefault="00557A6F" w:rsidP="00557A6F">
            <w:pPr>
              <w:jc w:val="right"/>
            </w:pPr>
            <w:r>
              <w:t xml:space="preserve">Forslag </w:t>
            </w:r>
            <w:r>
              <w:br/>
              <w:t>2020</w:t>
            </w:r>
          </w:p>
        </w:tc>
        <w:tc>
          <w:tcPr>
            <w:tcW w:w="1020" w:type="dxa"/>
          </w:tcPr>
          <w:p w:rsidR="00557A6F" w:rsidRDefault="00557A6F" w:rsidP="00557A6F">
            <w:pPr>
              <w:jc w:val="right"/>
            </w:pPr>
            <w:r>
              <w:t xml:space="preserve">Pst. endr. </w:t>
            </w:r>
            <w:r>
              <w:br/>
              <w:t>19/20</w:t>
            </w:r>
          </w:p>
        </w:tc>
      </w:tr>
      <w:tr w:rsidR="00557A6F" w:rsidTr="00557A6F">
        <w:trPr>
          <w:trHeight w:val="380"/>
        </w:trPr>
        <w:tc>
          <w:tcPr>
            <w:tcW w:w="1020" w:type="dxa"/>
          </w:tcPr>
          <w:p w:rsidR="00557A6F" w:rsidRDefault="00557A6F" w:rsidP="00557A6F">
            <w:r>
              <w:t>525</w:t>
            </w:r>
          </w:p>
        </w:tc>
        <w:tc>
          <w:tcPr>
            <w:tcW w:w="4080" w:type="dxa"/>
          </w:tcPr>
          <w:p w:rsidR="00557A6F" w:rsidRDefault="00557A6F" w:rsidP="00557A6F">
            <w:r>
              <w:t>Fylkesmannsembetene</w:t>
            </w:r>
          </w:p>
        </w:tc>
        <w:tc>
          <w:tcPr>
            <w:tcW w:w="1020" w:type="dxa"/>
          </w:tcPr>
          <w:p w:rsidR="00557A6F" w:rsidRDefault="00557A6F" w:rsidP="00557A6F">
            <w:pPr>
              <w:jc w:val="right"/>
            </w:pPr>
            <w:r>
              <w:t>1 978 747</w:t>
            </w:r>
          </w:p>
        </w:tc>
        <w:tc>
          <w:tcPr>
            <w:tcW w:w="1020" w:type="dxa"/>
          </w:tcPr>
          <w:p w:rsidR="00557A6F" w:rsidRDefault="00557A6F" w:rsidP="00557A6F">
            <w:pPr>
              <w:jc w:val="right"/>
            </w:pPr>
            <w:r>
              <w:t>2 055 846</w:t>
            </w:r>
          </w:p>
        </w:tc>
        <w:tc>
          <w:tcPr>
            <w:tcW w:w="1020" w:type="dxa"/>
          </w:tcPr>
          <w:p w:rsidR="00557A6F" w:rsidRDefault="00557A6F" w:rsidP="00557A6F">
            <w:pPr>
              <w:jc w:val="right"/>
            </w:pPr>
            <w:r>
              <w:t>2 069 260</w:t>
            </w:r>
          </w:p>
        </w:tc>
        <w:tc>
          <w:tcPr>
            <w:tcW w:w="1020" w:type="dxa"/>
          </w:tcPr>
          <w:p w:rsidR="00557A6F" w:rsidRDefault="00557A6F" w:rsidP="00557A6F">
            <w:pPr>
              <w:jc w:val="right"/>
            </w:pPr>
            <w:r>
              <w:t>0,7</w:t>
            </w:r>
          </w:p>
        </w:tc>
      </w:tr>
      <w:tr w:rsidR="00557A6F" w:rsidTr="00557A6F">
        <w:trPr>
          <w:trHeight w:val="380"/>
        </w:trPr>
        <w:tc>
          <w:tcPr>
            <w:tcW w:w="1020" w:type="dxa"/>
          </w:tcPr>
          <w:p w:rsidR="00557A6F" w:rsidRDefault="00557A6F" w:rsidP="00557A6F"/>
        </w:tc>
        <w:tc>
          <w:tcPr>
            <w:tcW w:w="4080" w:type="dxa"/>
          </w:tcPr>
          <w:p w:rsidR="00557A6F" w:rsidRDefault="00557A6F" w:rsidP="00557A6F">
            <w:r>
              <w:t>Sum kategori 13.25</w:t>
            </w:r>
          </w:p>
        </w:tc>
        <w:tc>
          <w:tcPr>
            <w:tcW w:w="1020" w:type="dxa"/>
          </w:tcPr>
          <w:p w:rsidR="00557A6F" w:rsidRDefault="00557A6F" w:rsidP="00557A6F">
            <w:pPr>
              <w:jc w:val="right"/>
            </w:pPr>
            <w:r>
              <w:t>1 978 747</w:t>
            </w:r>
          </w:p>
        </w:tc>
        <w:tc>
          <w:tcPr>
            <w:tcW w:w="1020" w:type="dxa"/>
          </w:tcPr>
          <w:p w:rsidR="00557A6F" w:rsidRDefault="00557A6F" w:rsidP="00557A6F">
            <w:pPr>
              <w:jc w:val="right"/>
            </w:pPr>
            <w:r>
              <w:t>2 055 846</w:t>
            </w:r>
          </w:p>
        </w:tc>
        <w:tc>
          <w:tcPr>
            <w:tcW w:w="1020" w:type="dxa"/>
          </w:tcPr>
          <w:p w:rsidR="00557A6F" w:rsidRDefault="00557A6F" w:rsidP="00557A6F">
            <w:pPr>
              <w:jc w:val="right"/>
            </w:pPr>
            <w:r>
              <w:t>2 069 260</w:t>
            </w:r>
          </w:p>
        </w:tc>
        <w:tc>
          <w:tcPr>
            <w:tcW w:w="1020" w:type="dxa"/>
          </w:tcPr>
          <w:p w:rsidR="00557A6F" w:rsidRDefault="00557A6F" w:rsidP="00557A6F">
            <w:pPr>
              <w:jc w:val="right"/>
            </w:pPr>
            <w:r>
              <w:t>0,7</w:t>
            </w:r>
          </w:p>
        </w:tc>
      </w:tr>
    </w:tbl>
    <w:p w:rsidR="00557A6F" w:rsidRDefault="00557A6F" w:rsidP="00557A6F">
      <w:pPr>
        <w:pStyle w:val="avsnitt-tittel"/>
      </w:pPr>
      <w:r>
        <w:t>Inntekter under programkategori 13.25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557A6F" w:rsidTr="00557A6F">
        <w:trPr>
          <w:trHeight w:val="640"/>
        </w:trPr>
        <w:tc>
          <w:tcPr>
            <w:tcW w:w="1020" w:type="dxa"/>
            <w:shd w:val="clear" w:color="auto" w:fill="FFFFFF"/>
          </w:tcPr>
          <w:p w:rsidR="00557A6F" w:rsidRDefault="00557A6F" w:rsidP="00557A6F">
            <w:pPr>
              <w:pStyle w:val="Tabellnavn"/>
            </w:pPr>
            <w:r>
              <w:t>PIKL</w:t>
            </w:r>
          </w:p>
        </w:tc>
        <w:tc>
          <w:tcPr>
            <w:tcW w:w="4080" w:type="dxa"/>
          </w:tcPr>
          <w:p w:rsidR="00557A6F" w:rsidRDefault="00557A6F" w:rsidP="00557A6F"/>
        </w:tc>
        <w:tc>
          <w:tcPr>
            <w:tcW w:w="1020" w:type="dxa"/>
          </w:tcPr>
          <w:p w:rsidR="00557A6F" w:rsidRDefault="00557A6F" w:rsidP="00557A6F">
            <w:pPr>
              <w:pStyle w:val="Tabellnavn"/>
              <w:jc w:val="right"/>
            </w:pPr>
          </w:p>
        </w:tc>
        <w:tc>
          <w:tcPr>
            <w:tcW w:w="1020" w:type="dxa"/>
          </w:tcPr>
          <w:p w:rsidR="00557A6F" w:rsidRDefault="00557A6F" w:rsidP="00557A6F">
            <w:pPr>
              <w:pStyle w:val="Tabellnavn"/>
              <w:jc w:val="right"/>
            </w:pPr>
          </w:p>
        </w:tc>
        <w:tc>
          <w:tcPr>
            <w:tcW w:w="1020" w:type="dxa"/>
          </w:tcPr>
          <w:p w:rsidR="00557A6F" w:rsidRDefault="00557A6F" w:rsidP="00557A6F">
            <w:pPr>
              <w:pStyle w:val="Tabellnavn"/>
              <w:jc w:val="right"/>
            </w:pPr>
          </w:p>
        </w:tc>
        <w:tc>
          <w:tcPr>
            <w:tcW w:w="1020" w:type="dxa"/>
          </w:tcPr>
          <w:p w:rsidR="00557A6F" w:rsidRDefault="00557A6F" w:rsidP="00557A6F">
            <w:pPr>
              <w:jc w:val="right"/>
            </w:pPr>
            <w:r>
              <w:t>(i 1 000 kr)</w:t>
            </w:r>
          </w:p>
        </w:tc>
      </w:tr>
      <w:tr w:rsidR="00557A6F" w:rsidTr="00557A6F">
        <w:trPr>
          <w:trHeight w:val="600"/>
        </w:trPr>
        <w:tc>
          <w:tcPr>
            <w:tcW w:w="1020" w:type="dxa"/>
          </w:tcPr>
          <w:p w:rsidR="00557A6F" w:rsidRDefault="00557A6F" w:rsidP="00557A6F">
            <w:r>
              <w:t>Kap.</w:t>
            </w:r>
          </w:p>
        </w:tc>
        <w:tc>
          <w:tcPr>
            <w:tcW w:w="4080" w:type="dxa"/>
          </w:tcPr>
          <w:p w:rsidR="00557A6F" w:rsidRDefault="00557A6F" w:rsidP="00557A6F">
            <w:r>
              <w:t>Betegnelse</w:t>
            </w:r>
          </w:p>
        </w:tc>
        <w:tc>
          <w:tcPr>
            <w:tcW w:w="1020" w:type="dxa"/>
          </w:tcPr>
          <w:p w:rsidR="00557A6F" w:rsidRDefault="00557A6F" w:rsidP="00557A6F">
            <w:pPr>
              <w:jc w:val="right"/>
            </w:pPr>
            <w:r>
              <w:t>Reg</w:t>
            </w:r>
            <w:r>
              <w:t>n</w:t>
            </w:r>
            <w:r>
              <w:t>skap 2018</w:t>
            </w:r>
          </w:p>
        </w:tc>
        <w:tc>
          <w:tcPr>
            <w:tcW w:w="1020" w:type="dxa"/>
          </w:tcPr>
          <w:p w:rsidR="00557A6F" w:rsidRDefault="00557A6F" w:rsidP="00557A6F">
            <w:pPr>
              <w:jc w:val="right"/>
            </w:pPr>
            <w:r>
              <w:t xml:space="preserve">Saldert </w:t>
            </w:r>
            <w:r>
              <w:br/>
              <w:t>budsjett 2019</w:t>
            </w:r>
          </w:p>
        </w:tc>
        <w:tc>
          <w:tcPr>
            <w:tcW w:w="1020" w:type="dxa"/>
          </w:tcPr>
          <w:p w:rsidR="00557A6F" w:rsidRDefault="00557A6F" w:rsidP="00557A6F">
            <w:pPr>
              <w:jc w:val="right"/>
            </w:pPr>
            <w:r>
              <w:t xml:space="preserve">Forslag </w:t>
            </w:r>
            <w:r>
              <w:br/>
              <w:t>2020</w:t>
            </w:r>
          </w:p>
        </w:tc>
        <w:tc>
          <w:tcPr>
            <w:tcW w:w="1020" w:type="dxa"/>
          </w:tcPr>
          <w:p w:rsidR="00557A6F" w:rsidRDefault="00557A6F" w:rsidP="00557A6F">
            <w:pPr>
              <w:jc w:val="right"/>
            </w:pPr>
            <w:r>
              <w:t xml:space="preserve">Pst. endr. </w:t>
            </w:r>
            <w:r>
              <w:br/>
              <w:t>19/20</w:t>
            </w:r>
          </w:p>
        </w:tc>
      </w:tr>
      <w:tr w:rsidR="00557A6F" w:rsidTr="00557A6F">
        <w:trPr>
          <w:trHeight w:val="380"/>
        </w:trPr>
        <w:tc>
          <w:tcPr>
            <w:tcW w:w="1020" w:type="dxa"/>
          </w:tcPr>
          <w:p w:rsidR="00557A6F" w:rsidRDefault="00557A6F" w:rsidP="00557A6F">
            <w:r>
              <w:t>3525</w:t>
            </w:r>
          </w:p>
        </w:tc>
        <w:tc>
          <w:tcPr>
            <w:tcW w:w="4080" w:type="dxa"/>
          </w:tcPr>
          <w:p w:rsidR="00557A6F" w:rsidRDefault="00557A6F" w:rsidP="00557A6F">
            <w:r>
              <w:t>Fylkesmannsembetene</w:t>
            </w:r>
          </w:p>
        </w:tc>
        <w:tc>
          <w:tcPr>
            <w:tcW w:w="1020" w:type="dxa"/>
          </w:tcPr>
          <w:p w:rsidR="00557A6F" w:rsidRDefault="00557A6F" w:rsidP="00557A6F">
            <w:pPr>
              <w:jc w:val="right"/>
            </w:pPr>
            <w:r>
              <w:t>119 120</w:t>
            </w:r>
          </w:p>
        </w:tc>
        <w:tc>
          <w:tcPr>
            <w:tcW w:w="1020" w:type="dxa"/>
          </w:tcPr>
          <w:p w:rsidR="00557A6F" w:rsidRDefault="00557A6F" w:rsidP="00557A6F">
            <w:pPr>
              <w:jc w:val="right"/>
            </w:pPr>
            <w:r>
              <w:t>167 804</w:t>
            </w:r>
          </w:p>
        </w:tc>
        <w:tc>
          <w:tcPr>
            <w:tcW w:w="1020" w:type="dxa"/>
          </w:tcPr>
          <w:p w:rsidR="00557A6F" w:rsidRDefault="00557A6F" w:rsidP="00557A6F">
            <w:pPr>
              <w:jc w:val="right"/>
            </w:pPr>
            <w:r>
              <w:t>172 308</w:t>
            </w:r>
          </w:p>
        </w:tc>
        <w:tc>
          <w:tcPr>
            <w:tcW w:w="1020" w:type="dxa"/>
          </w:tcPr>
          <w:p w:rsidR="00557A6F" w:rsidRDefault="00557A6F" w:rsidP="00557A6F">
            <w:pPr>
              <w:jc w:val="right"/>
            </w:pPr>
            <w:r>
              <w:t>2,7</w:t>
            </w:r>
          </w:p>
        </w:tc>
      </w:tr>
      <w:tr w:rsidR="00557A6F" w:rsidTr="00557A6F">
        <w:trPr>
          <w:trHeight w:val="380"/>
        </w:trPr>
        <w:tc>
          <w:tcPr>
            <w:tcW w:w="1020" w:type="dxa"/>
          </w:tcPr>
          <w:p w:rsidR="00557A6F" w:rsidRDefault="00557A6F" w:rsidP="00557A6F"/>
        </w:tc>
        <w:tc>
          <w:tcPr>
            <w:tcW w:w="4080" w:type="dxa"/>
          </w:tcPr>
          <w:p w:rsidR="00557A6F" w:rsidRDefault="00557A6F" w:rsidP="00557A6F">
            <w:r>
              <w:t>Sum kategori 13.25</w:t>
            </w:r>
          </w:p>
        </w:tc>
        <w:tc>
          <w:tcPr>
            <w:tcW w:w="1020" w:type="dxa"/>
          </w:tcPr>
          <w:p w:rsidR="00557A6F" w:rsidRDefault="00557A6F" w:rsidP="00557A6F">
            <w:pPr>
              <w:jc w:val="right"/>
            </w:pPr>
            <w:r>
              <w:t>119 120</w:t>
            </w:r>
          </w:p>
        </w:tc>
        <w:tc>
          <w:tcPr>
            <w:tcW w:w="1020" w:type="dxa"/>
          </w:tcPr>
          <w:p w:rsidR="00557A6F" w:rsidRDefault="00557A6F" w:rsidP="00557A6F">
            <w:pPr>
              <w:jc w:val="right"/>
            </w:pPr>
            <w:r>
              <w:t>167 804</w:t>
            </w:r>
          </w:p>
        </w:tc>
        <w:tc>
          <w:tcPr>
            <w:tcW w:w="1020" w:type="dxa"/>
          </w:tcPr>
          <w:p w:rsidR="00557A6F" w:rsidRDefault="00557A6F" w:rsidP="00557A6F">
            <w:pPr>
              <w:jc w:val="right"/>
            </w:pPr>
            <w:r>
              <w:t>172 308</w:t>
            </w:r>
          </w:p>
        </w:tc>
        <w:tc>
          <w:tcPr>
            <w:tcW w:w="1020" w:type="dxa"/>
          </w:tcPr>
          <w:p w:rsidR="00557A6F" w:rsidRDefault="00557A6F" w:rsidP="00557A6F">
            <w:pPr>
              <w:jc w:val="right"/>
            </w:pPr>
            <w:r>
              <w:t>2,7</w:t>
            </w:r>
          </w:p>
        </w:tc>
      </w:tr>
    </w:tbl>
    <w:p w:rsidR="00557A6F" w:rsidRDefault="00557A6F" w:rsidP="00557A6F">
      <w:pPr>
        <w:pStyle w:val="Undertittel"/>
      </w:pPr>
      <w:r>
        <w:t>Ansvarsområder</w:t>
      </w:r>
    </w:p>
    <w:p w:rsidR="00557A6F" w:rsidRDefault="00557A6F" w:rsidP="00557A6F">
      <w:r>
        <w:t>Fylkesmannen er Kongens og regjeringens representant i fylket og skal arbeide for at Stortingets og r</w:t>
      </w:r>
      <w:r>
        <w:t>e</w:t>
      </w:r>
      <w:r>
        <w:t>gjeringens vedtak, mål og retningslinjer blir fulgt opp. Fylkesmannens ansvar er fastsatt i Instruks for Fylkesmenn</w:t>
      </w:r>
      <w:r>
        <w:rPr>
          <w:vertAlign w:val="superscript"/>
        </w:rPr>
        <w:footnoteReference w:id="1"/>
      </w:r>
      <w:r>
        <w:t>.</w:t>
      </w:r>
    </w:p>
    <w:p w:rsidR="00557A6F" w:rsidRDefault="00557A6F" w:rsidP="00557A6F">
      <w:r>
        <w:t>Fra 1. januar 2019 ble ny fylkesmannsstruktur med ti embeter iverksatt. Ny struktur skal styrke fylkesmannens rolle som tverrsektoriell samordner av regional stat overfor kommuner, understøtte fylkesmannens rolle som det sentrale bindeleddet mellom stat og kommune, og sikre at rettssi</w:t>
      </w:r>
      <w:r>
        <w:t>k</w:t>
      </w:r>
      <w:r>
        <w:t>kerhetsfunksjonen blir ivaretatt.</w:t>
      </w:r>
    </w:p>
    <w:p w:rsidR="00557A6F" w:rsidRDefault="00557A6F" w:rsidP="00557A6F">
      <w:r>
        <w:t>Fra 1. januar 2019 ble Fylkesmennenes fellesadministrasjon (FMFA) etablert som eget forval</w:t>
      </w:r>
      <w:r>
        <w:t>t</w:t>
      </w:r>
      <w:r>
        <w:t>ningsorgan underlagt Kommunal- og moderniseringsdepartementet. De ansatte har kontorsted ved embetene, og hovedsetet er i Arendal. FMFA har ansvar for styrings-, drifts- og utviklingsoppgaver innen det administrative området for fylkesmannsembetene. Målet med etableringen er gode adm</w:t>
      </w:r>
      <w:r>
        <w:t>i</w:t>
      </w:r>
      <w:r>
        <w:t>nistrative tjenester tilpasset framtidens embeter.</w:t>
      </w:r>
    </w:p>
    <w:p w:rsidR="00557A6F" w:rsidRDefault="00557A6F" w:rsidP="00557A6F">
      <w:pPr>
        <w:pStyle w:val="Undertittel"/>
      </w:pPr>
      <w:r>
        <w:t>Utviklingstrekk og utfordringer</w:t>
      </w:r>
    </w:p>
    <w:p w:rsidR="00557A6F" w:rsidRDefault="00557A6F" w:rsidP="00557A6F">
      <w:r>
        <w:t>Mange kommuner som opplever befolkningsnedgang og aldring, har små organisasjoner og store utfor</w:t>
      </w:r>
      <w:r>
        <w:t>d</w:t>
      </w:r>
      <w:r>
        <w:t>ringer med tilstrekkelig kapasitet og kompetanse for å dekke opp alle fagområder. I mange byområder er det sterk befolkningsvekst og uhensiktsmessige kommunegrenser, noe som vansk</w:t>
      </w:r>
      <w:r>
        <w:t>e</w:t>
      </w:r>
      <w:r>
        <w:t xml:space="preserve">liggjør en bærekraftig samfunnsutvikling der samlet areal og effektive transportløsninger mellom bosted, arbeid og fritid sees i </w:t>
      </w:r>
      <w:r>
        <w:lastRenderedPageBreak/>
        <w:t>sammenheng. Større kommuner og en mer ensartet og framtidsrettet kommunestruktur er viktig for å sikre sterke og bærekraftige velferdskommuner over hele landet.</w:t>
      </w:r>
    </w:p>
    <w:p w:rsidR="00557A6F" w:rsidRDefault="00557A6F" w:rsidP="00557A6F">
      <w:r>
        <w:t>Det er et overordnet nasjonalt mål at kommunene utvikler en bærekraftig og fornuftig økonom</w:t>
      </w:r>
      <w:r>
        <w:t>i</w:t>
      </w:r>
      <w:r>
        <w:t>forvaltning. Sterk inntektsvekst og god innsats fra både fylkesmannsembetene og kommunene har de siste årene ført til en stor ne</w:t>
      </w:r>
      <w:r>
        <w:t>d</w:t>
      </w:r>
      <w:r>
        <w:t>gang i antall kommuner i Register om betinget godkjenning og kontroll (ROBEK). For å holde antall kommuner i ROBEK på et lavt nivå er det viktig at fylke</w:t>
      </w:r>
      <w:r>
        <w:t>s</w:t>
      </w:r>
      <w:r>
        <w:t>mannen fortsetter å jobbe aktivt med kommuneøkonomi og prioriterer oppfølging av kommuner i ROBEK og andre kommuner i økonomisk ubalanse.</w:t>
      </w:r>
    </w:p>
    <w:p w:rsidR="00557A6F" w:rsidRDefault="00557A6F" w:rsidP="00557A6F">
      <w:r>
        <w:t>Å løse klima- og miljøutfordringene er blant vår tids største utfordringer. Vi står overfor flere a</w:t>
      </w:r>
      <w:r>
        <w:t>l</w:t>
      </w:r>
      <w:r>
        <w:t>vorlige utvikling</w:t>
      </w:r>
      <w:r>
        <w:t>s</w:t>
      </w:r>
      <w:r>
        <w:t>trekk knyttet til både endringer i klimaet, tap av naturmangfold, marin forsøpling og spredning av mikroplast i havet. Press på arealer som følge av arealinngrep og arealbruksen</w:t>
      </w:r>
      <w:r>
        <w:t>d</w:t>
      </w:r>
      <w:r>
        <w:t>ringer er en viktig del av disse utfordringene. Kl</w:t>
      </w:r>
      <w:r>
        <w:t>i</w:t>
      </w:r>
      <w:r>
        <w:t xml:space="preserve">ma- og miljøutfordringene medfører endringer som påvirker befolkningens helse, livsgrunnlag og verdiskaping, og utfordringene må løses på alle nivå. </w:t>
      </w:r>
    </w:p>
    <w:p w:rsidR="00557A6F" w:rsidRDefault="00557A6F" w:rsidP="00557A6F">
      <w:r>
        <w:t>Endringene i det helhetlige utfordringsbildet på samfunnssikkerhetsområdet krever planlegging for å sikre at vi er godt forberedt lokalt, regionalt og nasjonalt. Konsekvensene av klimaendringer og ekstremvær vil trolig gi flere alvorlige naturhendelser. Digitalisering av samfunnet skaper ikke bare muli</w:t>
      </w:r>
      <w:r>
        <w:t>g</w:t>
      </w:r>
      <w:r>
        <w:t>heter, men også sårbarheter. Endret sikkerhetspolitisk situasjon har medført behov for økt sivil-militært samarbeid. Disse tendensene i samfunnet og flere til, krever at vi har en tydelig og proaktiv rolle innen samfunnssikkerhet og beredskap, og at det sikres god samhandling.</w:t>
      </w:r>
    </w:p>
    <w:p w:rsidR="00557A6F" w:rsidRDefault="00557A6F" w:rsidP="00557A6F">
      <w:r>
        <w:t>Sårbare grupper har behov for at samfunnet ivaretar dem og beskytter deres interesser. Tilsynserf</w:t>
      </w:r>
      <w:r>
        <w:t>a</w:t>
      </w:r>
      <w:r>
        <w:t>ringer og funn fra landsomfattende tilsyn viser at det forekommer svikt i tjenesteytingen. Fylke</w:t>
      </w:r>
      <w:r>
        <w:t>s</w:t>
      </w:r>
      <w:r>
        <w:t>mannens tilsyn utgjør et sikkerhetsnett for disse gruppene og for øvrig befolkning. For å få et vir</w:t>
      </w:r>
      <w:r>
        <w:t>k</w:t>
      </w:r>
      <w:r>
        <w:t>ningsfullt tilsyn, som bidrar til styrket kvalitet og sikkerhet i tjenestene, er det viktig at brukeres og pasienters perspektiv og erfaring blir brukt. Utvidede va</w:t>
      </w:r>
      <w:r>
        <w:t>r</w:t>
      </w:r>
      <w:r>
        <w:t>selordninger om alvorlige hendelser skal bidra til bedre pasient- og brukersikkerhet. Behandlingen av saker om mulig svikt i tjenestene må gjøres ressurseffektiv og målre</w:t>
      </w:r>
      <w:r>
        <w:t>t</w:t>
      </w:r>
      <w:r>
        <w:t>tet, og virksomhetenes ansvar for å avdekke, rette opp og forebygge overtredelser av helselovgivningen må tydeliggjøres.</w:t>
      </w:r>
    </w:p>
    <w:p w:rsidR="00557A6F" w:rsidRDefault="00557A6F" w:rsidP="00557A6F">
      <w:r>
        <w:t>Vergemål er en velferdsordning som legger til rette for at mennesker med behov for bistand kan få hjelp til å ivareta sin rettslige handleevne. Gjennom god beslutningsstøtte bidrar vergemål til at selvbestemmelse og rettsikkerhet blir ivaretatt. Vergemålsordningen er under utvikling for å gi bedre tjenester til brukerne. Det er særlig et sterkt fokus på individtilpasning, kompetanseheving blant verger og økt digitalisering som vil bidra til å styrke kvaliteten i vergemålene framover.</w:t>
      </w:r>
    </w:p>
    <w:p w:rsidR="00557A6F" w:rsidRDefault="00557A6F" w:rsidP="00557A6F">
      <w:r>
        <w:t>Både antall barn som lever i fattigdom og antall personer som mottar økonomisk sosialhjelp i mer enn seks m</w:t>
      </w:r>
      <w:r>
        <w:t>å</w:t>
      </w:r>
      <w:r>
        <w:t>neder sammenhengende har økt de siste årene.</w:t>
      </w:r>
    </w:p>
    <w:p w:rsidR="00557A6F" w:rsidRDefault="00557A6F" w:rsidP="00557A6F">
      <w:r>
        <w:t>De kommunale sosiale tjenestene er velferdsstatens siste sikkerhetsnett og retter seg mot de van</w:t>
      </w:r>
      <w:r>
        <w:t>s</w:t>
      </w:r>
      <w:r>
        <w:t>keligst stilte. Fylkesmannen skal bidra til at kommunene ivaretar sitt ansvar for de sosiale tjenest</w:t>
      </w:r>
      <w:r>
        <w:t>e</w:t>
      </w:r>
      <w:r>
        <w:t>ne på en god måte. Tjenestene skal bidra til størst mulig grad av selvhjulpenhet for tjenestemott</w:t>
      </w:r>
      <w:r>
        <w:t>a</w:t>
      </w:r>
      <w:r>
        <w:t>kerne. Det skal foretas konkrete og indiv</w:t>
      </w:r>
      <w:r>
        <w:t>i</w:t>
      </w:r>
      <w:r>
        <w:t>duelle vurderinger av hjelpebehov.</w:t>
      </w:r>
    </w:p>
    <w:p w:rsidR="00557A6F" w:rsidRDefault="00557A6F" w:rsidP="00557A6F">
      <w:r>
        <w:t>Vold og overgrep i nære relasjoner og mot barn og unge er både et alvorlig samfunnsproblem og et folkehelseproblem. Det fører til store lidelser for den enkelte og påfører samfunnet store kostnader. De</w:t>
      </w:r>
      <w:r>
        <w:t>r</w:t>
      </w:r>
      <w:r>
        <w:t>for er det behov for både statlig og kommunal innsats. Samordning på tvers av sektorer er en forutsetning for å lykkes i det foreby</w:t>
      </w:r>
      <w:r>
        <w:t>g</w:t>
      </w:r>
      <w:r>
        <w:t xml:space="preserve">gende arbeidet. </w:t>
      </w:r>
    </w:p>
    <w:p w:rsidR="00557A6F" w:rsidRDefault="00557A6F" w:rsidP="00557A6F">
      <w:r>
        <w:t>Fylkesmannen spiller en viktig rolle for gjennomføringen av kompetansestrategien i det komm</w:t>
      </w:r>
      <w:r>
        <w:t>u</w:t>
      </w:r>
      <w:r>
        <w:t>nale barnevernet. Fylkesmannen skal ha en aktiv oppfølging av kommunene og av at alle komm</w:t>
      </w:r>
      <w:r>
        <w:t>u</w:t>
      </w:r>
      <w:r>
        <w:t>ner får en forsvarlig og god org</w:t>
      </w:r>
      <w:r>
        <w:t>a</w:t>
      </w:r>
      <w:r>
        <w:t>nisering av sin akuttberedskap. Fylkesmannens årsrapporter viser generelt god måloppnåelse på barnehage- og grunnopplæringsområdet. Samtidig er det en uheldig utvikling at antall tilsyn gradvis blir redusert. Nedgangen i antall tilsyn skyldes ikke et redusert risikobilde. Dette er b</w:t>
      </w:r>
      <w:r>
        <w:t>e</w:t>
      </w:r>
      <w:r>
        <w:t>kymringsfullt fordi tilsyn skal bidra til at barn og unge får det de har rett og krav på etter regelverket.</w:t>
      </w:r>
    </w:p>
    <w:p w:rsidR="00557A6F" w:rsidRDefault="00557A6F" w:rsidP="00557A6F">
      <w:r>
        <w:t>Særlig oppmerksomhet skal rettes mot å veilede og støtte kommunene i deres arbeid med å sette framtidens omsorgsutfordringer på dagsorden lokalt og iverksette tiltak i tråd med kvalitetsrefo</w:t>
      </w:r>
      <w:r>
        <w:t>r</w:t>
      </w:r>
      <w:r>
        <w:t>men for eldre – Leve hele livet, jf. Meld. St. 15 (2017–2018). Videre skal embetene i 2020 ha oppmerksomhet mot hvordan fastlegeordningen fungerer for innbyggerne, og bidra til å styrke de kommunale forebyggende helsetjenestene, herunder helsestasjons- og skolehelsetjenesten, impl</w:t>
      </w:r>
      <w:r>
        <w:t>e</w:t>
      </w:r>
      <w:r>
        <w:t>mentering av forskrift om oversikt over folkehelsen, støtte i forebyggende helseberedskap, samt prioriteringsforskriften for pakkeforløp.</w:t>
      </w:r>
    </w:p>
    <w:p w:rsidR="00557A6F" w:rsidRDefault="00557A6F" w:rsidP="00557A6F">
      <w:pPr>
        <w:pStyle w:val="Undertittel"/>
      </w:pPr>
      <w:r>
        <w:lastRenderedPageBreak/>
        <w:t>Mål og rapportering, strategier og tiltak</w:t>
      </w:r>
    </w:p>
    <w:p w:rsidR="007F3140" w:rsidRPr="007F3140" w:rsidRDefault="007F3140" w:rsidP="007F3140">
      <w:pPr>
        <w:pStyle w:val="tabell-tittel"/>
      </w:pPr>
      <w:r>
        <w:t>Mål for programkategori 13.25 Fylkesmannsembetene</w:t>
      </w:r>
    </w:p>
    <w:p w:rsidR="00557A6F" w:rsidRDefault="00557A6F" w:rsidP="00557A6F">
      <w:pPr>
        <w:pStyle w:val="Tabellnavn"/>
      </w:pPr>
      <w:r>
        <w:t>02J0xx2</w:t>
      </w:r>
    </w:p>
    <w:tbl>
      <w:tblPr>
        <w:tblStyle w:val="StandardTabell"/>
        <w:tblW w:w="0" w:type="auto"/>
        <w:tblLayout w:type="fixed"/>
        <w:tblLook w:val="04A0" w:firstRow="1" w:lastRow="0" w:firstColumn="1" w:lastColumn="0" w:noHBand="0" w:noVBand="1"/>
      </w:tblPr>
      <w:tblGrid>
        <w:gridCol w:w="9200"/>
      </w:tblGrid>
      <w:tr w:rsidR="00557A6F" w:rsidTr="00557A6F">
        <w:trPr>
          <w:trHeight w:val="380"/>
        </w:trPr>
        <w:tc>
          <w:tcPr>
            <w:tcW w:w="9200" w:type="dxa"/>
          </w:tcPr>
          <w:p w:rsidR="00557A6F" w:rsidRDefault="00557A6F" w:rsidP="00557A6F">
            <w:r>
              <w:t xml:space="preserve">1. </w:t>
            </w:r>
            <w:r>
              <w:tab/>
              <w:t xml:space="preserve">Nasjonal politikk skal være kjent og iverksatt i fylket </w:t>
            </w:r>
          </w:p>
        </w:tc>
      </w:tr>
      <w:tr w:rsidR="00557A6F" w:rsidTr="00557A6F">
        <w:trPr>
          <w:trHeight w:val="640"/>
        </w:trPr>
        <w:tc>
          <w:tcPr>
            <w:tcW w:w="9200" w:type="dxa"/>
          </w:tcPr>
          <w:p w:rsidR="00557A6F" w:rsidRDefault="00557A6F" w:rsidP="00557A6F">
            <w:r>
              <w:t>2.</w:t>
            </w:r>
            <w:r>
              <w:tab/>
              <w:t>Statlige virksomheter på regionalt nivå skal være godt samordnet og legge til rette for gode helhet</w:t>
            </w:r>
            <w:r>
              <w:t>s</w:t>
            </w:r>
            <w:r>
              <w:t>løsninger</w:t>
            </w:r>
          </w:p>
        </w:tc>
      </w:tr>
      <w:tr w:rsidR="00557A6F" w:rsidTr="00557A6F">
        <w:trPr>
          <w:trHeight w:val="380"/>
        </w:trPr>
        <w:tc>
          <w:tcPr>
            <w:tcW w:w="9200" w:type="dxa"/>
          </w:tcPr>
          <w:p w:rsidR="00557A6F" w:rsidRDefault="00557A6F" w:rsidP="00557A6F">
            <w:r>
              <w:t>3.</w:t>
            </w:r>
            <w:r>
              <w:tab/>
              <w:t>Rettssikkerhet skal være ivaretatt på en enhetlig måte i fylket og på tvers av embetene</w:t>
            </w:r>
          </w:p>
        </w:tc>
      </w:tr>
      <w:tr w:rsidR="00557A6F" w:rsidTr="00557A6F">
        <w:trPr>
          <w:trHeight w:val="640"/>
        </w:trPr>
        <w:tc>
          <w:tcPr>
            <w:tcW w:w="9200" w:type="dxa"/>
          </w:tcPr>
          <w:p w:rsidR="00557A6F" w:rsidRDefault="00557A6F" w:rsidP="00557A6F">
            <w:r>
              <w:t>4.</w:t>
            </w:r>
            <w:r>
              <w:tab/>
              <w:t>Fylkesmannen skal ta de initiativ som finnes påkrevd og holde sentrale myndigheter or</w:t>
            </w:r>
            <w:r>
              <w:t>i</w:t>
            </w:r>
            <w:r>
              <w:t>entert om tilstanden i fylket og effekten av statlig politikk.</w:t>
            </w:r>
          </w:p>
        </w:tc>
      </w:tr>
    </w:tbl>
    <w:p w:rsidR="00557A6F" w:rsidRDefault="00557A6F" w:rsidP="00557A6F">
      <w:pPr>
        <w:pStyle w:val="avsnitt-tittel"/>
      </w:pPr>
      <w:r>
        <w:t>Mål 1 Nasjonal politikk skal være kjent og iverksatt i fylket</w:t>
      </w:r>
    </w:p>
    <w:p w:rsidR="00557A6F" w:rsidRDefault="00557A6F" w:rsidP="00557A6F">
      <w:r>
        <w:t>Fylkesmannen utfører sektoroppgaver på sentrale samfunnsområder på vegne av flere departement. D</w:t>
      </w:r>
      <w:r>
        <w:t>e</w:t>
      </w:r>
      <w:r>
        <w:t>partementene har direkte instruksjonsmyndighet overfor fylkesmannen på sine ansvarsområder. Som sektormyndighet skal fylkesmannen gjennom veiledning, dialog og tilsyn med kommunene, fylkeskommunene og andre offentlige og private tjenesteleverandører medvirke til å iverksette n</w:t>
      </w:r>
      <w:r>
        <w:t>a</w:t>
      </w:r>
      <w:r>
        <w:t>sjonal politikk.</w:t>
      </w:r>
    </w:p>
    <w:p w:rsidR="00557A6F" w:rsidRDefault="00557A6F" w:rsidP="00557A6F">
      <w:pPr>
        <w:pStyle w:val="avsnitt-undertittel"/>
      </w:pPr>
      <w:r>
        <w:t>Rapport, strategier og tiltak</w:t>
      </w:r>
    </w:p>
    <w:p w:rsidR="00557A6F" w:rsidRDefault="00557A6F" w:rsidP="00557A6F">
      <w:pPr>
        <w:pStyle w:val="avsnitt-under-undertittel"/>
      </w:pPr>
      <w:r>
        <w:t>Ny kommunelov</w:t>
      </w:r>
    </w:p>
    <w:p w:rsidR="00557A6F" w:rsidRDefault="00557A6F" w:rsidP="00557A6F">
      <w:r>
        <w:t>Fylkesmannen veileder og formidler kunnskap om lover og forskrifter på kommunalrettens omr</w:t>
      </w:r>
      <w:r>
        <w:t>å</w:t>
      </w:r>
      <w:r>
        <w:t>de. Ny kommunelov ble vedtatt av Stortinget 11. juni 2018. Lovens kapitler 1 til 13, 17 til 24, 26, 27, 30 og 31 trer i kraft fra og med det konstituerende møtet i det enkelte kommunestyret og fy</w:t>
      </w:r>
      <w:r>
        <w:t>l</w:t>
      </w:r>
      <w:r>
        <w:t>kestinget ved oppstart av valgperioden 2019–2023. Kapitlene 14, 15, 16, 28 og 29 trer i kraft 1. januar 2020.</w:t>
      </w:r>
    </w:p>
    <w:p w:rsidR="00557A6F" w:rsidRDefault="00557A6F" w:rsidP="00557A6F">
      <w:r>
        <w:t>Fylkesmannen vil ha en sentral rolle i å veilede kommuner, folkevalgte og private i ny kommun</w:t>
      </w:r>
      <w:r>
        <w:t>e</w:t>
      </w:r>
      <w:r>
        <w:t>lov og tilhørende forskrifter når disse trer i kraft. Det vil trolig være økt behov for veiledning fra fylkesmannen i forbindelse med ny kommunelov, både ved ikrafttredelse og i 2020. For å gi god informasjon, har departementet sendt ut et ikraftsettingsrundskriv og et konstitueringsrundskriv. Årets konstitueringsrundskriv er særlig viktig, siden konstitueringen av kommunestyrene og fy</w:t>
      </w:r>
      <w:r>
        <w:t>l</w:t>
      </w:r>
      <w:r>
        <w:t xml:space="preserve">kestingene skal skje i medhold av den nye kommuneloven. </w:t>
      </w:r>
    </w:p>
    <w:p w:rsidR="00557A6F" w:rsidRDefault="00557A6F" w:rsidP="00557A6F">
      <w:pPr>
        <w:pStyle w:val="avsnitt-under-undertittel"/>
      </w:pPr>
      <w:r>
        <w:t>Økonomiforvaltning</w:t>
      </w:r>
    </w:p>
    <w:p w:rsidR="00557A6F" w:rsidRDefault="00557A6F" w:rsidP="00557A6F">
      <w:r>
        <w:t>Fylkesmannen veileder og formidler kunnskap om regelverk på økonomi, langsiktig planlegging og ra</w:t>
      </w:r>
      <w:r>
        <w:t>p</w:t>
      </w:r>
      <w:r>
        <w:t xml:space="preserve">portering til kommunene. </w:t>
      </w:r>
    </w:p>
    <w:p w:rsidR="00557A6F" w:rsidRDefault="00557A6F" w:rsidP="00557A6F">
      <w:r>
        <w:t>Fylkesmannen har en viktig rolle med å veilede kommunene i rapportering og bruken av styring</w:t>
      </w:r>
      <w:r>
        <w:t>s</w:t>
      </w:r>
      <w:r>
        <w:t>data som KOmmune-STat-RApportering (KOSTRA). Det er viktig at fylkesmannen formidler til kommunene hvordan de kan bruke KOSTRA-data til styringen i egen kommune, samtidig som fylkesmannen aktivt bruker KOSTRA i dialogen med kommunene.</w:t>
      </w:r>
    </w:p>
    <w:p w:rsidR="00557A6F" w:rsidRDefault="00557A6F" w:rsidP="00557A6F">
      <w:r>
        <w:t>Regjeringen ønsker å bidra til at kommunene kan tenke nytt og at det utvikles innovative løsninger for de utfordringene samfunnet står overfor. Fylkesmannen har gitt om lag 139,5 mill. kroner i skjønnsmidler til omstillings- og fornyingsarbeidet i kommunene i 2018. Også i 2020 vil komm</w:t>
      </w:r>
      <w:r>
        <w:t>u</w:t>
      </w:r>
      <w:r>
        <w:t>ner som ønsker å prøve ut nye løsninger i sin virksomhet, kunne søke fylkesmannen om skjønn</w:t>
      </w:r>
      <w:r>
        <w:t>s</w:t>
      </w:r>
      <w:r>
        <w:t>midler til innovasjons- og forn</w:t>
      </w:r>
      <w:r>
        <w:t>y</w:t>
      </w:r>
      <w:r>
        <w:t>ingsprosjekter.</w:t>
      </w:r>
    </w:p>
    <w:p w:rsidR="00557A6F" w:rsidRDefault="00557A6F" w:rsidP="00557A6F">
      <w:pPr>
        <w:pStyle w:val="avsnitt-under-undertittel"/>
      </w:pPr>
      <w:r>
        <w:t>Helse og omsorgstjenester</w:t>
      </w:r>
    </w:p>
    <w:p w:rsidR="00557A6F" w:rsidRDefault="00557A6F" w:rsidP="00557A6F">
      <w:r>
        <w:t>Fylkesmannen skal bidra til mer likeverdige helse- og omsorgstjenester, herunder økt tilgjeng</w:t>
      </w:r>
      <w:r>
        <w:t>e</w:t>
      </w:r>
      <w:r>
        <w:t xml:space="preserve">lighet, kapasitet og styrket kvalitet. Fylkesmannen støtter tverrsektorielle og tverrfaglige tiltak som fagdager for </w:t>
      </w:r>
      <w:r>
        <w:lastRenderedPageBreak/>
        <w:t>helsepersonell på levevaneområdet og tverrfaglige nettverk. Fylkesmannen har i 2018 nedlagt mye arbeid for å understøtte regjeringens mål om å skape en helsetjeneste rettet mot pas</w:t>
      </w:r>
      <w:r>
        <w:t>i</w:t>
      </w:r>
      <w:r>
        <w:t xml:space="preserve">entens behov jf. Prop. 1 S (2018–2019) for Helse- og omsorgsdepartementet. </w:t>
      </w:r>
    </w:p>
    <w:p w:rsidR="00557A6F" w:rsidRDefault="00557A6F" w:rsidP="00557A6F">
      <w:r>
        <w:t xml:space="preserve">Fylkesmannen har en sentral rolle i gjennomføringen av Meld. St. 15 (2017–2018) </w:t>
      </w:r>
      <w:r>
        <w:rPr>
          <w:rStyle w:val="kursiv"/>
          <w:sz w:val="21"/>
          <w:szCs w:val="21"/>
        </w:rPr>
        <w:t>Leve hele livet – En kvalitetsreform for eldre</w:t>
      </w:r>
      <w:r>
        <w:t>. Sammen med Utviklingssenter for sykehjem og hjemmetjenester og kommunesektoren ved KS, er det etablert regionale støtteapparat som skal støtte og veilede ko</w:t>
      </w:r>
      <w:r>
        <w:t>m</w:t>
      </w:r>
      <w:r>
        <w:t xml:space="preserve">munene i deres arbeid med å planlegge </w:t>
      </w:r>
      <w:proofErr w:type="gramStart"/>
      <w:r>
        <w:t>og</w:t>
      </w:r>
      <w:proofErr w:type="gramEnd"/>
      <w:r>
        <w:t xml:space="preserve"> gjennomføre reformen lokalt. </w:t>
      </w:r>
    </w:p>
    <w:p w:rsidR="00557A6F" w:rsidRDefault="00557A6F" w:rsidP="00557A6F">
      <w:r>
        <w:t xml:space="preserve">Fylkesmannen har en viktig rolle i oppfølgingen av blant annet Meld. St. 26 (2014–2015) </w:t>
      </w:r>
      <w:r>
        <w:rPr>
          <w:rStyle w:val="kursiv"/>
          <w:sz w:val="21"/>
          <w:szCs w:val="21"/>
        </w:rPr>
        <w:t>Fremt</w:t>
      </w:r>
      <w:r>
        <w:rPr>
          <w:rStyle w:val="kursiv"/>
          <w:sz w:val="21"/>
          <w:szCs w:val="21"/>
        </w:rPr>
        <w:t>i</w:t>
      </w:r>
      <w:r>
        <w:rPr>
          <w:rStyle w:val="kursiv"/>
          <w:sz w:val="21"/>
          <w:szCs w:val="21"/>
        </w:rPr>
        <w:t>dens primærhelsetjeneste – Nærhet og helhet</w:t>
      </w:r>
      <w:r>
        <w:t>, Omsorg 2020 og Kompetanseløft 2020 og Demensplan 2020. Fy</w:t>
      </w:r>
      <w:r>
        <w:t>l</w:t>
      </w:r>
      <w:r>
        <w:t>kesmannen skal være en sentral pådriver innenfor rus og psykisk helse, og har en sentral rolle i gje</w:t>
      </w:r>
      <w:r>
        <w:t>n</w:t>
      </w:r>
      <w:r>
        <w:t xml:space="preserve">nomføringen av Prop. 15 S </w:t>
      </w:r>
      <w:r>
        <w:rPr>
          <w:rStyle w:val="kursiv"/>
          <w:sz w:val="21"/>
          <w:szCs w:val="21"/>
        </w:rPr>
        <w:t>Opptrappingsplanen for rusfeltet</w:t>
      </w:r>
      <w:r>
        <w:t xml:space="preserve"> (2016–2020), jf. Innst. 240 S (2015–2016). Fylkesmannens innsats på rusfe</w:t>
      </w:r>
      <w:r>
        <w:t>l</w:t>
      </w:r>
      <w:r>
        <w:t xml:space="preserve">tet, herunder oppfølging av </w:t>
      </w:r>
      <w:r>
        <w:rPr>
          <w:rStyle w:val="kursiv"/>
          <w:sz w:val="21"/>
          <w:szCs w:val="21"/>
        </w:rPr>
        <w:t>Nasjonal overdosestrategi 2019–2022</w:t>
      </w:r>
      <w:r>
        <w:t>, må ses i sammenheng med områdene psykisk helse og voldsproblematikk. Fylkesma</w:t>
      </w:r>
      <w:r>
        <w:t>n</w:t>
      </w:r>
      <w:r>
        <w:t xml:space="preserve">nen skal følge opp </w:t>
      </w:r>
      <w:r>
        <w:rPr>
          <w:rStyle w:val="kursiv"/>
          <w:sz w:val="21"/>
          <w:szCs w:val="21"/>
        </w:rPr>
        <w:t>Mestre hele livet – Regjeringens strategi for god ps</w:t>
      </w:r>
      <w:r>
        <w:rPr>
          <w:rStyle w:val="kursiv"/>
          <w:sz w:val="21"/>
          <w:szCs w:val="21"/>
        </w:rPr>
        <w:t>y</w:t>
      </w:r>
      <w:r>
        <w:rPr>
          <w:rStyle w:val="kursiv"/>
          <w:sz w:val="21"/>
          <w:szCs w:val="21"/>
        </w:rPr>
        <w:t>kisk helse</w:t>
      </w:r>
      <w:r>
        <w:t xml:space="preserve"> (2017–2022). </w:t>
      </w:r>
    </w:p>
    <w:p w:rsidR="00557A6F" w:rsidRDefault="00557A6F" w:rsidP="00557A6F">
      <w:pPr>
        <w:pStyle w:val="avsnitt-under-undertittel"/>
      </w:pPr>
      <w:r>
        <w:t>Folkehelse</w:t>
      </w:r>
    </w:p>
    <w:p w:rsidR="00557A6F" w:rsidRDefault="00557A6F" w:rsidP="00557A6F">
      <w:r>
        <w:t>Fylkesmannen skal være pådriver for et styrket og kunnskapsbasert folkehelsearbeid, blant annet ved fo</w:t>
      </w:r>
      <w:r>
        <w:t>r</w:t>
      </w:r>
      <w:r>
        <w:t>midling av nasjonale normer og standarder for godt folkehelsearbeid, jf. folkehelselovens § 24. Videre skal fylkesmannen påse at kommuner og fylkeskommuner ivaretar helsehensyn, he</w:t>
      </w:r>
      <w:r>
        <w:t>r</w:t>
      </w:r>
      <w:r>
        <w:t>under bidra til å utjevne sosiale helseforskjeller som synliggjøres i planer etter plan- og bygning</w:t>
      </w:r>
      <w:r>
        <w:t>s</w:t>
      </w:r>
      <w:r>
        <w:t xml:space="preserve">loven. </w:t>
      </w:r>
    </w:p>
    <w:p w:rsidR="00557A6F" w:rsidRDefault="00557A6F" w:rsidP="00557A6F">
      <w:r>
        <w:t>Rapporteringen fra embetene i 2018 viser at kommunene i varierende grad har etablert et langsiktig og systematisk folkehelsearbeid. Fylkesmannen skal fortsatt arbeide for at kommunene etablerer et lan</w:t>
      </w:r>
      <w:r>
        <w:t>g</w:t>
      </w:r>
      <w:r>
        <w:t>siktig og systematisk folkehelsearbeid. Embetene skal prioritere innsatsen mot kommuner der det er avdekket særlige utfordringer.</w:t>
      </w:r>
    </w:p>
    <w:p w:rsidR="00557A6F" w:rsidRDefault="00557A6F" w:rsidP="00557A6F">
      <w:r>
        <w:t xml:space="preserve">5. april 2019 ble ny folkehelsemelding Meld. St. 19 (2018–2019) </w:t>
      </w:r>
      <w:r>
        <w:rPr>
          <w:rStyle w:val="kursiv"/>
          <w:sz w:val="21"/>
          <w:szCs w:val="21"/>
        </w:rPr>
        <w:t>Folkehelsemeldinga</w:t>
      </w:r>
      <w:r>
        <w:t xml:space="preserve">– </w:t>
      </w:r>
      <w:r>
        <w:rPr>
          <w:rStyle w:val="kursiv"/>
          <w:sz w:val="21"/>
          <w:szCs w:val="21"/>
        </w:rPr>
        <w:t>Gode liv i eit trygt sa</w:t>
      </w:r>
      <w:r>
        <w:rPr>
          <w:rStyle w:val="kursiv"/>
          <w:sz w:val="21"/>
          <w:szCs w:val="21"/>
        </w:rPr>
        <w:t>m</w:t>
      </w:r>
      <w:r>
        <w:rPr>
          <w:rStyle w:val="kursiv"/>
          <w:sz w:val="21"/>
          <w:szCs w:val="21"/>
        </w:rPr>
        <w:t xml:space="preserve">funn </w:t>
      </w:r>
      <w:r>
        <w:t>lagt fram. Fylkesmannen skal legge denne og nasjonale forventninger til regional og kommunal planlegging 2019–2023 til grunn ved formidling av statlig politikk og vurdering av pl</w:t>
      </w:r>
      <w:r>
        <w:t>a</w:t>
      </w:r>
      <w:r>
        <w:t xml:space="preserve">ner etter folkehelseloven og plan- og bygningsloven. I Prop. 91 L </w:t>
      </w:r>
      <w:r>
        <w:rPr>
          <w:rStyle w:val="kursiv"/>
          <w:sz w:val="21"/>
          <w:szCs w:val="21"/>
        </w:rPr>
        <w:t>Endringer i smittevernloven,</w:t>
      </w:r>
      <w:r>
        <w:t xml:space="preserve"> jf. Innst. 328 L (2018–2019) § 7-4 er det vedtatt at «fylkesmannen skal ha særlig oppmerksomhet re</w:t>
      </w:r>
      <w:r>
        <w:t>t</w:t>
      </w:r>
      <w:r>
        <w:t>tet mot smittevernet i fylket, herunder ha oversikt over og kunnskap om lokale planer om smitt</w:t>
      </w:r>
      <w:r>
        <w:t>e</w:t>
      </w:r>
      <w:r>
        <w:t>vern, samt yte bistand ved behov».</w:t>
      </w:r>
    </w:p>
    <w:p w:rsidR="00557A6F" w:rsidRDefault="00557A6F" w:rsidP="00557A6F">
      <w:pPr>
        <w:pStyle w:val="avsnitt-under-undertittel"/>
      </w:pPr>
      <w:r>
        <w:t>Barnevern og beskyttelse mot vold og overgrep</w:t>
      </w:r>
    </w:p>
    <w:p w:rsidR="00557A6F" w:rsidRDefault="00557A6F" w:rsidP="00557A6F">
      <w:r>
        <w:t xml:space="preserve">Fylkesmannen skal ha god oversikt over situasjonen og utfordringer i det kommunale barnevernet og har en viktig oppgave i å følge opp regjeringens mål om økt kvalitet i barnevernstjenestene. Fylkesmannen har fått flere oppgaver gjennom kompetansestrategien </w:t>
      </w:r>
      <w:r>
        <w:rPr>
          <w:rStyle w:val="kursiv"/>
          <w:sz w:val="21"/>
          <w:szCs w:val="21"/>
        </w:rPr>
        <w:t>Mer Kunnskap – bedre barn</w:t>
      </w:r>
      <w:r>
        <w:rPr>
          <w:rStyle w:val="kursiv"/>
          <w:sz w:val="21"/>
          <w:szCs w:val="21"/>
        </w:rPr>
        <w:t>e</w:t>
      </w:r>
      <w:r>
        <w:rPr>
          <w:rStyle w:val="kursiv"/>
          <w:sz w:val="21"/>
          <w:szCs w:val="21"/>
        </w:rPr>
        <w:t>vern</w:t>
      </w:r>
      <w:r>
        <w:t>, som ble lansert høsten 2017.</w:t>
      </w:r>
    </w:p>
    <w:p w:rsidR="00557A6F" w:rsidRDefault="00557A6F" w:rsidP="00557A6F">
      <w:r>
        <w:t>Fylkesmannen har i 2018 og 2019 hatt møter med kommunene for å drøfte tilstanden og utvi</w:t>
      </w:r>
      <w:r>
        <w:t>k</w:t>
      </w:r>
      <w:r>
        <w:t>lingsbehov i ba</w:t>
      </w:r>
      <w:r>
        <w:t>r</w:t>
      </w:r>
      <w:r>
        <w:t>nevernstjenestene, samt bidratt til å identifisere og motivere barnevernstjenester som har behov for ekstra tjene</w:t>
      </w:r>
      <w:r>
        <w:t>s</w:t>
      </w:r>
      <w:r>
        <w:t>testøtte og veiledning. Fylkesmannen har også startet arbeidet med å etablere og følge opp læringsnettverk der kommunene samarbeider om kvalitetsutviklingsarbeid og tiltak til barn og familier som trenger hjelp fra barn</w:t>
      </w:r>
      <w:r>
        <w:t>e</w:t>
      </w:r>
      <w:r>
        <w:t>vernet. Dette arbeidet ble i 2019 styrket med sikte på å etablere ve</w:t>
      </w:r>
      <w:r>
        <w:t>i</w:t>
      </w:r>
      <w:r>
        <w:t>lednings- og oppfølgingstilbud til fosterhjem.</w:t>
      </w:r>
    </w:p>
    <w:p w:rsidR="00557A6F" w:rsidRDefault="00557A6F" w:rsidP="00557A6F">
      <w:r>
        <w:t>Dette er arbeidsområder som fortsatt vil være viktige i 2020. Fylkesmannen skal også bistå i arbe</w:t>
      </w:r>
      <w:r>
        <w:t>i</w:t>
      </w:r>
      <w:r>
        <w:t>det med å fo</w:t>
      </w:r>
      <w:r>
        <w:t>r</w:t>
      </w:r>
      <w:r>
        <w:t>berede kommunene på ansvarsendringer i barnevernsreformen som skal tre i kraft i 2022.</w:t>
      </w:r>
    </w:p>
    <w:p w:rsidR="00557A6F" w:rsidRDefault="00557A6F" w:rsidP="00557A6F">
      <w:r>
        <w:t>Fylkesmannen skal bidra til at kommunene styrker innsatsen mot vold og overgrep, og til at Op</w:t>
      </w:r>
      <w:r>
        <w:t>p</w:t>
      </w:r>
      <w:r>
        <w:t>trappingsplanen mot vold og overgrep 2017–2021 gjøres kjent i kommunene. I tillegg skal fylke</w:t>
      </w:r>
      <w:r>
        <w:t>s</w:t>
      </w:r>
      <w:r>
        <w:t>mannen bidra til at kommunene tar i bruk de voldsforebyggende verktøyene: «Jeg Vet» og «SNAKKE».</w:t>
      </w:r>
    </w:p>
    <w:p w:rsidR="00557A6F" w:rsidRDefault="00557A6F" w:rsidP="00557A6F">
      <w:pPr>
        <w:pStyle w:val="avsnitt-under-undertittel"/>
      </w:pPr>
      <w:r>
        <w:lastRenderedPageBreak/>
        <w:t>Barn som vokser opp med omsorgspersoner med vedvarende lavinntekt</w:t>
      </w:r>
    </w:p>
    <w:p w:rsidR="00557A6F" w:rsidRDefault="00557A6F" w:rsidP="00557A6F">
      <w:r>
        <w:t>Andelen barn som vokser opp med omsorgspersoner med vedvarende lavinntekt øker. Fylkesma</w:t>
      </w:r>
      <w:r>
        <w:t>n</w:t>
      </w:r>
      <w:r>
        <w:t xml:space="preserve">nen spiller en viktig rolle som kunnskapsformidler, og skal bidra til at veileder for tverrsektorielt arbeid mot fattigdom i barnefamilier og indikatorene på kommunenivå blir kjent. </w:t>
      </w:r>
    </w:p>
    <w:p w:rsidR="00557A6F" w:rsidRDefault="00557A6F" w:rsidP="00557A6F">
      <w:pPr>
        <w:pStyle w:val="avsnitt-under-undertittel"/>
      </w:pPr>
      <w:r>
        <w:lastRenderedPageBreak/>
        <w:t>Barnehage og grunnopplæring</w:t>
      </w:r>
    </w:p>
    <w:p w:rsidR="00557A6F" w:rsidRDefault="00557A6F" w:rsidP="00557A6F">
      <w:r>
        <w:t>Gjennom informasjon og veiledning medvirker fylkesmannen til at nytt regelverk blir kjent og i</w:t>
      </w:r>
      <w:r>
        <w:t>m</w:t>
      </w:r>
      <w:r>
        <w:t>plementert i kommunene. Ny forskrift om rammeplan for barnehagens innhold og oppgaver (ra</w:t>
      </w:r>
      <w:r>
        <w:t>m</w:t>
      </w:r>
      <w:r>
        <w:t>meplanen) trådte i kraft 1. august 2017. I 2018 har fylkesmannsembetene hatt tett dialog med ba</w:t>
      </w:r>
      <w:r>
        <w:t>r</w:t>
      </w:r>
      <w:r>
        <w:t xml:space="preserve">nehagemyndigheter for å sikre implementeringen. </w:t>
      </w:r>
    </w:p>
    <w:p w:rsidR="00557A6F" w:rsidRDefault="00557A6F" w:rsidP="00557A6F">
      <w:r>
        <w:t>Fylkesmannen har fulgt opp arbeidet med revidert kompetansestrategi for barnehagen gjennom r</w:t>
      </w:r>
      <w:r>
        <w:t>e</w:t>
      </w:r>
      <w:r>
        <w:t xml:space="preserve">gional ordning for kompetanseutvikling, som er nærmere omtalt under mål 4. </w:t>
      </w:r>
    </w:p>
    <w:p w:rsidR="00557A6F" w:rsidRDefault="00557A6F" w:rsidP="00557A6F">
      <w:pPr>
        <w:pStyle w:val="avsnitt-under-undertittel"/>
      </w:pPr>
      <w:r>
        <w:t>Sosiale tjenester</w:t>
      </w:r>
    </w:p>
    <w:p w:rsidR="00557A6F" w:rsidRDefault="00557A6F" w:rsidP="00557A6F">
      <w:r>
        <w:t>Fylkesmannen skal gjennom tilsyn, klagesaksbehandling og kompetanseheving bidra til gode sos</w:t>
      </w:r>
      <w:r>
        <w:t>i</w:t>
      </w:r>
      <w:r>
        <w:t>ale tjenester som oppfyller regelverkets krav.</w:t>
      </w:r>
    </w:p>
    <w:p w:rsidR="00557A6F" w:rsidRDefault="00557A6F" w:rsidP="00557A6F">
      <w:r>
        <w:t>Fylkesmannen skal i 2020 medvirke til god regelverksetterlevelse og god praktisering av sosialtj</w:t>
      </w:r>
      <w:r>
        <w:t>e</w:t>
      </w:r>
      <w:r>
        <w:t>nesteloven. Fylkesmannen skal benytte erfaringer fra tilsyn, klagesaksbehandling og øvrig kontakt med de kommunale tj</w:t>
      </w:r>
      <w:r>
        <w:t>e</w:t>
      </w:r>
      <w:r>
        <w:t>nestene til å utforme kompetansehevende tiltak som kan bidra til styrket ivaretakelse av innbyggerne i komm</w:t>
      </w:r>
      <w:r>
        <w:t>u</w:t>
      </w:r>
      <w:r>
        <w:t>nene. Fylkesmannen skal også medvirke til at individuelle vurderinger, barnepe</w:t>
      </w:r>
      <w:r>
        <w:t>r</w:t>
      </w:r>
      <w:r>
        <w:t>spektivet og tilgjengelighet til tjenestene sikres.</w:t>
      </w:r>
    </w:p>
    <w:p w:rsidR="00557A6F" w:rsidRDefault="00557A6F" w:rsidP="00557A6F">
      <w:pPr>
        <w:pStyle w:val="avsnitt-under-undertittel"/>
      </w:pPr>
      <w:r>
        <w:t>Landbruksbasert forvaltning og næringsutvikling</w:t>
      </w:r>
    </w:p>
    <w:p w:rsidR="00557A6F" w:rsidRDefault="00557A6F" w:rsidP="00557A6F">
      <w:r>
        <w:t>Fylkesmannen er statlig sektormyndighet på landbruks- og matområdet regionalt, og er et viktig komp</w:t>
      </w:r>
      <w:r>
        <w:t>e</w:t>
      </w:r>
      <w:r>
        <w:t>tansesenter og bindeledd mellom kommunene og staten i gjennomføring av den nasjonale landbruks- og matpolitikken. Fylkesmannen har utstrakt samarbeid med andre regionale aktører.</w:t>
      </w:r>
    </w:p>
    <w:p w:rsidR="00557A6F" w:rsidRDefault="00557A6F" w:rsidP="00557A6F">
      <w:r>
        <w:t>Fra 2020 forsterkes kommunenes rolle og ansvar som landbruksmyndighet som del av kommun</w:t>
      </w:r>
      <w:r>
        <w:t>e</w:t>
      </w:r>
      <w:r>
        <w:t>reformen. Sa</w:t>
      </w:r>
      <w:r>
        <w:t>m</w:t>
      </w:r>
      <w:r>
        <w:t>tidig utvides fylkeskommunenes rolle og ansvar på landbruksområdet med bakgrunn i rollen som regional sa</w:t>
      </w:r>
      <w:r>
        <w:t>m</w:t>
      </w:r>
      <w:r>
        <w:t xml:space="preserve">funnsutvikler. Fylkesmannen vil i 2020 videreutvikle veiledning, dialog og oppfølging av kommunene. Samtidig vil samarbeidet med fylkeskommunen bli videreutviklet, slik Stortinget har lagt til grunn for i regionreformen. </w:t>
      </w:r>
    </w:p>
    <w:p w:rsidR="00557A6F" w:rsidRDefault="00557A6F" w:rsidP="00557A6F">
      <w:r>
        <w:t>Fylkesmannen har i 2018 ivaretatt forvaltningsoppgaver knyttet til juridiske og økonomiske virk</w:t>
      </w:r>
      <w:r>
        <w:t>e</w:t>
      </w:r>
      <w:r>
        <w:t>midler innen landbruk, og tilrettelagt for utvikling av ulike produksjoner i og i tilknytning til lan</w:t>
      </w:r>
      <w:r>
        <w:t>d</w:t>
      </w:r>
      <w:r>
        <w:t>bruket. I fylker som ble berørt av tørkesommeren 2018 har fylkesmannen lagt ned en omfattende innsats for å sikre en rask og effektiv behandling av erstatningssakene. Fylkesmannen vil i 2020 videreføre arbeidet med å sikre at etablerte systemer for kontroll og oppfølging av inntekts- og ve</w:t>
      </w:r>
      <w:r>
        <w:t>l</w:t>
      </w:r>
      <w:r>
        <w:t xml:space="preserve">ferdspolitiske virkemidler blir fulgt. </w:t>
      </w:r>
    </w:p>
    <w:p w:rsidR="00557A6F" w:rsidRDefault="00557A6F" w:rsidP="00557A6F">
      <w:r>
        <w:t>Fylkesmannen har gjennom dialog med kommunene bidratt til en reduksjon i omdisponering av dyrket jord fra 2017 til 2018. Det er nødvendig at fylkesmannen også prioriterer dialogen med kommunene i 2020, for å holde omdisponeringen på et lavt nivå framover.</w:t>
      </w:r>
    </w:p>
    <w:p w:rsidR="00557A6F" w:rsidRDefault="00557A6F" w:rsidP="00557A6F">
      <w:r>
        <w:t>Det er inngått en intensjonsavtale mellom jordbruket og regjeringen om å redusere klimagassu</w:t>
      </w:r>
      <w:r>
        <w:t>t</w:t>
      </w:r>
      <w:r>
        <w:t>slipp og øke op</w:t>
      </w:r>
      <w:r>
        <w:t>p</w:t>
      </w:r>
      <w:r>
        <w:t>taket av karbon i jordbruket for perioden 2021–2030. Fylkesmannen har en viktig rolle når det gjelder å følge med på kunnskapsutviklingen om jordbrukets samlede utslipp og b</w:t>
      </w:r>
      <w:r>
        <w:t>i</w:t>
      </w:r>
      <w:r>
        <w:t>drag til utslippsredu</w:t>
      </w:r>
      <w:r>
        <w:t>k</w:t>
      </w:r>
      <w:r>
        <w:t>sjoner, og bidra til at denne kunnskapen når ut til forvaltning og næring.</w:t>
      </w:r>
    </w:p>
    <w:p w:rsidR="00557A6F" w:rsidRDefault="00557A6F" w:rsidP="00557A6F">
      <w:r>
        <w:t>Infrastrukturtiltak i skogbruket har fortsatt høy prioritet. Investeringene i videreutvikling av både skogsveinettet og tømmerkaier har økt, og foryngelse og foryngelsestiltak har vært en satsing i flere fylker. Fylkesmannen vil arbeide videre for å styrke verdiskapingen i skognæringen og bidra til å videreu</w:t>
      </w:r>
      <w:r>
        <w:t>t</w:t>
      </w:r>
      <w:r>
        <w:t>vikle effektive transportårer fra skog til marked. Fylkesmannens arbeid med å koordinere innsatsen i skogbruksplanlegging med miljøregistr</w:t>
      </w:r>
      <w:r>
        <w:t>e</w:t>
      </w:r>
      <w:r>
        <w:t>ringer videreføres. Embetene vil på egnet måte følge opp strat</w:t>
      </w:r>
      <w:r>
        <w:t>e</w:t>
      </w:r>
      <w:r>
        <w:t xml:space="preserve">gidokumentet </w:t>
      </w:r>
      <w:r>
        <w:rPr>
          <w:rStyle w:val="kursiv"/>
          <w:sz w:val="21"/>
          <w:szCs w:val="21"/>
        </w:rPr>
        <w:t>Skog- og trenæringa – ein drivar for grøn omstilling</w:t>
      </w:r>
      <w:r>
        <w:t>, som ble lagt fram i 2019.</w:t>
      </w:r>
    </w:p>
    <w:p w:rsidR="00557A6F" w:rsidRDefault="00557A6F" w:rsidP="00557A6F">
      <w:r>
        <w:lastRenderedPageBreak/>
        <w:t>Arbeidet med å bidra til å utvikle reindriftsnæringen som en markedsorientert næring som er bær</w:t>
      </w:r>
      <w:r>
        <w:t>e</w:t>
      </w:r>
      <w:r>
        <w:t xml:space="preserve">kraftig i et langsiktig perspektiv skal fortsatt være en prioritert oppgave, jf. Meld. St. 32 (2016–2017) </w:t>
      </w:r>
      <w:r>
        <w:rPr>
          <w:rStyle w:val="kursiv"/>
          <w:sz w:val="21"/>
          <w:szCs w:val="21"/>
        </w:rPr>
        <w:t>Reindrift – Lang tr</w:t>
      </w:r>
      <w:r>
        <w:rPr>
          <w:rStyle w:val="kursiv"/>
          <w:sz w:val="21"/>
          <w:szCs w:val="21"/>
        </w:rPr>
        <w:t>a</w:t>
      </w:r>
      <w:r>
        <w:rPr>
          <w:rStyle w:val="kursiv"/>
          <w:sz w:val="21"/>
          <w:szCs w:val="21"/>
        </w:rPr>
        <w:t>disjon – unike muligheter</w:t>
      </w:r>
      <w:r>
        <w:t>. NIBIOs evaluering av endringene av den offentlige forval</w:t>
      </w:r>
      <w:r>
        <w:t>t</w:t>
      </w:r>
      <w:r>
        <w:t>ningen av reindriften viser til at avviklingen av områdestyrene og overføring av oppgaver til fylkesmannen har vært vellykket. Målene om en mer oversiktlig og effektiv forval</w:t>
      </w:r>
      <w:r>
        <w:t>t</w:t>
      </w:r>
      <w:r>
        <w:t>ning med hensyn til kjerneoppgavene er nådd. Evalueringen framhever behovet for å styrke dial</w:t>
      </w:r>
      <w:r>
        <w:t>o</w:t>
      </w:r>
      <w:r>
        <w:t>gen med reindriftsnæringen, samt at ordningen med områdekontor og geografisk nærhet til n</w:t>
      </w:r>
      <w:r>
        <w:t>æ</w:t>
      </w:r>
      <w:r>
        <w:t>ringen bør opprettholdes. Evalueringen er til vurdering i departementet.</w:t>
      </w:r>
    </w:p>
    <w:p w:rsidR="00557A6F" w:rsidRDefault="00557A6F" w:rsidP="00557A6F">
      <w:pPr>
        <w:pStyle w:val="avsnitt-under-undertittel"/>
      </w:pPr>
      <w:r>
        <w:lastRenderedPageBreak/>
        <w:t>Målrettet klima- og miljøarbeid</w:t>
      </w:r>
    </w:p>
    <w:p w:rsidR="00557A6F" w:rsidRDefault="00557A6F" w:rsidP="00557A6F">
      <w:r>
        <w:t>Fylkesmannen er viktig for iverksettingen av nasjonal klima- og miljøpolitikk. Fylkesmannen u</w:t>
      </w:r>
      <w:r>
        <w:t>t</w:t>
      </w:r>
      <w:r>
        <w:t>øver myndighet og har en rekke oppgaver innenfor naturforvaltning, forurensning og klima.</w:t>
      </w:r>
    </w:p>
    <w:p w:rsidR="00557A6F" w:rsidRDefault="00557A6F" w:rsidP="00557A6F">
      <w:r>
        <w:t>Fylkesmannen har i 2018 bidratt til at kommunene tar klima- og miljøhensyn i plansaker. Embet</w:t>
      </w:r>
      <w:r>
        <w:t>e</w:t>
      </w:r>
      <w:r>
        <w:t>ne har også levert resultater knyttet til marin forsøpling og opprydding i forurenset grunn og sj</w:t>
      </w:r>
      <w:r>
        <w:t>ø</w:t>
      </w:r>
      <w:r>
        <w:t>bunn i prioriterte områder. Fylkesmannen har gjort et viktig arbeid med vern, og bidratt til at 4,9 pst. av norsk skog nå er vernet. Fylke</w:t>
      </w:r>
      <w:r>
        <w:t>s</w:t>
      </w:r>
      <w:r>
        <w:t>mannens arbeid har vært viktig for å sikre gode prosesser innen vannforvaltning, og embetene har også bidratt til å videreutvikle kunnskapsgrunnlaget for forvaltning av naturmangfold i 2018. Fylkesmannen har vurdert søkn</w:t>
      </w:r>
      <w:r>
        <w:t>a</w:t>
      </w:r>
      <w:r>
        <w:t>der for Miljødirektoratet til støtteordningen Klimasats.</w:t>
      </w:r>
    </w:p>
    <w:p w:rsidR="00557A6F" w:rsidRDefault="00557A6F" w:rsidP="00557A6F">
      <w:r>
        <w:t>Reduksjon av klimagassutslipp og tilpasning av samfunnet til klimaendringer er prioritert i 2020. Videre vil fy</w:t>
      </w:r>
      <w:r>
        <w:t>l</w:t>
      </w:r>
      <w:r>
        <w:t>kesmannens arbeid med arealplanlegging, skogvern og revidering av avløpstillatelser bli viktig. Embetene skal også prioritere arbeidet med vannforvaltning, inkludert opprydding i fo</w:t>
      </w:r>
      <w:r>
        <w:t>r</w:t>
      </w:r>
      <w:r>
        <w:t xml:space="preserve">urenset sjøbunn på prioriterte skipsverft. </w:t>
      </w:r>
    </w:p>
    <w:p w:rsidR="00557A6F" w:rsidRDefault="00557A6F" w:rsidP="00557A6F">
      <w:pPr>
        <w:pStyle w:val="avsnitt-under-undertittel"/>
      </w:pPr>
      <w:r>
        <w:t>Samfunnssikkerhet og beredskap – veiledning og tilsyn i kommunene</w:t>
      </w:r>
    </w:p>
    <w:p w:rsidR="00557A6F" w:rsidRDefault="00557A6F" w:rsidP="00557A6F">
      <w:r>
        <w:t>Fylkesmannen bistår i arbeidet med å fremme samfunnssikkerhet, vurderer mulige virkninger av samfunnsplanleggingen og gir råd om tiltak som kan bidra til å utvikle trygge og robuste loka</w:t>
      </w:r>
      <w:r>
        <w:t>l</w:t>
      </w:r>
      <w:r>
        <w:t xml:space="preserve">samfunn. </w:t>
      </w:r>
    </w:p>
    <w:p w:rsidR="00557A6F" w:rsidRDefault="00557A6F" w:rsidP="00557A6F">
      <w:r>
        <w:t>Fylkesmannen er en viktig pådriver i kommunenes arbeid med samfunnssikkerhet. Pådriverrollen i</w:t>
      </w:r>
      <w:r>
        <w:t>n</w:t>
      </w:r>
      <w:r>
        <w:t>nebærer at alle embeter bidrar til å styrke kommunens samordningsrolle gjennom veiledning, øvelser og tilsyn. Måloppnåelsen hos embetene for 2018 har vært god samtidig som regionrefo</w:t>
      </w:r>
      <w:r>
        <w:t>r</w:t>
      </w:r>
      <w:r>
        <w:t xml:space="preserve">men har påvirket arbeidssituasjonen til flere av embetene. </w:t>
      </w:r>
    </w:p>
    <w:p w:rsidR="00557A6F" w:rsidRDefault="00557A6F" w:rsidP="00557A6F">
      <w:r>
        <w:t>For 2020 skal fylkesmannen fortsatt ha oppmerksomhet på kommunerettet samfunnssikkerhetsa</w:t>
      </w:r>
      <w:r>
        <w:t>r</w:t>
      </w:r>
      <w:r>
        <w:t>beid. Fylke</w:t>
      </w:r>
      <w:r>
        <w:t>s</w:t>
      </w:r>
      <w:r>
        <w:t>mannen har et viktig pådriveransvar for å få kommunene til å jobbe systematisk med mål og strategier inn i kommunenes samfunns-, areal- og beredskapsplanlegging. Fylkesmannen har også en viktig rolle i å bidra til kompetanseheving og videreutvikling av totalforsvaret i sitt arbeid ut mot komm</w:t>
      </w:r>
      <w:r>
        <w:t>u</w:t>
      </w:r>
      <w:r>
        <w:t>nene.</w:t>
      </w:r>
    </w:p>
    <w:p w:rsidR="00557A6F" w:rsidRDefault="00557A6F" w:rsidP="00557A6F">
      <w:pPr>
        <w:pStyle w:val="avsnitt-under-undertittel"/>
      </w:pPr>
      <w:r>
        <w:t>Planlegging, byutvikling og geodata</w:t>
      </w:r>
    </w:p>
    <w:p w:rsidR="00557A6F" w:rsidRDefault="00557A6F" w:rsidP="00557A6F">
      <w:r>
        <w:t>Fylkesmannen skal i kraft av sin samordningsrolle ivareta helhet og effektivitet i areal- og sa</w:t>
      </w:r>
      <w:r>
        <w:t>m</w:t>
      </w:r>
      <w:r>
        <w:t>funnsplanle</w:t>
      </w:r>
      <w:r>
        <w:t>g</w:t>
      </w:r>
      <w:r>
        <w:t xml:space="preserve">gingen. Utviklingen i ulike sektorer må ses i sammenheng. Samfunnsutviklingen og arealbruken må bli mer bærekraftig, samtidig som verdiskapingen skal øke. I mai 2019 ble </w:t>
      </w:r>
      <w:r>
        <w:rPr>
          <w:rStyle w:val="kursiv"/>
          <w:spacing w:val="-2"/>
          <w:sz w:val="21"/>
          <w:szCs w:val="21"/>
        </w:rPr>
        <w:t>Nasjon</w:t>
      </w:r>
      <w:r>
        <w:rPr>
          <w:rStyle w:val="kursiv"/>
          <w:spacing w:val="-2"/>
          <w:sz w:val="21"/>
          <w:szCs w:val="21"/>
        </w:rPr>
        <w:t>a</w:t>
      </w:r>
      <w:r>
        <w:rPr>
          <w:rStyle w:val="kursiv"/>
          <w:spacing w:val="-2"/>
          <w:sz w:val="21"/>
          <w:szCs w:val="21"/>
        </w:rPr>
        <w:t>le forventninger til regional og kommunal planlegging 2019</w:t>
      </w:r>
      <w:r>
        <w:t>–</w:t>
      </w:r>
      <w:r>
        <w:rPr>
          <w:rStyle w:val="kursiv"/>
          <w:spacing w:val="-2"/>
          <w:sz w:val="21"/>
          <w:szCs w:val="21"/>
        </w:rPr>
        <w:t>2023</w:t>
      </w:r>
      <w:r>
        <w:t xml:space="preserve"> lagt fram. Regjeringen legger stor vekt på lokaldemokratiet i plan- og byggesaker, samtidig som nasjonale hensyn skal ivaretas. FNs 17 b</w:t>
      </w:r>
      <w:r>
        <w:t>æ</w:t>
      </w:r>
      <w:r>
        <w:t>rekraftsmål er tatt inn som et grunnlag for den kommunale og fylkeskommunale planleggingen.</w:t>
      </w:r>
    </w:p>
    <w:p w:rsidR="00557A6F" w:rsidRDefault="00557A6F" w:rsidP="00557A6F">
      <w:r>
        <w:t>Fylkesmannen skal også bidra til å identifisere tiltak for mer effektive planprosesser og bedre plankvalitet. Fylkesmannen skal være pådriver for at kommunen som planmyndighet har oppdate</w:t>
      </w:r>
      <w:r>
        <w:t>r</w:t>
      </w:r>
      <w:r>
        <w:t>te kommuneplaner, som tar inn i seg nye føringer og oppdatert kunnskap, herunder innen sa</w:t>
      </w:r>
      <w:r>
        <w:t>m</w:t>
      </w:r>
      <w:r>
        <w:t>funnssikkerhet. Dette gjøres gjennom tidlig dialog, veiledning og samordning av statlige interesser. Fylkesmannens samordning av statlige innsigelser til kommunale planer etter plan- og bygningsl</w:t>
      </w:r>
      <w:r>
        <w:t>o</w:t>
      </w:r>
      <w:r>
        <w:t>ven er innført som permanent or</w:t>
      </w:r>
      <w:r>
        <w:t>d</w:t>
      </w:r>
      <w:r>
        <w:t xml:space="preserve">ning i alle embeter fra 2019. </w:t>
      </w:r>
    </w:p>
    <w:p w:rsidR="00557A6F" w:rsidRDefault="00557A6F" w:rsidP="00557A6F">
      <w:r>
        <w:lastRenderedPageBreak/>
        <w:t>Fylkesmannen arbeider for å sikre god kvalitet i det bygde miljø, som ivaretar sikkerhet, miljø og universell utforming. Fylkesmannen har siden 2018 hatt oppgaver knyttet til ivaretakelse av area</w:t>
      </w:r>
      <w:r>
        <w:t>l</w:t>
      </w:r>
      <w:r>
        <w:t xml:space="preserve">dimensjonen i arbeidet med byvekstavtaler. </w:t>
      </w:r>
    </w:p>
    <w:p w:rsidR="00557A6F" w:rsidRDefault="00557A6F" w:rsidP="00557A6F">
      <w:r>
        <w:t>Fylkesmannen har fulgt opp og rapportert om sin rolle på planområdet i 2018 i tråd med ove</w:t>
      </w:r>
      <w:r>
        <w:t>n</w:t>
      </w:r>
      <w:r>
        <w:t xml:space="preserve">nevnte føringer. Disse videreføres i 2020, jf. </w:t>
      </w:r>
      <w:r>
        <w:rPr>
          <w:rStyle w:val="kursiv"/>
          <w:sz w:val="21"/>
          <w:szCs w:val="21"/>
        </w:rPr>
        <w:t>Nasjonale forventninger til regional og kommunal planle</w:t>
      </w:r>
      <w:r>
        <w:rPr>
          <w:rStyle w:val="kursiv"/>
          <w:sz w:val="21"/>
          <w:szCs w:val="21"/>
        </w:rPr>
        <w:t>g</w:t>
      </w:r>
      <w:r>
        <w:rPr>
          <w:rStyle w:val="kursiv"/>
          <w:sz w:val="21"/>
          <w:szCs w:val="21"/>
        </w:rPr>
        <w:t>ging 2019–2023</w:t>
      </w:r>
      <w:r>
        <w:t>. I 2019 har fylkesmannen fått som oppgave å legge til rette for at nyvalgte komm</w:t>
      </w:r>
      <w:r>
        <w:t>u</w:t>
      </w:r>
      <w:r>
        <w:t xml:space="preserve">nestyrer gis opplæring i kommunalt planarbeid innenfor sektorene fylkesmannen er ansvarlig for. </w:t>
      </w:r>
    </w:p>
    <w:p w:rsidR="00557A6F" w:rsidRDefault="00557A6F" w:rsidP="00557A6F">
      <w:pPr>
        <w:pStyle w:val="avsnitt-tittel"/>
      </w:pPr>
      <w:r>
        <w:t>Mål 2 Statlige virksomheter på regionalt nivå skal være godt samordnet og legge til rette for gode helhetslø</w:t>
      </w:r>
      <w:r>
        <w:t>s</w:t>
      </w:r>
      <w:r>
        <w:t>ninger</w:t>
      </w:r>
    </w:p>
    <w:p w:rsidR="00557A6F" w:rsidRDefault="00557A6F" w:rsidP="00557A6F">
      <w:r>
        <w:t>Fylkesmannen er det eneste regionale organet med fullmakt til å ta samordningsinitiativ overfor andre statlige etater på samme nivå. Oppgaven er i hovedsak begrunnet ut fra ønsket om en effektiv statsfo</w:t>
      </w:r>
      <w:r>
        <w:t>r</w:t>
      </w:r>
      <w:r>
        <w:lastRenderedPageBreak/>
        <w:t>valtning og hensynet til brukerne, og handler om statens evne til å realisere nasjonale mål på tvers av nivåer og sektorer, og samordning av statens styring av kommunene.</w:t>
      </w:r>
    </w:p>
    <w:p w:rsidR="00557A6F" w:rsidRDefault="00557A6F" w:rsidP="00557A6F">
      <w:pPr>
        <w:pStyle w:val="avsnitt-undertittel"/>
      </w:pPr>
      <w:r>
        <w:t>Rapport, strategier og tiltak</w:t>
      </w:r>
    </w:p>
    <w:p w:rsidR="00557A6F" w:rsidRDefault="00557A6F" w:rsidP="00557A6F">
      <w:pPr>
        <w:pStyle w:val="avsnitt-under-undertittel"/>
      </w:pPr>
      <w:r>
        <w:t>Samordning av tilsyn</w:t>
      </w:r>
    </w:p>
    <w:p w:rsidR="00557A6F" w:rsidRDefault="00557A6F" w:rsidP="00557A6F">
      <w:r>
        <w:t>Fylkesmannen samordner det statlige tilsynet med kommunene, med hjemmel i kommuneloven kapittel 30. Fylkesmannen arbeider også for å innrette eget tilsyn på en måte som bidrar til mer læring og forbe</w:t>
      </w:r>
      <w:r>
        <w:t>d</w:t>
      </w:r>
      <w:r>
        <w:t>ring etter tilsyn. Høsten 2017 ble det etablert en arena for nasjonal samordning av statlig tilsyn med kommunesektoren i regi av Kommunal- og moderniseringsdepartementet der tolv nasjonale tilsynsmy</w:t>
      </w:r>
      <w:r>
        <w:t>n</w:t>
      </w:r>
      <w:r>
        <w:t>digheter deltar. Målet med samordningen er å legge til rette for at nasjonale tilsynsmyndigheter kan op</w:t>
      </w:r>
      <w:r>
        <w:t>p</w:t>
      </w:r>
      <w:r>
        <w:t>tre mer enhetlig overfor kommuner og fylkesmenn.</w:t>
      </w:r>
    </w:p>
    <w:p w:rsidR="00557A6F" w:rsidRDefault="00557A6F" w:rsidP="00557A6F">
      <w:pPr>
        <w:pStyle w:val="avsnitt-under-undertittel"/>
      </w:pPr>
      <w:r>
        <w:t>Bolig for velferd</w:t>
      </w:r>
    </w:p>
    <w:p w:rsidR="00557A6F" w:rsidRDefault="00557A6F" w:rsidP="00557A6F">
      <w:pPr>
        <w:rPr>
          <w:rStyle w:val="kursiv"/>
          <w:sz w:val="21"/>
          <w:szCs w:val="21"/>
        </w:rPr>
      </w:pPr>
      <w:r>
        <w:rPr>
          <w:rStyle w:val="kursiv"/>
          <w:spacing w:val="2"/>
          <w:sz w:val="21"/>
          <w:szCs w:val="21"/>
        </w:rPr>
        <w:t>Bolig for velferd – Nasjonal strategi for boligsosialt arbeid (2014–2020)</w:t>
      </w:r>
      <w:r>
        <w:t xml:space="preserve"> gir retningen for arbeidet med boliger og oppfølgingstjenester for vanskeligstilte på boligmarkedet fram til 2020, se nærmere o</w:t>
      </w:r>
      <w:r>
        <w:t>m</w:t>
      </w:r>
      <w:r>
        <w:t>tale av resultater fra strategiperioden under programkategori 13.80. Fylkesmannen skal bidra til at strat</w:t>
      </w:r>
      <w:r>
        <w:t>e</w:t>
      </w:r>
      <w:r>
        <w:t>gien følges opp i kommunene, og skal fremme boligsosialt arbeid og sikre koordinering og samordning av sektorovergripende oppgaver og virkemidler. Fylkesmannen skal se ulike statlige satsinger i sa</w:t>
      </w:r>
      <w:r>
        <w:t>m</w:t>
      </w:r>
      <w:r>
        <w:t xml:space="preserve">menheng med </w:t>
      </w:r>
      <w:r>
        <w:rPr>
          <w:rStyle w:val="kursiv"/>
          <w:spacing w:val="2"/>
          <w:sz w:val="21"/>
          <w:szCs w:val="21"/>
        </w:rPr>
        <w:t>Bolig for velferd</w:t>
      </w:r>
      <w:r>
        <w:t>. Videre skal fylkesmannen bidra til at boligsosiale hensyn vektlegges helhetlig i kommunal planlegging. Fylkesmannen skal legge til rette for at reg</w:t>
      </w:r>
      <w:r>
        <w:t>i</w:t>
      </w:r>
      <w:r>
        <w:t>onale aktører møter kommunene samordnet, for å løse boligsosiale problemstillinger. Der det ikke eksisterer regionale samordningsfora, skal fylkesmannen sammen med Husbanken, opprette dette.</w:t>
      </w:r>
    </w:p>
    <w:p w:rsidR="00557A6F" w:rsidRDefault="00557A6F" w:rsidP="00557A6F">
      <w:r>
        <w:t>Strategien har to prioriterte tiltak for perioden 2018–2020. Det første er å tilrettelegge for at van</w:t>
      </w:r>
      <w:r>
        <w:t>s</w:t>
      </w:r>
      <w:r>
        <w:t>keligstilte ba</w:t>
      </w:r>
      <w:r>
        <w:t>r</w:t>
      </w:r>
      <w:r>
        <w:t>nefamilier bor i egnet bolig. Det andre prioriterte tiltaket er å bidra til et helhetlig tilbud av bol</w:t>
      </w:r>
      <w:r>
        <w:t>i</w:t>
      </w:r>
      <w:r>
        <w:t>ger og tjenester for personer med rusmiddelavhengighet og psykiske lidelser.</w:t>
      </w:r>
    </w:p>
    <w:p w:rsidR="00557A6F" w:rsidRDefault="00557A6F" w:rsidP="00557A6F">
      <w:pPr>
        <w:pStyle w:val="avsnitt-under-undertittel"/>
      </w:pPr>
      <w:r>
        <w:t>Aktivitetsplikt for sosialhjelpsmottakere og kvalifiseringsprogram</w:t>
      </w:r>
    </w:p>
    <w:p w:rsidR="00557A6F" w:rsidRDefault="00557A6F" w:rsidP="00557A6F">
      <w:r>
        <w:t>Fylkesmannen skal bidra med råd og veiledning overfor kommunene om plikten for kommunen til å stille vilkår om aktivitet til mottakere av økonomisk sosialhjelp under 30 år. En delrapport fra evalueringen fra juni 2019 basert på casestudier ved seks NAV-kontor beskriver hvordan loven</w:t>
      </w:r>
      <w:r>
        <w:t>d</w:t>
      </w:r>
      <w:r>
        <w:t>ringen har blitt implementert, hva som har fungert godt og områder hvor ansatte og brukere mener at det er rom for forbedringer</w:t>
      </w:r>
      <w:r>
        <w:rPr>
          <w:rStyle w:val="kursiv"/>
          <w:spacing w:val="2"/>
          <w:sz w:val="21"/>
          <w:szCs w:val="21"/>
        </w:rPr>
        <w:t xml:space="preserve">. </w:t>
      </w:r>
      <w:r>
        <w:t>Sluttrapport fra evalueringen skal foreligge høsten 2020.</w:t>
      </w:r>
    </w:p>
    <w:p w:rsidR="00557A6F" w:rsidRDefault="00557A6F" w:rsidP="00557A6F">
      <w:r>
        <w:t>Kvalifiseringsprogrammet er et viktig virkemiddel i regjeringens innsats for å bekjempe fattigdom. Kvalifis</w:t>
      </w:r>
      <w:r>
        <w:t>e</w:t>
      </w:r>
      <w:r>
        <w:t>ringsprogrammet skal være arbeidsrettet og tilrettelagt for den enkelte bruker og er en rettighet for de som fyller vilkårene. Det er fra 1. januar 2019 innført enkelte endringer i regelve</w:t>
      </w:r>
      <w:r>
        <w:t>r</w:t>
      </w:r>
      <w:r>
        <w:t>ket for kvalifiseringsprogrammet. Endringene gjelder inngangsvilkår, varighet og innhold i pr</w:t>
      </w:r>
      <w:r>
        <w:t>o</w:t>
      </w:r>
      <w:r>
        <w:t>grammet, og skal samlet sett bidra til å gjøre programmet mer fleksibelt og tilgjengelig enn i dag. Fylkesmannen skal gjennom kompetansehevende tiltak medvirke til at retten til kvalifiseringspr</w:t>
      </w:r>
      <w:r>
        <w:t>o</w:t>
      </w:r>
      <w:r>
        <w:t>gram blir oppfylt.</w:t>
      </w:r>
    </w:p>
    <w:p w:rsidR="00557A6F" w:rsidRDefault="00557A6F" w:rsidP="00557A6F">
      <w:pPr>
        <w:pStyle w:val="avsnitt-under-undertittel"/>
      </w:pPr>
      <w:r>
        <w:lastRenderedPageBreak/>
        <w:t>Bosetting og integrering av flyktninger</w:t>
      </w:r>
    </w:p>
    <w:p w:rsidR="00557A6F" w:rsidRDefault="00557A6F" w:rsidP="00557A6F">
      <w:r>
        <w:t>Fylkesmannen bidrar til raskere bosetting av flyktninger, i samarbeid med Integrerings- og man</w:t>
      </w:r>
      <w:r>
        <w:t>g</w:t>
      </w:r>
      <w:r>
        <w:t>foldsdirektoratet (IMDi). I 2018 bosatte kommunene til sammen 4 903 flyktninger. Det er lavere enn 2017 (11 078) og toppåret 2016 (15 291). Overføringsflyktninger utgjorde om lag halvparten av de bosatte flyktningene i 2018. Etter den store asyltilstrømmingen i 2015, har det kommet færre nye asylsøkere til Norge. Bosettingen har derfor gått betydelig raskere de siste årene. I 2015 ble 51 pst. av flyktningene bosatt innen seks måneder, mens den i 2018 økte til 83 pst. Dette var mulig fordi det fortsatt er god kap</w:t>
      </w:r>
      <w:r>
        <w:t>a</w:t>
      </w:r>
      <w:r>
        <w:t>sitet i tjenesteapparatet i kommunene etter den store oppbyggingen i 2016. Prognoser tilsier at komm</w:t>
      </w:r>
      <w:r>
        <w:t>u</w:t>
      </w:r>
      <w:r>
        <w:t xml:space="preserve">nene må bosette om lag 5 150 flyktninger i 2019. I 2020 anslås det at kommunene må bosette om lag 5 220 flyktninger. </w:t>
      </w:r>
    </w:p>
    <w:p w:rsidR="00557A6F" w:rsidRDefault="00557A6F" w:rsidP="00557A6F">
      <w:r>
        <w:lastRenderedPageBreak/>
        <w:t>Fylkesmannen fører tilsyn med at kommunene oppfyller pliktene etter introduksjonsloven. Indiv</w:t>
      </w:r>
      <w:r>
        <w:t>i</w:t>
      </w:r>
      <w:r>
        <w:t>duell plan er videreført som tilsynstema i 2020. Enkeltvedtak truffet etter introduksjonsloven og tilhørende fo</w:t>
      </w:r>
      <w:r>
        <w:t>r</w:t>
      </w:r>
      <w:r>
        <w:t xml:space="preserve">skrifter kan påklages til fylkesmannen. </w:t>
      </w:r>
    </w:p>
    <w:p w:rsidR="00557A6F" w:rsidRDefault="00557A6F" w:rsidP="00557A6F">
      <w:pPr>
        <w:pStyle w:val="avsnitt-under-undertittel"/>
      </w:pPr>
      <w:r>
        <w:t>Klimahensyn</w:t>
      </w:r>
    </w:p>
    <w:p w:rsidR="00557A6F" w:rsidRDefault="00557A6F" w:rsidP="00557A6F">
      <w:r>
        <w:t>I samarbeid med andre statlige aktører bidrar fylkesmannen til at kommunene og næringslivet r</w:t>
      </w:r>
      <w:r>
        <w:t>e</w:t>
      </w:r>
      <w:r>
        <w:t>duserer sine klimagassutslipp og samfunnets samlede sårbarhet for klimaendringer. Klimahensyn skal ivaretas i alle sektorer. De statlige planretningslinjene om samordnet bolig-, areal- og tran</w:t>
      </w:r>
      <w:r>
        <w:t>s</w:t>
      </w:r>
      <w:r>
        <w:t>portplanlegging og klima- og energiplanlegging og klimatilpasning skal ligge til grunn i komm</w:t>
      </w:r>
      <w:r>
        <w:t>u</w:t>
      </w:r>
      <w:r>
        <w:t>nale og regionale planprosesser, og embetene arbeider også for å ivareta miljøhensyn ved konsep</w:t>
      </w:r>
      <w:r>
        <w:t>t</w:t>
      </w:r>
      <w:r>
        <w:t>valgutredninger.</w:t>
      </w:r>
    </w:p>
    <w:p w:rsidR="00557A6F" w:rsidRDefault="00557A6F" w:rsidP="00557A6F">
      <w:r>
        <w:t>I 2018 har fylkesmannen fulgt opp og veiledet kommunene i deres arbeid med klimatilpasning og klima- og energiplanlegging, blant annet ved å gjennomføre kunnskapsfremmende og kompeta</w:t>
      </w:r>
      <w:r>
        <w:t>n</w:t>
      </w:r>
      <w:r>
        <w:t>sehevende tiltak. Fylke</w:t>
      </w:r>
      <w:r>
        <w:t>s</w:t>
      </w:r>
      <w:r>
        <w:t xml:space="preserve">mannen har bidratt i gjennomføring av byvekstavtalene og i ivaretakelsen av klimahensyn i plansaker. Rundskriv T-2/16 </w:t>
      </w:r>
      <w:r>
        <w:rPr>
          <w:rStyle w:val="kursiv"/>
          <w:sz w:val="21"/>
          <w:szCs w:val="21"/>
        </w:rPr>
        <w:t>Nasjonale og vesentlige regionale interesser på miljøo</w:t>
      </w:r>
      <w:r>
        <w:rPr>
          <w:rStyle w:val="kursiv"/>
          <w:sz w:val="21"/>
          <w:szCs w:val="21"/>
        </w:rPr>
        <w:t>m</w:t>
      </w:r>
      <w:r>
        <w:rPr>
          <w:rStyle w:val="kursiv"/>
          <w:sz w:val="21"/>
          <w:szCs w:val="21"/>
        </w:rPr>
        <w:t>rådet – klargjøring av miljøforvaltningens inns</w:t>
      </w:r>
      <w:r>
        <w:rPr>
          <w:rStyle w:val="kursiv"/>
          <w:sz w:val="21"/>
          <w:szCs w:val="21"/>
        </w:rPr>
        <w:t>i</w:t>
      </w:r>
      <w:r>
        <w:rPr>
          <w:rStyle w:val="kursiv"/>
          <w:sz w:val="21"/>
          <w:szCs w:val="21"/>
        </w:rPr>
        <w:t>gelsespraksis</w:t>
      </w:r>
      <w:r>
        <w:t xml:space="preserve"> har vært lagt til grunn for arbeidet med plan- og energisaker. </w:t>
      </w:r>
    </w:p>
    <w:p w:rsidR="00557A6F" w:rsidRDefault="00557A6F" w:rsidP="00557A6F">
      <w:r>
        <w:t xml:space="preserve">Fylkesmannen skal i 2020 fortsette arbeidet med å ivareta klimahensyn i alle sektorer for å bidra til reduserte klimagassutslipp og tilpasning av samfunnet til klimaendringer. </w:t>
      </w:r>
    </w:p>
    <w:p w:rsidR="00557A6F" w:rsidRDefault="00557A6F" w:rsidP="00557A6F">
      <w:pPr>
        <w:pStyle w:val="avsnitt-under-undertittel"/>
      </w:pPr>
      <w:r>
        <w:t>Utsatte barn og unge</w:t>
      </w:r>
    </w:p>
    <w:p w:rsidR="00557A6F" w:rsidRDefault="00557A6F" w:rsidP="00557A6F">
      <w:r>
        <w:t>Fylkesmannen skal bidra til at barnekonvensjonen legges til grunn for arbeidet med barn og unge i kommunene. Det er viktig at Fylkesmannen følger opp kommuner med stor risiko for svikt i tj</w:t>
      </w:r>
      <w:r>
        <w:t>e</w:t>
      </w:r>
      <w:r>
        <w:t>nestene med råd og veiledning.</w:t>
      </w:r>
    </w:p>
    <w:p w:rsidR="00557A6F" w:rsidRDefault="00557A6F" w:rsidP="00557A6F">
      <w:r>
        <w:t>0-24-samarbeidet er en egen satsing for å styrke samarbeidet mellom tjenestene til utsatte barn og unge og deres familier. Departementene i 0-24-samarbeidet har de fire siste årene gitt fylkesma</w:t>
      </w:r>
      <w:r>
        <w:t>n</w:t>
      </w:r>
      <w:r>
        <w:t>nen et felles oppdrag som pådriver for tverrfaglig samarbeid og samordning rundt utsatte barn, unge og deres familier (0-24-oppdraget). Alle embetene har utarbeidet strategiske og lederforan</w:t>
      </w:r>
      <w:r>
        <w:t>k</w:t>
      </w:r>
      <w:r>
        <w:t xml:space="preserve">rede planer for sitt arbeid med 0-24-oppdraget. </w:t>
      </w:r>
    </w:p>
    <w:p w:rsidR="00557A6F" w:rsidRDefault="00557A6F" w:rsidP="00557A6F">
      <w:r>
        <w:t>Årsrapporteringen for 2018 viser at embetene har iverksatt en rekke tiltak på området. Embetene vurderer at samordningen og samarbeidet om utsatte barn og unge er forbedret, både hos komm</w:t>
      </w:r>
      <w:r>
        <w:t>u</w:t>
      </w:r>
      <w:r>
        <w:t>nene og regionale sama</w:t>
      </w:r>
      <w:r>
        <w:t>r</w:t>
      </w:r>
      <w:r>
        <w:t>beidsaktører, som følge av innsatsen.</w:t>
      </w:r>
    </w:p>
    <w:p w:rsidR="00557A6F" w:rsidRDefault="00557A6F" w:rsidP="00557A6F">
      <w:r>
        <w:t>I 2020 skal fylkesmannen ha særlig oppmerksomhet på hvordan det regionale samarbeidet best kan understøtte kommunenes arbeid på dette området.</w:t>
      </w:r>
    </w:p>
    <w:p w:rsidR="00557A6F" w:rsidRDefault="00557A6F" w:rsidP="00557A6F">
      <w:pPr>
        <w:pStyle w:val="avsnitt-under-undertittel"/>
      </w:pPr>
      <w:r>
        <w:t>Samfunnssikkerhet og beredskap – samordning</w:t>
      </w:r>
    </w:p>
    <w:p w:rsidR="00557A6F" w:rsidRDefault="00557A6F" w:rsidP="00557A6F">
      <w:r>
        <w:t>Fylkesmannen er pådriver for at det arbeides helhetlig og samordnet med samfunnssikkerhet i fy</w:t>
      </w:r>
      <w:r>
        <w:t>l</w:t>
      </w:r>
      <w:r>
        <w:t xml:space="preserve">ket. </w:t>
      </w:r>
    </w:p>
    <w:p w:rsidR="00557A6F" w:rsidRDefault="00557A6F" w:rsidP="00557A6F">
      <w:r>
        <w:t>Samtlige embeter hadde i 2018 et oppdatert kunnskaps- og plangrunnlag som gir oversikt over r</w:t>
      </w:r>
      <w:r>
        <w:t>i</w:t>
      </w:r>
      <w:r>
        <w:t>siko og så</w:t>
      </w:r>
      <w:r>
        <w:t>r</w:t>
      </w:r>
      <w:r>
        <w:t>barhet, og en plan med tiltak for å styrke samfunnssikkerheten i fylket de neste årene. Basert på endringer i trusselbildet er det fortsatt behov for videreutvikling av totalforsvaret. I 2018 hadde embetene stor oppmerksomhet på kompetansehevingstiltak og gjennomføring av N</w:t>
      </w:r>
      <w:r>
        <w:t>A</w:t>
      </w:r>
      <w:r>
        <w:t>TO-øvelsen Trident Juncture. Arbeidet må fortsette i 2020 blant annet gjennom oppfølging av erf</w:t>
      </w:r>
      <w:r>
        <w:t>a</w:t>
      </w:r>
      <w:r>
        <w:t>ringene etter øvelsen. Det vil være særlig oppmerksomhet på det regionale og lokale nivået i tota</w:t>
      </w:r>
      <w:r>
        <w:t>l</w:t>
      </w:r>
      <w:r>
        <w:t xml:space="preserve">forsvarsarbeidet i perioden </w:t>
      </w:r>
      <w:r>
        <w:lastRenderedPageBreak/>
        <w:t>2019–2020. Det forventes at fylkesmannen bidrar i dette arbeidet, blant annet ved å jobbe med regional vertslandsstøtte, og i større grad inkluderer si</w:t>
      </w:r>
      <w:r>
        <w:t>k</w:t>
      </w:r>
      <w:r>
        <w:t>kerhetspolitisk krise og krig i planverk og ROS-analyser.</w:t>
      </w:r>
    </w:p>
    <w:p w:rsidR="00557A6F" w:rsidRDefault="00557A6F" w:rsidP="00557A6F">
      <w:r>
        <w:t>For 2020 skal fylkesmannen ha oppmerksomhet på systematikk i det regionale samordningsarbe</w:t>
      </w:r>
      <w:r>
        <w:t>i</w:t>
      </w:r>
      <w:r>
        <w:t>det. Dette innebærer at fylkesmannen legger vekt på kontinuerlig utvikling av et godt og oppdatert kun</w:t>
      </w:r>
      <w:r>
        <w:t>n</w:t>
      </w:r>
      <w:r>
        <w:t>skaps- og plangrunnlag. Grunnlaget skal ha klare mål og planer for å følge opp utfordringer og tiltak i det regionale samfunnssikkerhet</w:t>
      </w:r>
      <w:r>
        <w:t>s</w:t>
      </w:r>
      <w:r>
        <w:t>arbeidet både i forebygging, beredskapsplanlegging og krisehåndtering i eget embete og som pådriver for regi</w:t>
      </w:r>
      <w:r>
        <w:t>o</w:t>
      </w:r>
      <w:r>
        <w:t>nale aktører.</w:t>
      </w:r>
    </w:p>
    <w:p w:rsidR="00557A6F" w:rsidRDefault="00557A6F" w:rsidP="00557A6F">
      <w:pPr>
        <w:pStyle w:val="avsnitt-under-undertittel"/>
      </w:pPr>
      <w:r>
        <w:lastRenderedPageBreak/>
        <w:t>Planlegging, byutvikling og geodata</w:t>
      </w:r>
    </w:p>
    <w:p w:rsidR="00557A6F" w:rsidRDefault="00557A6F" w:rsidP="00557A6F">
      <w:r>
        <w:t>Fylkesmannen skal bidra til framtidsrettet areal- og samfunnsplanlegging gjennom å gi et helhetlig bilde av statens forventninger og krav i planleggingen. Plan- og bygningsloven og geodataloven med tilhørende forskrifter er verktøy som bidrar til måloppnåelse innenfor flere sektorer. Innsige</w:t>
      </w:r>
      <w:r>
        <w:t>l</w:t>
      </w:r>
      <w:r>
        <w:t>ser skal bare fremmes når det er nødvendig for å ivareta nasjonale og viktige regionale interesser, der tidlig dialog og interess</w:t>
      </w:r>
      <w:r>
        <w:t>e</w:t>
      </w:r>
      <w:r>
        <w:t>avveining ikke har ført fram. Det lokale selvstyret skal vektlegges.</w:t>
      </w:r>
    </w:p>
    <w:p w:rsidR="00557A6F" w:rsidRDefault="00557A6F" w:rsidP="00557A6F">
      <w:r>
        <w:t>Embetenes rapportering for 2018 synliggjør at samordning av statlige innsigelser bidrar til mer effektive pla</w:t>
      </w:r>
      <w:r>
        <w:t>n</w:t>
      </w:r>
      <w:r>
        <w:t>prosesser, et bedre samarbeid mellom kommunene og statlige planer, og bedre planer. Fylke</w:t>
      </w:r>
      <w:r>
        <w:t>s</w:t>
      </w:r>
      <w:r>
        <w:t xml:space="preserve">mannen har også samarbeidet med Kartverket for at flere kommuner skal få på plass digitale planregistre og effektiv elektronisk plandialog. Fylkesmannen skal i 2020 prioritere å følge opp </w:t>
      </w:r>
      <w:r>
        <w:rPr>
          <w:rStyle w:val="kursiv"/>
          <w:sz w:val="21"/>
          <w:szCs w:val="21"/>
        </w:rPr>
        <w:t>Nasjonale forventninger til regional og kommunal planlegging 2019</w:t>
      </w:r>
      <w:r>
        <w:t>–</w:t>
      </w:r>
      <w:r>
        <w:rPr>
          <w:rStyle w:val="kursiv"/>
          <w:sz w:val="21"/>
          <w:szCs w:val="21"/>
        </w:rPr>
        <w:t>2023</w:t>
      </w:r>
      <w:r>
        <w:t xml:space="preserve"> i sin samordningsrolle.</w:t>
      </w:r>
    </w:p>
    <w:p w:rsidR="00557A6F" w:rsidRDefault="00557A6F" w:rsidP="00557A6F">
      <w:pPr>
        <w:pStyle w:val="avsnitt-tittel"/>
      </w:pPr>
      <w:r>
        <w:t>Mål 3 Rettssikkerhet skal være ivaretatt på en enhetlig måte i fylket og på tvers av embetene</w:t>
      </w:r>
    </w:p>
    <w:p w:rsidR="00557A6F" w:rsidRDefault="00557A6F" w:rsidP="00557A6F">
      <w:r>
        <w:t>Fylkesmannen er klagemyndighet for kommunale enkeltvedtak og tilsynsmyndighet etter særlo</w:t>
      </w:r>
      <w:r>
        <w:t>v</w:t>
      </w:r>
      <w:r>
        <w:t>givningen. Fylkesmannen er også klage- og tilsynsmyndighet for statlig og privat drevet barnevern, famili</w:t>
      </w:r>
      <w:r>
        <w:t>e</w:t>
      </w:r>
      <w:r>
        <w:t>vern, krisesentre, helseforetak og private tjenesteytere innen helse- og omsorgstjenester. Dette utgjør hovedelementene i fylkesmannens rettssikkerhetsfunksjon. Det gjelder i forholdet mellom kommunene som offentlige utøvende myndighetsorgan, og innbyggerne og næringslivet som mottakere av kommun</w:t>
      </w:r>
      <w:r>
        <w:t>a</w:t>
      </w:r>
      <w:r>
        <w:t>le tjenester og vedtak. Tilsyn skal sikre at innbyggerne får oppfylt sine rettigheter til nødvendige tjenester. Overordnet tilsynsmyndighet tilrettelegger for harmonisert og enhetlig praksis i embetene.</w:t>
      </w:r>
    </w:p>
    <w:p w:rsidR="00557A6F" w:rsidRDefault="00557A6F" w:rsidP="00557A6F">
      <w:pPr>
        <w:pStyle w:val="avsnitt-undertittel"/>
      </w:pPr>
      <w:r>
        <w:t>Rapport, strategier og tiltak</w:t>
      </w:r>
    </w:p>
    <w:p w:rsidR="00557A6F" w:rsidRDefault="00557A6F" w:rsidP="00557A6F">
      <w:pPr>
        <w:pStyle w:val="avsnitt-under-undertittel"/>
      </w:pPr>
      <w:r>
        <w:t>Vergemål</w:t>
      </w:r>
    </w:p>
    <w:p w:rsidR="00557A6F" w:rsidRDefault="00557A6F" w:rsidP="00557A6F">
      <w:r>
        <w:t>Fylkesmannen er lokal vergemålsmyndighet og førstelinje på vergemålsområdet. Det var en bet</w:t>
      </w:r>
      <w:r>
        <w:t>y</w:t>
      </w:r>
      <w:r>
        <w:t>delig økning i antall vergemål etter reformstart i 2013, men de siste to årene har utviklingen flatet ut og antallet har stabilisert seg. Det er i dag om lag 63 000 personer som får hjelp gjennom ve</w:t>
      </w:r>
      <w:r>
        <w:t>r</w:t>
      </w:r>
      <w:r>
        <w:t>gemålsordningen. Av disse er det om lag 42 000 voksne som har verge. De resterende er i hove</w:t>
      </w:r>
      <w:r>
        <w:t>d</w:t>
      </w:r>
      <w:r>
        <w:t>sak mindreårige som har formue som forvaltes av fylkesmannen og mindreårige som har en mi</w:t>
      </w:r>
      <w:r>
        <w:t>d</w:t>
      </w:r>
      <w:r>
        <w:t>lertidig setteverge. Det er også en liten gruppe enslige mindreårige asylsøkere.</w:t>
      </w:r>
    </w:p>
    <w:p w:rsidR="00557A6F" w:rsidRDefault="00557A6F" w:rsidP="00557A6F">
      <w:r>
        <w:t>«Tolga-saken» viste at det kunne være enkelte som har fått opprettet vergemål mot sin vilje. Det ble våren 2019 gjennomført en kartlegging for å avdekke eventuelle uønskede vergemål. Funnene fra kartleggingen vil bli fulgt opp i 2019 og 2020. Dette gjelder både oppfølging av konkrete e</w:t>
      </w:r>
      <w:r>
        <w:t>n</w:t>
      </w:r>
      <w:r>
        <w:t>keltsaker og gje</w:t>
      </w:r>
      <w:r>
        <w:t>n</w:t>
      </w:r>
      <w:r>
        <w:t>nomføring av tiltak for å sikre frivillighet i vergemålsordningen.</w:t>
      </w:r>
    </w:p>
    <w:p w:rsidR="00557A6F" w:rsidRDefault="00557A6F" w:rsidP="00557A6F">
      <w:r>
        <w:t>Det vil framover særlig vektlegges å fortsette arbeidet med å heve kvaliteten på vergemålsfeltet. CRPD-komiteens (Committee on the Rights of Persons with Disabilities) anbefalinger og Riksrev</w:t>
      </w:r>
      <w:r>
        <w:t>i</w:t>
      </w:r>
      <w:r>
        <w:t>sjonens rapport har gitt viktige innspill til dette arbeidet. Sentrale satsingsområder vil være selvb</w:t>
      </w:r>
      <w:r>
        <w:t>e</w:t>
      </w:r>
      <w:r>
        <w:t>stemmelse for vergehavere og individtilpasning av det enkelte vergemål. Arbeidet som gjøres ved oppstart av vergemål skal også styrkes. Bedre legeerklæringer og systematiske samtaler med ve</w:t>
      </w:r>
      <w:r>
        <w:t>r</w:t>
      </w:r>
      <w:r>
        <w:t>gehaver og verger er en del av dette. Opplæring av og tilsyn med verger vil også vektlegges. Ve</w:t>
      </w:r>
      <w:r>
        <w:t>r</w:t>
      </w:r>
      <w:r>
        <w:t>gens rolle knyttet til å gi beslutning</w:t>
      </w:r>
      <w:r>
        <w:t>s</w:t>
      </w:r>
      <w:r>
        <w:t>støtte til vergehaver vil stå sentralt.</w:t>
      </w:r>
    </w:p>
    <w:p w:rsidR="00557A6F" w:rsidRDefault="00557A6F" w:rsidP="00557A6F">
      <w:pPr>
        <w:pStyle w:val="avsnitt-under-undertittel"/>
      </w:pPr>
      <w:r>
        <w:lastRenderedPageBreak/>
        <w:t>Rettshjelp</w:t>
      </w:r>
    </w:p>
    <w:p w:rsidR="00557A6F" w:rsidRDefault="00557A6F" w:rsidP="00557A6F">
      <w:r>
        <w:t>Fylkesmannen behandler saker i første instans etter rettshjelploven med tilhørende forskrifter. St</w:t>
      </w:r>
      <w:r>
        <w:t>a</w:t>
      </w:r>
      <w:r>
        <w:t>tens sivilrettsforvaltning (SRF) er klageinstans og skal som etatsstyrer av fylkesmennene på rett</w:t>
      </w:r>
      <w:r>
        <w:t>s</w:t>
      </w:r>
      <w:r>
        <w:t>hjelpsomr</w:t>
      </w:r>
      <w:r>
        <w:t>å</w:t>
      </w:r>
      <w:r>
        <w:t>det, bidra til å sikre en mest mulig ensartet praksis og god kompetanse på rettsfeltet. Det har vært en nedgang i saksinngangen de senere årene. Nedgangen har vært særlig stor i utlending</w:t>
      </w:r>
      <w:r>
        <w:t>s</w:t>
      </w:r>
      <w:r>
        <w:t>relaterte saker.</w:t>
      </w:r>
    </w:p>
    <w:p w:rsidR="00557A6F" w:rsidRDefault="00557A6F" w:rsidP="00557A6F">
      <w:pPr>
        <w:pStyle w:val="avsnitt-under-undertittel"/>
      </w:pPr>
      <w:r>
        <w:t>Velferd, helse og personlig tjenesteyting</w:t>
      </w:r>
    </w:p>
    <w:p w:rsidR="00557A6F" w:rsidRDefault="00557A6F" w:rsidP="00557A6F">
      <w:r>
        <w:t>Alle som trenger det skal få gode og forsvarlige helse- og omsorgstjenester og sosialtjenester. St</w:t>
      </w:r>
      <w:r>
        <w:t>a</w:t>
      </w:r>
      <w:r>
        <w:t>ten har ansvar for å sikre like rammevilkår gjennom regelverk og økonomiske rammer. Statens helsetilsyn har ansvar for å føre tilsyn og kontroll med helse- og omsorgstjenestene og de sosiale tjenestene. Dette a</w:t>
      </w:r>
      <w:r>
        <w:t>r</w:t>
      </w:r>
      <w:r>
        <w:t xml:space="preserve">beidet gjøres i all hovedsak av fylkesmannen. </w:t>
      </w:r>
    </w:p>
    <w:p w:rsidR="00557A6F" w:rsidRDefault="00557A6F" w:rsidP="00557A6F">
      <w:r>
        <w:t>I 2018 ble det to-årige landsomfattende tilsynet med tjenester til personer med samtidig psykisk lidelse og rusmiddelavhengighet avsluttet. Tilsynet omfattet både spesialisthelsetjenester, komm</w:t>
      </w:r>
      <w:r>
        <w:t>u</w:t>
      </w:r>
      <w:r>
        <w:t>nale helse- og omsorgstjenester og sosiale tjenester. I tillegg gjennomførte embetene siste fase i tilsynet med helseforetakene somatiske akuttmottak og deres gjenkjennelse og behandling av se</w:t>
      </w:r>
      <w:r>
        <w:t>p</w:t>
      </w:r>
      <w:r>
        <w:t>sis.</w:t>
      </w:r>
      <w:r>
        <w:rPr>
          <w:rStyle w:val="kursiv"/>
          <w:spacing w:val="-2"/>
          <w:sz w:val="21"/>
          <w:szCs w:val="21"/>
        </w:rPr>
        <w:t xml:space="preserve"> </w:t>
      </w:r>
    </w:p>
    <w:p w:rsidR="00557A6F" w:rsidRDefault="00557A6F" w:rsidP="00557A6F">
      <w:r>
        <w:t>Fylkesmannsembetenes tilsynsaktiviteter i 2018 er nærmere beskrevet under kapittel 748 Statens helsetilsyn i Prop. 1 S (2019–2020) for Helse- og omsorgsdepartementet.</w:t>
      </w:r>
    </w:p>
    <w:p w:rsidR="00557A6F" w:rsidRDefault="00557A6F" w:rsidP="00557A6F">
      <w:r>
        <w:t>Hvordan brukeres, pasienters og pårørendes erfaringer kan bli brukt i tilsynsarbeid har vært u</w:t>
      </w:r>
      <w:r>
        <w:t>t</w:t>
      </w:r>
      <w:r>
        <w:t>prøvd gjennom et prosjekt som har pågått i årene 2015–2018 i Statens helsetilsyn og hos landets fylkesmenn. Basert på erfaringene er det gitt anbefalinger for det videre arbeidet med brukerinvo</w:t>
      </w:r>
      <w:r>
        <w:t>l</w:t>
      </w:r>
      <w:r>
        <w:t>vering i Statens he</w:t>
      </w:r>
      <w:r>
        <w:t>l</w:t>
      </w:r>
      <w:r>
        <w:t>setilsyn og hos fylkesmannen.</w:t>
      </w:r>
    </w:p>
    <w:p w:rsidR="00557A6F" w:rsidRDefault="00557A6F" w:rsidP="00557A6F">
      <w:r>
        <w:t>I 2020 skal alle fylkesmannsembetene føre tilsyn med bruk av tvungen helsehjelp etter pasient- og brukerretti</w:t>
      </w:r>
      <w:r>
        <w:t>g</w:t>
      </w:r>
      <w:r>
        <w:t>hetsloven kapittel 4A i kommunene. I tillegg videreføres det landsomfattende tilsynet som startet i 2019 med somatiske spesialisthelsetjenester til pasienter som på grunn av plassman</w:t>
      </w:r>
      <w:r>
        <w:t>g</w:t>
      </w:r>
      <w:r>
        <w:t>el, er plassert på annen avdeling/sengepost/enhet enn den som har spesifikk kompetanse og med</w:t>
      </w:r>
      <w:r>
        <w:t>i</w:t>
      </w:r>
      <w:r>
        <w:t>sinsk ansvar.</w:t>
      </w:r>
    </w:p>
    <w:p w:rsidR="00557A6F" w:rsidRDefault="00557A6F" w:rsidP="00557A6F">
      <w:r>
        <w:t>I 2020 skal alle embetene føre tilsyn med tilgjengelighet til sosiale tjenester i arbeids- og velferd</w:t>
      </w:r>
      <w:r>
        <w:t>s</w:t>
      </w:r>
      <w:r>
        <w:t>forvaltningen.</w:t>
      </w:r>
    </w:p>
    <w:p w:rsidR="00557A6F" w:rsidRDefault="00557A6F" w:rsidP="00557A6F">
      <w:r>
        <w:t xml:space="preserve">Som følge av ny varslingsplikt for kommunale helse- og omsorgstjenester og ny varslingsrett for pasienter og pårørende, som trådte i kraft 1. juli 2019, vil fylkesmannsembetene måtte påregne </w:t>
      </w:r>
      <w:proofErr w:type="gramStart"/>
      <w:r>
        <w:t>å</w:t>
      </w:r>
      <w:proofErr w:type="gramEnd"/>
      <w:r>
        <w:t xml:space="preserve"> få overført flere saker til oppfølging i 2020. Statens helsetilsyns pågående utviklingsprosjekt for håndtering av tilsynssaker tar sikte på bedre ressursutnyttelse og effekt av tilsynet. Embetene må bidra til å realisere gevinster som følger av prosje</w:t>
      </w:r>
      <w:r>
        <w:t>k</w:t>
      </w:r>
      <w:r>
        <w:t xml:space="preserve">tet. </w:t>
      </w:r>
    </w:p>
    <w:p w:rsidR="00557A6F" w:rsidRDefault="00557A6F" w:rsidP="00557A6F">
      <w:pPr>
        <w:pStyle w:val="avsnitt-under-undertittel"/>
      </w:pPr>
      <w:r>
        <w:t>Barnehage og grunnopplæring</w:t>
      </w:r>
    </w:p>
    <w:p w:rsidR="00557A6F" w:rsidRDefault="00557A6F" w:rsidP="00557A6F">
      <w:r>
        <w:t>Myndighetsoppgaver knyttet til rettsikkerhet er fylkesmannens viktigste oppgave på barnehage- og grunnopplæringsområdet. Tilsyn, klagebehandling og veiledning er fylkesmannens virkemidler for å si</w:t>
      </w:r>
      <w:r>
        <w:t>k</w:t>
      </w:r>
      <w:r>
        <w:t>re at barn og unge får det tilbudet de har rett og krav på.</w:t>
      </w:r>
    </w:p>
    <w:p w:rsidR="00557A6F" w:rsidRDefault="00557A6F" w:rsidP="00557A6F">
      <w:r>
        <w:t>Tilsyn er en sentral myndighetsoppgave og et viktig virkemiddel for at regelverket blir forstått og etterlevd. Ra</w:t>
      </w:r>
      <w:r>
        <w:t>p</w:t>
      </w:r>
      <w:r>
        <w:t>porteringen for 2018 viser en markant nedgang i antall tilsyn med 87 færre tilsyn enn i 2017. For at tilsyn skal være virkningsfullt og ha effekt i sektor, må fylkesmannen i større grad dekke risikoen i hele fylket. Dette innebærer at fylkesmannen må føre tilsyn med flere tilsynso</w:t>
      </w:r>
      <w:r>
        <w:t>b</w:t>
      </w:r>
      <w:r>
        <w:t>jekter hvor risiko for brudd på regelverket er avdekket.</w:t>
      </w:r>
    </w:p>
    <w:p w:rsidR="00557A6F" w:rsidRDefault="00557A6F" w:rsidP="00557A6F">
      <w:r>
        <w:t>I 2018 rapporterte fylkesmannsembetene om hvilke forhold som kan føre til at embetene fører ti</w:t>
      </w:r>
      <w:r>
        <w:t>l</w:t>
      </w:r>
      <w:r>
        <w:t>syn direkte med barnehager i særlige tilfeller. Utdanningsdirektoratet sammenstilte funnene og leverte en oppsummeringsrapport til Kunnskapsdepartementet. Se omtale i Prop. 1 S (2019–2020) for Kunnskapsdepartementet, del I, kap. 3, A</w:t>
      </w:r>
      <w:r>
        <w:t>n</w:t>
      </w:r>
      <w:r>
        <w:t>modningsvedtak nr. 788, 7. juni 2016.</w:t>
      </w:r>
    </w:p>
    <w:p w:rsidR="00557A6F" w:rsidRDefault="00557A6F" w:rsidP="00557A6F">
      <w:r>
        <w:t>I 2020 skal fylkesmannen benytte tilsyn som et mer proaktivt virkemiddel. For å sikre god kvalitet på tilsynene skal treffsikre risikovurderinger ligge til grunn for valg av tilsynsobjekter, tema og innretning av tilsyn.</w:t>
      </w:r>
    </w:p>
    <w:p w:rsidR="00557A6F" w:rsidRDefault="00557A6F" w:rsidP="00557A6F">
      <w:r>
        <w:t>Nytt kapittel 9 A i opplæringsloven om elevenes skolemiljø trådte i kraft 1. august 2017. Fylke</w:t>
      </w:r>
      <w:r>
        <w:t>s</w:t>
      </w:r>
      <w:r>
        <w:t>mannen fikk gjennom denne lovendringen en ny rolle som håndhevningsmyndighet i skolemiljø</w:t>
      </w:r>
      <w:r>
        <w:t>s</w:t>
      </w:r>
      <w:r>
        <w:t xml:space="preserve">aker. Embetene </w:t>
      </w:r>
      <w:r>
        <w:lastRenderedPageBreak/>
        <w:t xml:space="preserve">rapporterer om et stort antall meldte saker og lang saksbehandlingstid grunnet komplekse og vanskelige saker. </w:t>
      </w:r>
    </w:p>
    <w:p w:rsidR="00557A6F" w:rsidRDefault="00557A6F" w:rsidP="00557A6F">
      <w:r>
        <w:t>I 2020 skal fylkesmannen arbeide for en trygg og raskere behandling av saker under håndheving</w:t>
      </w:r>
      <w:r>
        <w:t>s</w:t>
      </w:r>
      <w:r>
        <w:t>ordningen. Fylkesmannen skal fortsette å benytte sin kunnskap og erfaring fra håndhevingsor</w:t>
      </w:r>
      <w:r>
        <w:t>d</w:t>
      </w:r>
      <w:r>
        <w:t>ningen til å arbeide forebyggende og systematisk for at alle elever skal ha et trygt og godt skol</w:t>
      </w:r>
      <w:r>
        <w:t>e</w:t>
      </w:r>
      <w:r>
        <w:t>miljø. Se også omtale av rapport fra konsulenfirmaet Deloitte fra juni 2019 om evaluering av de nye reglene for skolemiljø i Prop. 1 S (2019–2020) for Kunnskapsd</w:t>
      </w:r>
      <w:r>
        <w:t>e</w:t>
      </w:r>
      <w:r>
        <w:t>partementet.</w:t>
      </w:r>
    </w:p>
    <w:p w:rsidR="00557A6F" w:rsidRDefault="00557A6F" w:rsidP="00557A6F">
      <w:pPr>
        <w:pStyle w:val="avsnitt-under-undertittel"/>
      </w:pPr>
      <w:r>
        <w:t>Barnevern, krisesenter og familievern</w:t>
      </w:r>
    </w:p>
    <w:p w:rsidR="00557A6F" w:rsidRDefault="00557A6F" w:rsidP="00557A6F">
      <w:r>
        <w:t>Fylkesmannen fører tilsyn med disse tjenestene, og følger særlig opp kommuner med store utfor</w:t>
      </w:r>
      <w:r>
        <w:t>d</w:t>
      </w:r>
      <w:r>
        <w:t>ringer på barnevernområdet med råd og veiledning. Fylkesmannen skal gi råd og være pådriver for at alle kommuner får en forsvarlig og god organisering av akuttberedskapen i kommunene. Fy</w:t>
      </w:r>
      <w:r>
        <w:t>l</w:t>
      </w:r>
      <w:r>
        <w:t>kesmannen skal utarbeide og benytte en systematisk modell for vurdering av risikobildet i ko</w:t>
      </w:r>
      <w:r>
        <w:t>m</w:t>
      </w:r>
      <w:r>
        <w:t>munal barneverntjeneste. Fylkesmannen skal bistå og samarbeide med Barne-, ungdoms- og fam</w:t>
      </w:r>
      <w:r>
        <w:t>i</w:t>
      </w:r>
      <w:r>
        <w:t>liedirektoratet om tiltakene i kompetansestrategien for det kommunale barnevernet. Fylkesmannen skal blant annet gjennomføre konkrete tiltak og dialogmøter med kommunene, legge til rette for samarbeid mellom kommunene gje</w:t>
      </w:r>
      <w:r>
        <w:t>n</w:t>
      </w:r>
      <w:r>
        <w:t>nom kommunale læringsnettverk og forvalte midler til lokale utviklingsprosjekter.</w:t>
      </w:r>
    </w:p>
    <w:p w:rsidR="00557A6F" w:rsidRDefault="00557A6F" w:rsidP="00557A6F">
      <w:r>
        <w:t>I 2018 førte alle fylkesmannsembetene tilsyn med forsvarlig omsorg og behandling i barneverni</w:t>
      </w:r>
      <w:r>
        <w:t>n</w:t>
      </w:r>
      <w:r>
        <w:t>stitusjoner. I 2020 skal fylkesmannen føre tilsyn med undersøkelser i barnevernet.</w:t>
      </w:r>
    </w:p>
    <w:p w:rsidR="00557A6F" w:rsidRDefault="00557A6F" w:rsidP="00557A6F">
      <w:r>
        <w:t>De aller fleste fylkesmannsembeter har gjennomført tilsyn med kommunenes krisesentertilbud og med virksomheten ved familievernkontorene i 2018 eller innenfor de tre siste årene. Embetene fø</w:t>
      </w:r>
      <w:r>
        <w:t>l</w:t>
      </w:r>
      <w:r>
        <w:t>ger opp de avvik som er avdekket.</w:t>
      </w:r>
    </w:p>
    <w:p w:rsidR="00557A6F" w:rsidRDefault="00557A6F" w:rsidP="00557A6F">
      <w:r>
        <w:t xml:space="preserve">Fylkesmannen skal i 2020 føre tilsyn med kommunens ansvar for krisesentertilbudet, og videreføre arbeidet med å gjøre kjent veileder om innhold og kvalitet i krisesentertilbud utgitt av Barne-, ungdoms- og familiedirektoratet. </w:t>
      </w:r>
    </w:p>
    <w:p w:rsidR="00557A6F" w:rsidRDefault="00557A6F" w:rsidP="00557A6F">
      <w:pPr>
        <w:pStyle w:val="avsnitt-under-undertittel"/>
      </w:pPr>
      <w:r>
        <w:t>Oppfølging av næringslivet på områder fylkesmannen er forurensningsmyndighet</w:t>
      </w:r>
    </w:p>
    <w:p w:rsidR="00557A6F" w:rsidRDefault="00557A6F" w:rsidP="00557A6F">
      <w:r>
        <w:t>Fylkesmannen arbeider med oppfølging av bedrifter og virksomheter innenfor områder der emb</w:t>
      </w:r>
      <w:r>
        <w:t>e</w:t>
      </w:r>
      <w:r>
        <w:t>tene er forurensningsmyndighet. Embetene har en viktig rolle i å sikre likebehandling og enhetlig praksis slik at konkurransevilkårene for industrien blir tilnærmet like i hele landet. Arbeidet med konsesjonsbehandling og tilsyn er gebyrlagt etter prinsippet om at forurenser betaler. Miljødirekt</w:t>
      </w:r>
      <w:r>
        <w:t>o</w:t>
      </w:r>
      <w:r>
        <w:t>ratet, som overordnet tilsynsmyndighet, legger til rette for harmonisert og enhetlig praksis i emb</w:t>
      </w:r>
      <w:r>
        <w:t>e</w:t>
      </w:r>
      <w:r>
        <w:t>tene. I 2018 økte embetene tilsynet med næringslivet på svært tilfredsstillende måte. Både risik</w:t>
      </w:r>
      <w:r>
        <w:t>o</w:t>
      </w:r>
      <w:r>
        <w:t>basert tilsyn og landsdekkende ti</w:t>
      </w:r>
      <w:r>
        <w:t>l</w:t>
      </w:r>
      <w:r>
        <w:t>rettelagte tilsynsaksjoner ble gjennomført. I 2020 skal arbeidet med risikobasert tilsyn og oppfølging av konsesjonsbehandling videreføres.</w:t>
      </w:r>
    </w:p>
    <w:p w:rsidR="00557A6F" w:rsidRDefault="00557A6F" w:rsidP="00557A6F">
      <w:pPr>
        <w:pStyle w:val="avsnitt-under-undertittel"/>
      </w:pPr>
      <w:r>
        <w:t>Byggesaker – veiledning og klagesaker</w:t>
      </w:r>
    </w:p>
    <w:p w:rsidR="00557A6F" w:rsidRDefault="00557A6F" w:rsidP="00557A6F">
      <w:r>
        <w:t>Fylkesmannen skal behandle enkelte førsteinstansvedtak og klager over kommunens vedtak etter plan- og bygningsloven. Fylkesmannen skal i sin saksbehandling bidra til å sikre at målene for bygningspol</w:t>
      </w:r>
      <w:r>
        <w:t>i</w:t>
      </w:r>
      <w:r>
        <w:t>tikken ivaretas på best mulig måte, slik de er nedfelt i lov, forskrift og kommunenes arealplaner. Fylkesmannen skal behandle begjæringer om utsatt iverksettelse av vedtak etter fo</w:t>
      </w:r>
      <w:r>
        <w:t>r</w:t>
      </w:r>
      <w:r>
        <w:t>valtningsloven § 42, og krav om sakskostnader etter forvaltningsloven § 36.</w:t>
      </w:r>
    </w:p>
    <w:p w:rsidR="00557A6F" w:rsidRDefault="00557A6F" w:rsidP="00557A6F">
      <w:r>
        <w:t>Fylkesmannen skal bistå departementet der varsel om rettslig skritt er mottatt, og utarbeide utkast til tilsvar, møte som partsrepresentant og bistå Regjeringsadvokaten i rettssaker der Staten ved Kommunal- og modernisering</w:t>
      </w:r>
      <w:r>
        <w:t>s</w:t>
      </w:r>
      <w:r>
        <w:t>departementet er saksøkt.</w:t>
      </w:r>
    </w:p>
    <w:p w:rsidR="00557A6F" w:rsidRDefault="00557A6F" w:rsidP="00557A6F">
      <w:r>
        <w:t>Fylkesmannen skal informere og veilede kommuner, private parter, næringslivet og eventuelt andre brukere om plan- og bygningslovgivningen. Fylkesmannen behandlet 3 631 klagesaker på bygg</w:t>
      </w:r>
      <w:r>
        <w:t>e</w:t>
      </w:r>
      <w:r>
        <w:t>saksområdet i 2018, en ø</w:t>
      </w:r>
      <w:r>
        <w:t>k</w:t>
      </w:r>
      <w:r>
        <w:t>ning på ca. 200 saker fra 2017. 2 090 klagesaker ble behandlet innen behandlingsfristen på tolv uker, mens sak</w:t>
      </w:r>
      <w:r>
        <w:t>s</w:t>
      </w:r>
      <w:r>
        <w:t xml:space="preserve">behandlingstiden i 1 541 klagesaker var over tolv uker. </w:t>
      </w:r>
    </w:p>
    <w:p w:rsidR="00557A6F" w:rsidRDefault="00557A6F" w:rsidP="00557A6F">
      <w:pPr>
        <w:pStyle w:val="avsnitt-under-undertittel"/>
      </w:pPr>
      <w:r>
        <w:lastRenderedPageBreak/>
        <w:t>Lovlighetskontroll av kommunale avgjørelser</w:t>
      </w:r>
    </w:p>
    <w:p w:rsidR="00557A6F" w:rsidRDefault="00557A6F" w:rsidP="00557A6F">
      <w:r>
        <w:t>Fylkesmannen har ansvar for å gjøre lovlighetskontroller av kommunale vedtak etter kommunel</w:t>
      </w:r>
      <w:r>
        <w:t>o</w:t>
      </w:r>
      <w:r>
        <w:t>ven kapittel 27. I 2018 er 72 lovlighetskontroller gjennomført etter klage, hvorav tolv vedtak er kjent ulovlig. 14 lovlighetskontroller er gjennomført etter embetenes egne initiativ, hvorav to ve</w:t>
      </w:r>
      <w:r>
        <w:t>d</w:t>
      </w:r>
      <w:r>
        <w:t>tak er kjent ulovlig.</w:t>
      </w:r>
    </w:p>
    <w:p w:rsidR="00557A6F" w:rsidRDefault="00557A6F" w:rsidP="00557A6F">
      <w:pPr>
        <w:pStyle w:val="avsnitt-tittel"/>
      </w:pPr>
      <w:r>
        <w:t>Mål 4 Fylkesmannen skal ta de initiativ som finnes påkrevd og holde sentrale myndigheter orientert om ti</w:t>
      </w:r>
      <w:r>
        <w:t>l</w:t>
      </w:r>
      <w:r>
        <w:t>standen i fylket og effekten av statlig politikk.</w:t>
      </w:r>
    </w:p>
    <w:p w:rsidR="00557A6F" w:rsidRDefault="00557A6F" w:rsidP="00557A6F">
      <w:r>
        <w:t>Fylkesmannen skal virke til gagn og beste for fylket ved å ta de initiativ som er påkrevd, og fre</w:t>
      </w:r>
      <w:r>
        <w:t>m</w:t>
      </w:r>
      <w:r>
        <w:t>me forslag til løsning av oppgaver i den utstrekning fylkesmannen finner det nødvendig eller fo</w:t>
      </w:r>
      <w:r>
        <w:t>r</w:t>
      </w:r>
      <w:r>
        <w:t>målstjenlig. Fylkesmannen skal videre holde regjeringen og sentraladministrasjonen orientert om viktige spørsmål i fylket og rapportere til sentralt nivå om kommunenes oppfølging av statlige mål og prioriteringer. Fy</w:t>
      </w:r>
      <w:r>
        <w:t>l</w:t>
      </w:r>
      <w:r>
        <w:t>kesmannen skal formidle informasjon til kommunale, fylkeskommunale og statlige organ om forhold som antas å berøre deres virksomhet.</w:t>
      </w:r>
    </w:p>
    <w:p w:rsidR="00557A6F" w:rsidRDefault="00557A6F" w:rsidP="00557A6F">
      <w:pPr>
        <w:pStyle w:val="avsnitt-undertittel"/>
      </w:pPr>
      <w:r>
        <w:t>Rapport, strategier og tiltak</w:t>
      </w:r>
    </w:p>
    <w:p w:rsidR="00557A6F" w:rsidRDefault="00557A6F" w:rsidP="00557A6F">
      <w:pPr>
        <w:pStyle w:val="avsnitt-under-undertittel"/>
      </w:pPr>
      <w:r>
        <w:t>Barnehage og grunnopplæring</w:t>
      </w:r>
    </w:p>
    <w:p w:rsidR="00557A6F" w:rsidRDefault="00557A6F" w:rsidP="00557A6F">
      <w:r>
        <w:t>Fylkesmannen har en sentral oppgave i å støtte, tilrettelegge og stimulere barnehage- og skoleeiere i deres arbeid med kompetanseutvikling. I 2018 har fylkesmannen lagt til rette for desentralisert kompeta</w:t>
      </w:r>
      <w:r>
        <w:t>n</w:t>
      </w:r>
      <w:r>
        <w:t xml:space="preserve">seutvikling for barnehager og skoler. Regionale samarbeidsfora er etablert i alle fylker, og er en viktig arena for langsiktig planlegging og prioritering av kompetansetiltak basert på lokale behov. I 2018 har det vært en god utvikling i samarbeidet om kompetanseutvikling. Fylkesmannen har bidratt til dette, i dialog med universiteter, høyskoler og andre regionale aktører. </w:t>
      </w:r>
    </w:p>
    <w:p w:rsidR="00557A6F" w:rsidRDefault="00557A6F" w:rsidP="00557A6F">
      <w:r>
        <w:t>I 2020 skal fylkesmannen koordinere arbeidet til samarbeidsforumene og påse at strukturer for å kartlegge og prioritere kompetansebehov er på plass. Intensjonen er at samarbeidsforumene blir utviklet til bærekraftige ko</w:t>
      </w:r>
      <w:r>
        <w:t>m</w:t>
      </w:r>
      <w:r>
        <w:t xml:space="preserve">petanseutviklingsdrivere for barnehager og skoler i fylkene. </w:t>
      </w:r>
    </w:p>
    <w:p w:rsidR="00557A6F" w:rsidRDefault="00557A6F" w:rsidP="00557A6F">
      <w:r>
        <w:t>Oppfølgingsordningen er et statlig tiltak for de kommuner som over tid ikke oppnår ønsket utvi</w:t>
      </w:r>
      <w:r>
        <w:t>k</w:t>
      </w:r>
      <w:r>
        <w:t>ling på sentrale områder i opplæringen. I 2018 har fylkesmannen fulgt opp og støttet disse ko</w:t>
      </w:r>
      <w:r>
        <w:t>m</w:t>
      </w:r>
      <w:r>
        <w:t>munene i deres utviklingsarbeid, og samarbeidet med veilederkorps som bistår kommunene. I 2020 vil fylkesmannen få et utvidet ansvar i oppfølgingsordningen ved å disponere midler til lokale u</w:t>
      </w:r>
      <w:r>
        <w:t>t</w:t>
      </w:r>
      <w:r>
        <w:t>viklingstiltak, vurderer søknad og tildele midler til kommun</w:t>
      </w:r>
      <w:r>
        <w:t>e</w:t>
      </w:r>
      <w:r>
        <w:t xml:space="preserve">ne. </w:t>
      </w:r>
    </w:p>
    <w:p w:rsidR="00557A6F" w:rsidRDefault="00557A6F" w:rsidP="00557A6F">
      <w:pPr>
        <w:pStyle w:val="avsnitt-under-undertittel"/>
      </w:pPr>
      <w:r>
        <w:t>Kommunale helse- og omsorgstjenester</w:t>
      </w:r>
    </w:p>
    <w:p w:rsidR="00557A6F" w:rsidRDefault="00557A6F" w:rsidP="00557A6F">
      <w:r>
        <w:t xml:space="preserve">For mange kommuner har det blitt vanskeligere å rekruttere fastleger. Fylkesmannen skal vurdere </w:t>
      </w:r>
      <w:proofErr w:type="gramStart"/>
      <w:r>
        <w:t>og</w:t>
      </w:r>
      <w:proofErr w:type="gramEnd"/>
      <w:r>
        <w:t xml:space="preserve"> rapportere om utviklingstrekk som gjelder befolkningens tilgang til fastlegetjeneste i komm</w:t>
      </w:r>
      <w:r>
        <w:t>u</w:t>
      </w:r>
      <w:r>
        <w:t>nene, og om eventuelle tiltak for å kompensere for mangel på fastlegetjenester. Helse- og o</w:t>
      </w:r>
      <w:r>
        <w:t>m</w:t>
      </w:r>
      <w:r>
        <w:t>sorgsdepartementet har igangsatt flere tiltak for å bedre situasjonen, blant annet ytes tilskudd til rekruttering og til å tilrettelegge for spesialistutdanning for leger som spesialiserer seg i allmen</w:t>
      </w:r>
      <w:r>
        <w:t>n</w:t>
      </w:r>
      <w:r>
        <w:t xml:space="preserve">medisin. Embetene skal informere om tilskudd som ytes og følge med på effekten av dem. </w:t>
      </w:r>
    </w:p>
    <w:p w:rsidR="00557A6F" w:rsidRDefault="00557A6F" w:rsidP="00557A6F">
      <w:r>
        <w:t xml:space="preserve">Planperioden for </w:t>
      </w:r>
      <w:r>
        <w:rPr>
          <w:rStyle w:val="kursiv"/>
          <w:sz w:val="21"/>
          <w:szCs w:val="21"/>
        </w:rPr>
        <w:t>Opptrappingsplanen for habilitering og rehabilitering 2017</w:t>
      </w:r>
      <w:r>
        <w:t>–</w:t>
      </w:r>
      <w:r>
        <w:rPr>
          <w:rStyle w:val="kursiv"/>
          <w:sz w:val="21"/>
          <w:szCs w:val="21"/>
        </w:rPr>
        <w:t xml:space="preserve">2019 </w:t>
      </w:r>
      <w:r>
        <w:t>utløper i 2019. Fy</w:t>
      </w:r>
      <w:r>
        <w:t>l</w:t>
      </w:r>
      <w:r>
        <w:t>kesmannen skal følge med på effekten av tilskudd som er ytt og utviklingen i etterkant. Utvikling</w:t>
      </w:r>
      <w:r>
        <w:t>s</w:t>
      </w:r>
      <w:r>
        <w:t>arbeidet skal ha særlig vekt på de nasjonale målene om å styrke tjenestene i kommunene slik at de blir bedre i stand til å yte gode tjenester «der livet leves».</w:t>
      </w:r>
    </w:p>
    <w:p w:rsidR="00557A6F" w:rsidRDefault="00557A6F" w:rsidP="00557A6F">
      <w:r>
        <w:t>Fylkesmannen skal i forvaltningen av det kommunale kompetanse- og innovasjonstilskuddet blant annet stimulere og veilede kommunene slik at de jobber strategisk og målrettet med å utvikle egen komp</w:t>
      </w:r>
      <w:r>
        <w:t>e</w:t>
      </w:r>
      <w:r>
        <w:t>tanse innen feltet. Evalueringen av Kompetanseløft 2020 (Sintef-rapport 2019:00317) viser at fylkesma</w:t>
      </w:r>
      <w:r>
        <w:t>n</w:t>
      </w:r>
      <w:r>
        <w:t>nen har en god dialog med kommunene i forvaltningen av tilskuddet.</w:t>
      </w:r>
    </w:p>
    <w:p w:rsidR="00557A6F" w:rsidRDefault="00557A6F" w:rsidP="00557A6F">
      <w:pPr>
        <w:pStyle w:val="avsnitt-under-undertittel"/>
      </w:pPr>
      <w:r>
        <w:t>Klima og miljø</w:t>
      </w:r>
    </w:p>
    <w:p w:rsidR="00557A6F" w:rsidRDefault="00557A6F" w:rsidP="00557A6F">
      <w:r>
        <w:t>Fylkesmannen har en viktig rolle i å bidra til at klima- og miljødata blir formidlet og benyttet som grun</w:t>
      </w:r>
      <w:r>
        <w:t>n</w:t>
      </w:r>
      <w:r>
        <w:t xml:space="preserve">lag for beslutninger nasjonalt, regionalt og lokalt. Embetene skal gi råd, veilede og følge opp kommunene </w:t>
      </w:r>
      <w:r>
        <w:lastRenderedPageBreak/>
        <w:t>i klima- og miljøsaker, herunder bidra til å spre informasjon om støtteordningen Kl</w:t>
      </w:r>
      <w:r>
        <w:t>i</w:t>
      </w:r>
      <w:r>
        <w:t>masats og andre ti</w:t>
      </w:r>
      <w:r>
        <w:t>l</w:t>
      </w:r>
      <w:r>
        <w:t>skuddsordninger på klima- og miljøområdet. I 2020 er klimaarbeidet fortsatt prioritert, blant annet gjennom formidling av veiledningsmateriale og klimagasstatistikk for ko</w:t>
      </w:r>
      <w:r>
        <w:t>m</w:t>
      </w:r>
      <w:r>
        <w:t>muner.</w:t>
      </w:r>
    </w:p>
    <w:p w:rsidR="00557A6F" w:rsidRDefault="00557A6F" w:rsidP="00557A6F">
      <w:pPr>
        <w:pStyle w:val="b-budkaptit"/>
      </w:pPr>
      <w:r>
        <w:t>Kap. 525 Fylkesmannsembetene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7A6F" w:rsidTr="00557A6F">
        <w:trPr>
          <w:trHeight w:val="640"/>
        </w:trPr>
        <w:tc>
          <w:tcPr>
            <w:tcW w:w="1140" w:type="dxa"/>
            <w:shd w:val="clear" w:color="auto" w:fill="FFFFFF"/>
          </w:tcPr>
          <w:p w:rsidR="00557A6F" w:rsidRDefault="00557A6F" w:rsidP="00557A6F">
            <w:pPr>
              <w:pStyle w:val="Tabellnavn"/>
            </w:pPr>
            <w:r>
              <w:t>KPAL</w:t>
            </w:r>
          </w:p>
        </w:tc>
        <w:tc>
          <w:tcPr>
            <w:tcW w:w="4560" w:type="dxa"/>
          </w:tcPr>
          <w:p w:rsidR="00557A6F" w:rsidRDefault="00557A6F" w:rsidP="00557A6F"/>
        </w:tc>
        <w:tc>
          <w:tcPr>
            <w:tcW w:w="1140" w:type="dxa"/>
          </w:tcPr>
          <w:p w:rsidR="00557A6F" w:rsidRDefault="00557A6F" w:rsidP="00557A6F">
            <w:pPr>
              <w:pStyle w:val="Tabellnavn"/>
              <w:jc w:val="right"/>
            </w:pPr>
          </w:p>
        </w:tc>
        <w:tc>
          <w:tcPr>
            <w:tcW w:w="1140" w:type="dxa"/>
          </w:tcPr>
          <w:p w:rsidR="00557A6F" w:rsidRDefault="00557A6F" w:rsidP="00557A6F">
            <w:pPr>
              <w:pStyle w:val="Tabellnavn"/>
              <w:jc w:val="right"/>
            </w:pPr>
          </w:p>
        </w:tc>
        <w:tc>
          <w:tcPr>
            <w:tcW w:w="1140" w:type="dxa"/>
          </w:tcPr>
          <w:p w:rsidR="00557A6F" w:rsidRDefault="00557A6F" w:rsidP="00557A6F">
            <w:pPr>
              <w:jc w:val="right"/>
            </w:pPr>
            <w:r>
              <w:t>(i 1 000 kr)</w:t>
            </w:r>
          </w:p>
        </w:tc>
      </w:tr>
      <w:tr w:rsidR="00557A6F" w:rsidTr="00557A6F">
        <w:trPr>
          <w:trHeight w:val="600"/>
        </w:trPr>
        <w:tc>
          <w:tcPr>
            <w:tcW w:w="1140" w:type="dxa"/>
          </w:tcPr>
          <w:p w:rsidR="00557A6F" w:rsidRDefault="00557A6F" w:rsidP="00557A6F">
            <w:r>
              <w:t>Post</w:t>
            </w:r>
          </w:p>
        </w:tc>
        <w:tc>
          <w:tcPr>
            <w:tcW w:w="4560" w:type="dxa"/>
          </w:tcPr>
          <w:p w:rsidR="00557A6F" w:rsidRDefault="00557A6F" w:rsidP="00557A6F">
            <w:r>
              <w:t>Betegnelse</w:t>
            </w:r>
          </w:p>
        </w:tc>
        <w:tc>
          <w:tcPr>
            <w:tcW w:w="1140" w:type="dxa"/>
          </w:tcPr>
          <w:p w:rsidR="00557A6F" w:rsidRDefault="00557A6F" w:rsidP="00557A6F">
            <w:pPr>
              <w:jc w:val="right"/>
            </w:pPr>
            <w:r>
              <w:t>Regnskap 2018</w:t>
            </w:r>
          </w:p>
        </w:tc>
        <w:tc>
          <w:tcPr>
            <w:tcW w:w="1140" w:type="dxa"/>
          </w:tcPr>
          <w:p w:rsidR="00557A6F" w:rsidRDefault="00557A6F" w:rsidP="00557A6F">
            <w:pPr>
              <w:jc w:val="right"/>
            </w:pPr>
            <w:r>
              <w:t xml:space="preserve">Saldert </w:t>
            </w:r>
            <w:r>
              <w:br/>
              <w:t>budsjett 2019</w:t>
            </w:r>
          </w:p>
        </w:tc>
        <w:tc>
          <w:tcPr>
            <w:tcW w:w="1140" w:type="dxa"/>
          </w:tcPr>
          <w:p w:rsidR="00557A6F" w:rsidRDefault="00557A6F" w:rsidP="00557A6F">
            <w:pPr>
              <w:jc w:val="right"/>
            </w:pPr>
            <w:r>
              <w:t xml:space="preserve">Forslag </w:t>
            </w:r>
            <w:r>
              <w:br/>
              <w:t>2020</w:t>
            </w:r>
          </w:p>
        </w:tc>
      </w:tr>
      <w:tr w:rsidR="00557A6F" w:rsidTr="00557A6F">
        <w:trPr>
          <w:trHeight w:val="380"/>
        </w:trPr>
        <w:tc>
          <w:tcPr>
            <w:tcW w:w="1140" w:type="dxa"/>
          </w:tcPr>
          <w:p w:rsidR="00557A6F" w:rsidRDefault="00557A6F" w:rsidP="00557A6F">
            <w:r>
              <w:t>01</w:t>
            </w:r>
          </w:p>
        </w:tc>
        <w:tc>
          <w:tcPr>
            <w:tcW w:w="4560" w:type="dxa"/>
          </w:tcPr>
          <w:p w:rsidR="00557A6F" w:rsidRDefault="00557A6F" w:rsidP="00557A6F">
            <w:r>
              <w:t xml:space="preserve">Driftsutgifter </w:t>
            </w:r>
          </w:p>
        </w:tc>
        <w:tc>
          <w:tcPr>
            <w:tcW w:w="1140" w:type="dxa"/>
          </w:tcPr>
          <w:p w:rsidR="00557A6F" w:rsidRDefault="00557A6F" w:rsidP="00557A6F">
            <w:pPr>
              <w:jc w:val="right"/>
            </w:pPr>
            <w:r>
              <w:t>1 860 709</w:t>
            </w:r>
          </w:p>
        </w:tc>
        <w:tc>
          <w:tcPr>
            <w:tcW w:w="1140" w:type="dxa"/>
          </w:tcPr>
          <w:p w:rsidR="00557A6F" w:rsidRDefault="00557A6F" w:rsidP="00557A6F">
            <w:pPr>
              <w:jc w:val="right"/>
            </w:pPr>
            <w:r>
              <w:t>1 888 042</w:t>
            </w:r>
          </w:p>
        </w:tc>
        <w:tc>
          <w:tcPr>
            <w:tcW w:w="1140" w:type="dxa"/>
          </w:tcPr>
          <w:p w:rsidR="00557A6F" w:rsidRDefault="00557A6F" w:rsidP="00557A6F">
            <w:pPr>
              <w:jc w:val="right"/>
            </w:pPr>
            <w:r>
              <w:t>1 896 952</w:t>
            </w:r>
          </w:p>
        </w:tc>
      </w:tr>
      <w:tr w:rsidR="00557A6F" w:rsidTr="00557A6F">
        <w:trPr>
          <w:trHeight w:val="380"/>
        </w:trPr>
        <w:tc>
          <w:tcPr>
            <w:tcW w:w="1140" w:type="dxa"/>
          </w:tcPr>
          <w:p w:rsidR="00557A6F" w:rsidRDefault="00557A6F" w:rsidP="00557A6F">
            <w:r>
              <w:t>21</w:t>
            </w:r>
          </w:p>
        </w:tc>
        <w:tc>
          <w:tcPr>
            <w:tcW w:w="4560" w:type="dxa"/>
          </w:tcPr>
          <w:p w:rsidR="00557A6F" w:rsidRDefault="00557A6F" w:rsidP="00557A6F">
            <w:r>
              <w:t>Spesielle driftsutgifter</w:t>
            </w:r>
            <w:r>
              <w:rPr>
                <w:rStyle w:val="kursiv"/>
                <w:sz w:val="21"/>
                <w:szCs w:val="21"/>
              </w:rPr>
              <w:t xml:space="preserve">, kan overføres </w:t>
            </w:r>
          </w:p>
        </w:tc>
        <w:tc>
          <w:tcPr>
            <w:tcW w:w="1140" w:type="dxa"/>
          </w:tcPr>
          <w:p w:rsidR="00557A6F" w:rsidRDefault="00557A6F" w:rsidP="00557A6F">
            <w:pPr>
              <w:jc w:val="right"/>
            </w:pPr>
            <w:r>
              <w:t>118 038</w:t>
            </w:r>
          </w:p>
        </w:tc>
        <w:tc>
          <w:tcPr>
            <w:tcW w:w="1140" w:type="dxa"/>
          </w:tcPr>
          <w:p w:rsidR="00557A6F" w:rsidRDefault="00557A6F" w:rsidP="00557A6F">
            <w:pPr>
              <w:jc w:val="right"/>
            </w:pPr>
            <w:r>
              <w:t>167 804</w:t>
            </w:r>
          </w:p>
        </w:tc>
        <w:tc>
          <w:tcPr>
            <w:tcW w:w="1140" w:type="dxa"/>
          </w:tcPr>
          <w:p w:rsidR="00557A6F" w:rsidRDefault="00557A6F" w:rsidP="00557A6F">
            <w:pPr>
              <w:jc w:val="right"/>
            </w:pPr>
            <w:r>
              <w:t>172 308</w:t>
            </w:r>
          </w:p>
        </w:tc>
      </w:tr>
      <w:tr w:rsidR="00557A6F" w:rsidTr="00557A6F">
        <w:trPr>
          <w:trHeight w:val="380"/>
        </w:trPr>
        <w:tc>
          <w:tcPr>
            <w:tcW w:w="1140" w:type="dxa"/>
          </w:tcPr>
          <w:p w:rsidR="00557A6F" w:rsidRDefault="00557A6F" w:rsidP="00557A6F"/>
        </w:tc>
        <w:tc>
          <w:tcPr>
            <w:tcW w:w="4560" w:type="dxa"/>
          </w:tcPr>
          <w:p w:rsidR="00557A6F" w:rsidRDefault="00557A6F" w:rsidP="00557A6F">
            <w:r>
              <w:t>Sum kap. 0525</w:t>
            </w:r>
          </w:p>
        </w:tc>
        <w:tc>
          <w:tcPr>
            <w:tcW w:w="1140" w:type="dxa"/>
          </w:tcPr>
          <w:p w:rsidR="00557A6F" w:rsidRDefault="00557A6F" w:rsidP="00557A6F">
            <w:pPr>
              <w:jc w:val="right"/>
            </w:pPr>
            <w:r>
              <w:t>1 978 747</w:t>
            </w:r>
          </w:p>
        </w:tc>
        <w:tc>
          <w:tcPr>
            <w:tcW w:w="1140" w:type="dxa"/>
          </w:tcPr>
          <w:p w:rsidR="00557A6F" w:rsidRDefault="00557A6F" w:rsidP="00557A6F">
            <w:pPr>
              <w:jc w:val="right"/>
            </w:pPr>
            <w:r>
              <w:t>2 055 846</w:t>
            </w:r>
          </w:p>
        </w:tc>
        <w:tc>
          <w:tcPr>
            <w:tcW w:w="1140" w:type="dxa"/>
          </w:tcPr>
          <w:p w:rsidR="00557A6F" w:rsidRDefault="00557A6F" w:rsidP="00557A6F">
            <w:pPr>
              <w:jc w:val="right"/>
            </w:pPr>
            <w:r>
              <w:t>2 069 260</w:t>
            </w:r>
          </w:p>
        </w:tc>
      </w:tr>
    </w:tbl>
    <w:p w:rsidR="00557A6F" w:rsidRDefault="00557A6F" w:rsidP="00557A6F">
      <w:r>
        <w:t>Fylkesmannsembetene utfører fagoppgaver for tretten departementer og ti direktorater og tilsyn. Fina</w:t>
      </w:r>
      <w:r>
        <w:t>n</w:t>
      </w:r>
      <w:r>
        <w:t>siering av fagoppgavene skjer i hovedsak gjennom overføring av midler fra fagkapitler til kap. 525 i tråd med gjeldende finansieringsordning for fylkesmannen.</w:t>
      </w:r>
    </w:p>
    <w:p w:rsidR="00557A6F" w:rsidRDefault="00557A6F" w:rsidP="00557A6F">
      <w:pPr>
        <w:pStyle w:val="b-post"/>
      </w:pPr>
      <w:r>
        <w:t>Post 01 Driftsutgifter</w:t>
      </w:r>
    </w:p>
    <w:p w:rsidR="00557A6F" w:rsidRDefault="00557A6F" w:rsidP="00557A6F">
      <w:r>
        <w:t>Bevilgningen skal dekke ordinære lønns- og driftsutgifter for fylkesmannsembetene og for Fy</w:t>
      </w:r>
      <w:r>
        <w:t>l</w:t>
      </w:r>
      <w:r>
        <w:t>kesmennenes fellesadministrasjon (FMFA). Bevilgningen er avgjørende for forsvarlig oppgav</w:t>
      </w:r>
      <w:r>
        <w:t>e</w:t>
      </w:r>
      <w:r>
        <w:t>gjennomføring i embetene på vegne av elleve departementer.</w:t>
      </w:r>
    </w:p>
    <w:p w:rsidR="00557A6F" w:rsidRDefault="00557A6F" w:rsidP="00557A6F">
      <w:pPr>
        <w:pStyle w:val="avsnitt-tittel"/>
      </w:pPr>
      <w:r>
        <w:t>Rapport</w:t>
      </w:r>
    </w:p>
    <w:p w:rsidR="00557A6F" w:rsidRDefault="00557A6F" w:rsidP="00557A6F">
      <w:r>
        <w:t>Det ble i 2018 tildelt 5 mill. kroner for å tilrettelegge for gode prosesser i embetene som var berørt av sammenslåinger fra 1. januar 2019. Embetene ble gitt stor grad av frihet i bruken av midlene som i stor grad gikk til å dekke samlinger hvor nye kollegaer kunne møtes.</w:t>
      </w:r>
    </w:p>
    <w:p w:rsidR="00557A6F" w:rsidRDefault="00557A6F" w:rsidP="00557A6F">
      <w:r>
        <w:t>Figuren nedenfor viser utgifter på kap. 525 Fylkesmannsembetene, post 01 i 2018 fordelt på depa</w:t>
      </w:r>
      <w:r>
        <w:t>r</w:t>
      </w:r>
      <w:r>
        <w:t>tementsomr</w:t>
      </w:r>
      <w:r>
        <w:t>å</w:t>
      </w:r>
      <w:r>
        <w:t>der.</w:t>
      </w:r>
    </w:p>
    <w:p w:rsidR="00557A6F" w:rsidRDefault="007F3140" w:rsidP="007F3140">
      <w:pPr>
        <w:pStyle w:val="Figur"/>
      </w:pPr>
      <w:r>
        <w:t>[:figur:fig6-2.jpg]</w:t>
      </w:r>
    </w:p>
    <w:p w:rsidR="00557A6F" w:rsidRDefault="00557A6F" w:rsidP="00A833AD">
      <w:pPr>
        <w:pStyle w:val="figur-tittel"/>
        <w:numPr>
          <w:ilvl w:val="5"/>
          <w:numId w:val="20"/>
        </w:numPr>
      </w:pPr>
      <w:r>
        <w:lastRenderedPageBreak/>
        <w:t>Ressursfordeling pr. departementsområde for 2018.</w:t>
      </w:r>
    </w:p>
    <w:p w:rsidR="00557A6F" w:rsidRDefault="00557A6F" w:rsidP="00557A6F">
      <w:pPr>
        <w:pStyle w:val="figur-noter"/>
      </w:pPr>
      <w:r>
        <w:t>Administrative utgifter er fordelt likt på alle departement etter deres relative størrelse. I kategorien «Andre» inngår Forsvarsdepartementet, Kulturdepartementet, Nærings- og fiskeridepartementet, Samferdselsdepartementet og Ute</w:t>
      </w:r>
      <w:r>
        <w:t>n</w:t>
      </w:r>
      <w:r>
        <w:t>riksdepartementet.</w:t>
      </w:r>
    </w:p>
    <w:p w:rsidR="00557A6F" w:rsidRDefault="00557A6F" w:rsidP="00557A6F">
      <w:pPr>
        <w:pStyle w:val="avsnitt-tittel"/>
      </w:pPr>
      <w:r>
        <w:lastRenderedPageBreak/>
        <w:t>Rapport, strategier og tiltak for Fylkesmennenes fellesadministrasjon (FMFA)</w:t>
      </w:r>
    </w:p>
    <w:p w:rsidR="00557A6F" w:rsidRDefault="00557A6F" w:rsidP="00557A6F">
      <w:r>
        <w:t>Fylkesmennenes fellesadministrasjon skal levere gode administrative tjenester som understøtter fylke</w:t>
      </w:r>
      <w:r>
        <w:t>s</w:t>
      </w:r>
      <w:r>
        <w:t>mannsembetenes samfunnsoppdrag. FMFA er delegert ansvar for alle tjenester innen IKT, dokumentforvaltning, anskaffelser og informasjonssikkerhet, unntatt informasjonssikkerhet i l</w:t>
      </w:r>
      <w:r>
        <w:t>ø</w:t>
      </w:r>
      <w:r>
        <w:t>pende drift, for fylke</w:t>
      </w:r>
      <w:r>
        <w:t>s</w:t>
      </w:r>
      <w:r>
        <w:t>mannsembetene. I tillegg har FMFA ansvar for deler av embetenes oppgaver innen økonomi og HR.</w:t>
      </w:r>
    </w:p>
    <w:p w:rsidR="00557A6F" w:rsidRDefault="00557A6F" w:rsidP="00557A6F">
      <w:r>
        <w:t>FMFA ble etablert 1. januar 2019 gjennom at det ble overført rundt 200 årsverk fra embetene og Kommunal- og moderniseringsdepartementet. I oppstarten har hovedprioriteringen vært å sørge for god drift av administrative tjenester til embetene, etablere rutiner i FMFA og for samhandling med embetene. I tillegg har FMFA iverksatt nødvendige tiltak for å øke IKT-sikkerheten etter IKT-hendelsen i 2018. FMFA har fra og med 2019 overtatt ansvaret for forvaltning av IKT-strategien for fylkesmannen.</w:t>
      </w:r>
    </w:p>
    <w:p w:rsidR="00557A6F" w:rsidRDefault="00557A6F" w:rsidP="00557A6F">
      <w:pPr>
        <w:pStyle w:val="avsnitt-tittel"/>
      </w:pPr>
      <w:r>
        <w:t xml:space="preserve">Mer om det langsiktige arbeidet med gevinstrealisering </w:t>
      </w:r>
    </w:p>
    <w:p w:rsidR="00557A6F" w:rsidRDefault="00557A6F" w:rsidP="00557A6F">
      <w:r>
        <w:t>Regjeringen har vedtatt en ny geografisk inndeling av fylkesmannsembetene med ti embeter fra 1. januar 2019. Styrking av fylkesmannens roller som bindeledd mellom stat og kommune, samor</w:t>
      </w:r>
      <w:r>
        <w:t>d</w:t>
      </w:r>
      <w:r>
        <w:t>ningsinstans og rettssikkerhetsgarantist har vært viktige målsettinger for ny fylkesmannsstruktur. Sammenslåingene forventes å gi noen stordriftsfordeler, blant annet i form av reduksjon i embet</w:t>
      </w:r>
      <w:r>
        <w:t>s</w:t>
      </w:r>
      <w:r>
        <w:t>ledelser og styrket kompetanse. I tillegg til ny fylkesmannsstruktur er FMFA etablert fra 1. januar 2019. FMFA skal sørge for kostnadseffektive administrative tjenester som understøtter fylke</w:t>
      </w:r>
      <w:r>
        <w:t>s</w:t>
      </w:r>
      <w:r>
        <w:t>mannsembetenes sa</w:t>
      </w:r>
      <w:r>
        <w:t>m</w:t>
      </w:r>
      <w:r>
        <w:t>funnsoppdrag.</w:t>
      </w:r>
    </w:p>
    <w:p w:rsidR="00557A6F" w:rsidRDefault="00557A6F" w:rsidP="00557A6F">
      <w:r>
        <w:t>Innenfor rammen av finansieringsordningen for fylkesmannen har Kommunal- og modernisering</w:t>
      </w:r>
      <w:r>
        <w:t>s</w:t>
      </w:r>
      <w:r>
        <w:t>departementet i samråd med berørte departementer, direktorater og tilsyn utarbeidet en plan for å realisere gevinster av ny geografisk inndeling av embetene og effektivisering av det administrative omr</w:t>
      </w:r>
      <w:r>
        <w:t>å</w:t>
      </w:r>
      <w:r>
        <w:t>det. Fratrukket nødvendige investeringer blant annet knyttet til digitalisering, er det foreløpig anslått at netto gevinster gradvis vil øke til mellom 50 og 60 mill. kroner fram til 2026. Det legges opp til at 50 pst. av nettobesparelsene skal bidra til økt handlingsrom i årene framover.</w:t>
      </w:r>
    </w:p>
    <w:p w:rsidR="00557A6F" w:rsidRDefault="00557A6F" w:rsidP="00557A6F">
      <w:pPr>
        <w:pStyle w:val="avsnitt-tittel"/>
      </w:pPr>
      <w:r>
        <w:t>Budsjettforslag</w:t>
      </w:r>
    </w:p>
    <w:p w:rsidR="00557A6F" w:rsidRDefault="00557A6F" w:rsidP="00557A6F">
      <w:r>
        <w:t>I 2019 ble det tildelt 12 mill. kroner for å dekke engangskostnader i forbindelse med etablering av Fylkesmennenes fellesadministrasjon. Det foreslås å videreføre 7 mill. kroner av denne ekstrab</w:t>
      </w:r>
      <w:r>
        <w:t>e</w:t>
      </w:r>
      <w:r>
        <w:t xml:space="preserve">vilgningen til og med 2020. </w:t>
      </w:r>
    </w:p>
    <w:p w:rsidR="00557A6F" w:rsidRDefault="00557A6F" w:rsidP="00557A6F">
      <w:r>
        <w:t>Som en del av kommunereformen overføres ansvaret for forvaltning av nærings- og miljøtiltak i sko</w:t>
      </w:r>
      <w:r>
        <w:t>g</w:t>
      </w:r>
      <w:r>
        <w:t>bruket, tilskudd til tiltak i beiteområder og tilskudd til utvalgte kulturlandskap i jordbruket og verdensarvområdene Vegaøyan og Vestnorsk fjordlandskap fra fylkesmannen til kommunene. Fylkeskommunene vil som en del av regionreformen få overført ansvaret for forvaltning av ti</w:t>
      </w:r>
      <w:r>
        <w:t>l</w:t>
      </w:r>
      <w:r>
        <w:t>skudd til utrednings- og tilretteleggingstiltak og utarbeidelse av regionalt næringsprogram for landbruket fra fylkesmannen. Oppgaveoverføringen til kommuner og fy</w:t>
      </w:r>
      <w:r>
        <w:t>l</w:t>
      </w:r>
      <w:r>
        <w:t>keskommuner innebærer overføring av 18,4 mill. kroner fra fylkesmannen. Tilsvarende overføres oppgaver fra fylkesma</w:t>
      </w:r>
      <w:r>
        <w:t>n</w:t>
      </w:r>
      <w:r>
        <w:t>nen til kommuner og fylkeskommuner på klimaomr</w:t>
      </w:r>
      <w:r>
        <w:t>å</w:t>
      </w:r>
      <w:r>
        <w:t>det for 5,9 mill. kroner.</w:t>
      </w:r>
    </w:p>
    <w:p w:rsidR="00557A6F" w:rsidRDefault="00557A6F" w:rsidP="00557A6F">
      <w:r>
        <w:t>Regjeringen har satt i gang et arbeid med mer effektive leieavtaler for statlige virksomheter. Som et resultat av nye leiekontrakter for Fylkesmannen i Oslo og Viken trekkes det ut 2,7 mill. kroner i 2020.</w:t>
      </w:r>
    </w:p>
    <w:p w:rsidR="00557A6F" w:rsidRDefault="00557A6F" w:rsidP="00557A6F">
      <w:r>
        <w:t>Som en følge av endrete tjenestemodeller, og andre endringer i kundeforhold på lønns- og regn</w:t>
      </w:r>
      <w:r>
        <w:t>s</w:t>
      </w:r>
      <w:r>
        <w:t>kapsområdet for FMFA og fylkesmannsembetene, rammeoverføres 112 000 kroner fra Direktoratet for økonomistyring til kap. 525, post 01.</w:t>
      </w:r>
    </w:p>
    <w:p w:rsidR="00557A6F" w:rsidRDefault="00557A6F" w:rsidP="00557A6F">
      <w:r>
        <w:t>Det foreslås at bevilgningen økes med 6 mill. kroner, mot en tilsvarende reduksjon på Klima- og miljødepa</w:t>
      </w:r>
      <w:r>
        <w:t>r</w:t>
      </w:r>
      <w:r>
        <w:t>tementet sitt kap. 1420 Miljødirektoratet, post 21 Spesielle driftsutgifter i forbindelse med overføring av seks naturvernforvalterstillinger.</w:t>
      </w:r>
    </w:p>
    <w:p w:rsidR="00557A6F" w:rsidRDefault="00557A6F" w:rsidP="00557A6F">
      <w:r>
        <w:t>Samlet foreslås det å øke bevilgningen med 8,9 mill. kroner til 1 897 mill. kroner, inkludert en</w:t>
      </w:r>
      <w:r>
        <w:t>d</w:t>
      </w:r>
      <w:r>
        <w:t>ringer som følge av avbyråkratiserings- og effektiviseringsreformen og lønns- og prisjusteringer.</w:t>
      </w:r>
    </w:p>
    <w:p w:rsidR="00557A6F" w:rsidRDefault="00557A6F" w:rsidP="00557A6F">
      <w:pPr>
        <w:pStyle w:val="b-post"/>
      </w:pPr>
      <w:r>
        <w:lastRenderedPageBreak/>
        <w:t>Post 21 Spesielle driftsutgifter, kan overføres</w:t>
      </w:r>
    </w:p>
    <w:p w:rsidR="00557A6F" w:rsidRDefault="00557A6F" w:rsidP="00557A6F">
      <w:r>
        <w:t>Bevilgningen skal dekke lønns- og driftsutgifter for tidsbegrensede oppgaver for fylkesmannen som er finansiert av departement, direktorat, tilsyn og andre virksomheter. Dette gjelder blant annet handling</w:t>
      </w:r>
      <w:r>
        <w:t>s</w:t>
      </w:r>
      <w:r>
        <w:t xml:space="preserve">planer og prosjekter av ulik karakter. Midlene inntektsføres på kap. 3525, post 01, </w:t>
      </w:r>
      <w:proofErr w:type="gramStart"/>
      <w:r>
        <w:t>og</w:t>
      </w:r>
      <w:proofErr w:type="gramEnd"/>
      <w:r>
        <w:t xml:space="preserve"> utgiftsføres på post 21 når utgiftene påløper.</w:t>
      </w:r>
    </w:p>
    <w:p w:rsidR="00557A6F" w:rsidRDefault="00557A6F" w:rsidP="00557A6F">
      <w:r>
        <w:t>For rapportering om oppgavene som finansieres av departement, direktorater og tilsyn, vises det til de respektive fagdepartementenes fagproposisjoner.</w:t>
      </w:r>
    </w:p>
    <w:p w:rsidR="00557A6F" w:rsidRDefault="00557A6F" w:rsidP="00557A6F">
      <w:r>
        <w:t>Det foreslås en bevilgning på 172,3 mill. kroner.</w:t>
      </w:r>
    </w:p>
    <w:p w:rsidR="00557A6F" w:rsidRDefault="00557A6F" w:rsidP="00557A6F">
      <w:r>
        <w:t>Det foreslås at bevilgningen kan overskrides mot tilsvarende merinntekter under kap. 3525, post 01, jf. forslag til romertallsvedtak.</w:t>
      </w:r>
    </w:p>
    <w:p w:rsidR="00557A6F" w:rsidRDefault="00557A6F" w:rsidP="00557A6F">
      <w:r>
        <w:t>Det foreslås at Kommunal- og moderniseringsdepartementet i 2020 kan nettoføre som utgiftsr</w:t>
      </w:r>
      <w:r>
        <w:t>e</w:t>
      </w:r>
      <w:r>
        <w:t>duksjon under kap. 525, post 21, refusjoner av utgifter til fellestjenester der fylkesmannen samor</w:t>
      </w:r>
      <w:r>
        <w:t>d</w:t>
      </w:r>
      <w:r>
        <w:t>ner utgift</w:t>
      </w:r>
      <w:r>
        <w:t>e</w:t>
      </w:r>
      <w:r>
        <w:t>ne, jf. forslag til romertallsvedtak.</w:t>
      </w:r>
    </w:p>
    <w:p w:rsidR="00557A6F" w:rsidRDefault="00557A6F" w:rsidP="00557A6F">
      <w:pPr>
        <w:pStyle w:val="b-budkaptit"/>
      </w:pPr>
      <w:r>
        <w:t>Kap. 3525 Fylkesmannsembetene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7A6F" w:rsidTr="00557A6F">
        <w:trPr>
          <w:trHeight w:val="640"/>
        </w:trPr>
        <w:tc>
          <w:tcPr>
            <w:tcW w:w="1140" w:type="dxa"/>
            <w:shd w:val="clear" w:color="auto" w:fill="FFFFFF"/>
          </w:tcPr>
          <w:p w:rsidR="00557A6F" w:rsidRDefault="00557A6F" w:rsidP="00557A6F">
            <w:pPr>
              <w:pStyle w:val="Tabellnavn"/>
            </w:pPr>
            <w:r>
              <w:t>KPAL</w:t>
            </w:r>
          </w:p>
        </w:tc>
        <w:tc>
          <w:tcPr>
            <w:tcW w:w="4560" w:type="dxa"/>
          </w:tcPr>
          <w:p w:rsidR="00557A6F" w:rsidRDefault="00557A6F" w:rsidP="00557A6F"/>
        </w:tc>
        <w:tc>
          <w:tcPr>
            <w:tcW w:w="1140" w:type="dxa"/>
          </w:tcPr>
          <w:p w:rsidR="00557A6F" w:rsidRDefault="00557A6F" w:rsidP="00557A6F">
            <w:pPr>
              <w:pStyle w:val="Tabellnavn"/>
              <w:jc w:val="right"/>
            </w:pPr>
          </w:p>
        </w:tc>
        <w:tc>
          <w:tcPr>
            <w:tcW w:w="1140" w:type="dxa"/>
          </w:tcPr>
          <w:p w:rsidR="00557A6F" w:rsidRDefault="00557A6F" w:rsidP="00557A6F">
            <w:pPr>
              <w:pStyle w:val="Tabellnavn"/>
              <w:jc w:val="right"/>
            </w:pPr>
          </w:p>
        </w:tc>
        <w:tc>
          <w:tcPr>
            <w:tcW w:w="1140" w:type="dxa"/>
          </w:tcPr>
          <w:p w:rsidR="00557A6F" w:rsidRDefault="00557A6F" w:rsidP="00557A6F">
            <w:pPr>
              <w:jc w:val="right"/>
            </w:pPr>
            <w:r>
              <w:t>(i 1 000 kr)</w:t>
            </w:r>
          </w:p>
        </w:tc>
      </w:tr>
      <w:tr w:rsidR="00557A6F" w:rsidTr="00557A6F">
        <w:trPr>
          <w:trHeight w:val="600"/>
        </w:trPr>
        <w:tc>
          <w:tcPr>
            <w:tcW w:w="1140" w:type="dxa"/>
          </w:tcPr>
          <w:p w:rsidR="00557A6F" w:rsidRDefault="00557A6F" w:rsidP="00557A6F">
            <w:r>
              <w:t>Post</w:t>
            </w:r>
          </w:p>
        </w:tc>
        <w:tc>
          <w:tcPr>
            <w:tcW w:w="4560" w:type="dxa"/>
          </w:tcPr>
          <w:p w:rsidR="00557A6F" w:rsidRDefault="00557A6F" w:rsidP="00557A6F">
            <w:r>
              <w:t>Betegnelse</w:t>
            </w:r>
          </w:p>
        </w:tc>
        <w:tc>
          <w:tcPr>
            <w:tcW w:w="1140" w:type="dxa"/>
          </w:tcPr>
          <w:p w:rsidR="00557A6F" w:rsidRDefault="00557A6F" w:rsidP="00557A6F">
            <w:pPr>
              <w:jc w:val="right"/>
            </w:pPr>
            <w:r>
              <w:t>Regnskap 2018</w:t>
            </w:r>
          </w:p>
        </w:tc>
        <w:tc>
          <w:tcPr>
            <w:tcW w:w="1140" w:type="dxa"/>
          </w:tcPr>
          <w:p w:rsidR="00557A6F" w:rsidRDefault="00557A6F" w:rsidP="00557A6F">
            <w:pPr>
              <w:jc w:val="right"/>
            </w:pPr>
            <w:r>
              <w:t xml:space="preserve">Saldert </w:t>
            </w:r>
            <w:r>
              <w:br/>
              <w:t>budsjett 2019</w:t>
            </w:r>
          </w:p>
        </w:tc>
        <w:tc>
          <w:tcPr>
            <w:tcW w:w="1140" w:type="dxa"/>
          </w:tcPr>
          <w:p w:rsidR="00557A6F" w:rsidRDefault="00557A6F" w:rsidP="00557A6F">
            <w:pPr>
              <w:jc w:val="right"/>
            </w:pPr>
            <w:r>
              <w:t xml:space="preserve">Forslag </w:t>
            </w:r>
            <w:r>
              <w:br/>
              <w:t>2020</w:t>
            </w:r>
          </w:p>
        </w:tc>
      </w:tr>
      <w:tr w:rsidR="00557A6F" w:rsidTr="00557A6F">
        <w:trPr>
          <w:trHeight w:val="380"/>
        </w:trPr>
        <w:tc>
          <w:tcPr>
            <w:tcW w:w="1140" w:type="dxa"/>
          </w:tcPr>
          <w:p w:rsidR="00557A6F" w:rsidRDefault="00557A6F" w:rsidP="00557A6F">
            <w:r>
              <w:t>01</w:t>
            </w:r>
          </w:p>
        </w:tc>
        <w:tc>
          <w:tcPr>
            <w:tcW w:w="4560" w:type="dxa"/>
          </w:tcPr>
          <w:p w:rsidR="00557A6F" w:rsidRDefault="00557A6F" w:rsidP="00557A6F">
            <w:r>
              <w:t xml:space="preserve">Inntekter ved oppdrag </w:t>
            </w:r>
          </w:p>
        </w:tc>
        <w:tc>
          <w:tcPr>
            <w:tcW w:w="1140" w:type="dxa"/>
          </w:tcPr>
          <w:p w:rsidR="00557A6F" w:rsidRDefault="00557A6F" w:rsidP="00557A6F">
            <w:pPr>
              <w:jc w:val="right"/>
            </w:pPr>
            <w:r>
              <w:t>106 730</w:t>
            </w:r>
          </w:p>
        </w:tc>
        <w:tc>
          <w:tcPr>
            <w:tcW w:w="1140" w:type="dxa"/>
          </w:tcPr>
          <w:p w:rsidR="00557A6F" w:rsidRDefault="00557A6F" w:rsidP="00557A6F">
            <w:pPr>
              <w:jc w:val="right"/>
            </w:pPr>
            <w:r>
              <w:t>167 804</w:t>
            </w:r>
          </w:p>
        </w:tc>
        <w:tc>
          <w:tcPr>
            <w:tcW w:w="1140" w:type="dxa"/>
          </w:tcPr>
          <w:p w:rsidR="00557A6F" w:rsidRDefault="00557A6F" w:rsidP="00557A6F">
            <w:pPr>
              <w:jc w:val="right"/>
            </w:pPr>
            <w:r>
              <w:t>172 308</w:t>
            </w:r>
          </w:p>
        </w:tc>
      </w:tr>
      <w:tr w:rsidR="00557A6F" w:rsidTr="00557A6F">
        <w:trPr>
          <w:trHeight w:val="380"/>
        </w:trPr>
        <w:tc>
          <w:tcPr>
            <w:tcW w:w="1140" w:type="dxa"/>
          </w:tcPr>
          <w:p w:rsidR="00557A6F" w:rsidRDefault="00557A6F" w:rsidP="00557A6F">
            <w:r>
              <w:t>02</w:t>
            </w:r>
          </w:p>
        </w:tc>
        <w:tc>
          <w:tcPr>
            <w:tcW w:w="4560" w:type="dxa"/>
          </w:tcPr>
          <w:p w:rsidR="00557A6F" w:rsidRDefault="00557A6F" w:rsidP="00557A6F">
            <w:r>
              <w:t xml:space="preserve">Diverse inntekter </w:t>
            </w:r>
          </w:p>
        </w:tc>
        <w:tc>
          <w:tcPr>
            <w:tcW w:w="1140" w:type="dxa"/>
          </w:tcPr>
          <w:p w:rsidR="00557A6F" w:rsidRDefault="00557A6F" w:rsidP="00557A6F">
            <w:pPr>
              <w:jc w:val="right"/>
            </w:pPr>
            <w:r>
              <w:t>12 390</w:t>
            </w:r>
          </w:p>
        </w:tc>
        <w:tc>
          <w:tcPr>
            <w:tcW w:w="1140" w:type="dxa"/>
          </w:tcPr>
          <w:p w:rsidR="00557A6F" w:rsidRDefault="00557A6F" w:rsidP="00557A6F">
            <w:pPr>
              <w:jc w:val="right"/>
            </w:pPr>
          </w:p>
        </w:tc>
        <w:tc>
          <w:tcPr>
            <w:tcW w:w="1140" w:type="dxa"/>
          </w:tcPr>
          <w:p w:rsidR="00557A6F" w:rsidRDefault="00557A6F" w:rsidP="00557A6F">
            <w:pPr>
              <w:jc w:val="right"/>
            </w:pPr>
          </w:p>
        </w:tc>
      </w:tr>
      <w:tr w:rsidR="00557A6F" w:rsidTr="00557A6F">
        <w:trPr>
          <w:trHeight w:val="380"/>
        </w:trPr>
        <w:tc>
          <w:tcPr>
            <w:tcW w:w="1140" w:type="dxa"/>
          </w:tcPr>
          <w:p w:rsidR="00557A6F" w:rsidRDefault="00557A6F" w:rsidP="00557A6F"/>
        </w:tc>
        <w:tc>
          <w:tcPr>
            <w:tcW w:w="4560" w:type="dxa"/>
          </w:tcPr>
          <w:p w:rsidR="00557A6F" w:rsidRDefault="00557A6F" w:rsidP="00557A6F">
            <w:r>
              <w:t>Sum kap. 3525</w:t>
            </w:r>
          </w:p>
        </w:tc>
        <w:tc>
          <w:tcPr>
            <w:tcW w:w="1140" w:type="dxa"/>
          </w:tcPr>
          <w:p w:rsidR="00557A6F" w:rsidRDefault="00557A6F" w:rsidP="00557A6F">
            <w:pPr>
              <w:jc w:val="right"/>
            </w:pPr>
            <w:r>
              <w:t>119 120</w:t>
            </w:r>
          </w:p>
        </w:tc>
        <w:tc>
          <w:tcPr>
            <w:tcW w:w="1140" w:type="dxa"/>
          </w:tcPr>
          <w:p w:rsidR="00557A6F" w:rsidRDefault="00557A6F" w:rsidP="00557A6F">
            <w:pPr>
              <w:jc w:val="right"/>
            </w:pPr>
            <w:r>
              <w:t>167 804</w:t>
            </w:r>
          </w:p>
        </w:tc>
        <w:tc>
          <w:tcPr>
            <w:tcW w:w="1140" w:type="dxa"/>
          </w:tcPr>
          <w:p w:rsidR="00557A6F" w:rsidRDefault="00557A6F" w:rsidP="00557A6F">
            <w:pPr>
              <w:jc w:val="right"/>
            </w:pPr>
            <w:r>
              <w:t>172 308</w:t>
            </w:r>
          </w:p>
        </w:tc>
      </w:tr>
    </w:tbl>
    <w:p w:rsidR="00557A6F" w:rsidRDefault="00557A6F" w:rsidP="00557A6F">
      <w:pPr>
        <w:pStyle w:val="b-post"/>
      </w:pPr>
      <w:r>
        <w:t>Post 01 Inntekter ved oppdrag</w:t>
      </w:r>
    </w:p>
    <w:p w:rsidR="00557A6F" w:rsidRDefault="00557A6F" w:rsidP="00557A6F">
      <w:r>
        <w:t>På posten føres inntekter fra andre som gir oppdrag eller prosjekter til fylkesmannen og Fylke</w:t>
      </w:r>
      <w:r>
        <w:t>s</w:t>
      </w:r>
      <w:r>
        <w:t>mennenes fellesadministrasjon (FMFA). Midlene gis fra departement, direktorat, tilsyn eller andre virksomheter, for eksempel fylkeskommunene.</w:t>
      </w:r>
    </w:p>
    <w:p w:rsidR="00557A6F" w:rsidRDefault="00557A6F" w:rsidP="00557A6F">
      <w:r>
        <w:t>Bevilgningen foreslås økt med 4,5 mill. kroner til 172,3 mill. kroner, Inkludert endringer som følge av avbyråkr</w:t>
      </w:r>
      <w:r>
        <w:t>a</w:t>
      </w:r>
      <w:r>
        <w:t xml:space="preserve">tiserings- og effektiviseringsreformen og lønns- og prisjusteringer. </w:t>
      </w:r>
    </w:p>
    <w:p w:rsidR="00557A6F" w:rsidRDefault="00557A6F" w:rsidP="00557A6F">
      <w:pPr>
        <w:pStyle w:val="b-post"/>
      </w:pPr>
      <w:r>
        <w:t>Post 02 Diverse inntekter</w:t>
      </w:r>
    </w:p>
    <w:p w:rsidR="00557A6F" w:rsidRDefault="00557A6F" w:rsidP="00557A6F">
      <w:r>
        <w:t>Posten brukes til refusjoner av ordinære driftsutgifter på kap. 525, post 01 som kan gjelde andre embeter, andre statlige virksomheter eller andre virksomheter og organisasjoner.</w:t>
      </w:r>
    </w:p>
    <w:p w:rsidR="00557A6F" w:rsidRDefault="00557A6F" w:rsidP="00557A6F">
      <w:pPr>
        <w:pStyle w:val="b-progkat"/>
      </w:pPr>
      <w:r>
        <w:lastRenderedPageBreak/>
        <w:t>Programkategori 13.30 Statlige byggeprosjekter og eiendomsfo</w:t>
      </w:r>
      <w:r>
        <w:t>r</w:t>
      </w:r>
      <w:r>
        <w:t>valtning</w:t>
      </w:r>
    </w:p>
    <w:p w:rsidR="00557A6F" w:rsidRDefault="00557A6F" w:rsidP="00557A6F">
      <w:pPr>
        <w:pStyle w:val="avsnitt-tittel"/>
      </w:pPr>
      <w:r>
        <w:t>Utgifter under programkategori 13.30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557A6F" w:rsidTr="00557A6F">
        <w:trPr>
          <w:trHeight w:val="640"/>
        </w:trPr>
        <w:tc>
          <w:tcPr>
            <w:tcW w:w="1020" w:type="dxa"/>
            <w:shd w:val="clear" w:color="auto" w:fill="FFFFFF"/>
          </w:tcPr>
          <w:p w:rsidR="00557A6F" w:rsidRDefault="00557A6F" w:rsidP="00557A6F">
            <w:pPr>
              <w:pStyle w:val="Tabellnavn"/>
            </w:pPr>
            <w:r>
              <w:t>PIKL</w:t>
            </w:r>
          </w:p>
        </w:tc>
        <w:tc>
          <w:tcPr>
            <w:tcW w:w="4080" w:type="dxa"/>
          </w:tcPr>
          <w:p w:rsidR="00557A6F" w:rsidRDefault="00557A6F" w:rsidP="00557A6F"/>
        </w:tc>
        <w:tc>
          <w:tcPr>
            <w:tcW w:w="1020" w:type="dxa"/>
          </w:tcPr>
          <w:p w:rsidR="00557A6F" w:rsidRDefault="00557A6F" w:rsidP="00557A6F">
            <w:pPr>
              <w:pStyle w:val="Tabellnavn"/>
              <w:jc w:val="right"/>
            </w:pPr>
          </w:p>
        </w:tc>
        <w:tc>
          <w:tcPr>
            <w:tcW w:w="1020" w:type="dxa"/>
          </w:tcPr>
          <w:p w:rsidR="00557A6F" w:rsidRDefault="00557A6F" w:rsidP="00557A6F">
            <w:pPr>
              <w:pStyle w:val="Tabellnavn"/>
              <w:jc w:val="right"/>
            </w:pPr>
          </w:p>
        </w:tc>
        <w:tc>
          <w:tcPr>
            <w:tcW w:w="1020" w:type="dxa"/>
          </w:tcPr>
          <w:p w:rsidR="00557A6F" w:rsidRDefault="00557A6F" w:rsidP="00557A6F">
            <w:pPr>
              <w:pStyle w:val="Tabellnavn"/>
              <w:jc w:val="right"/>
            </w:pPr>
          </w:p>
        </w:tc>
        <w:tc>
          <w:tcPr>
            <w:tcW w:w="1020" w:type="dxa"/>
          </w:tcPr>
          <w:p w:rsidR="00557A6F" w:rsidRDefault="00557A6F" w:rsidP="00557A6F">
            <w:pPr>
              <w:jc w:val="right"/>
            </w:pPr>
            <w:r>
              <w:t>(i 1 000 kr)</w:t>
            </w:r>
          </w:p>
        </w:tc>
      </w:tr>
      <w:tr w:rsidR="00557A6F" w:rsidTr="00557A6F">
        <w:trPr>
          <w:trHeight w:val="600"/>
        </w:trPr>
        <w:tc>
          <w:tcPr>
            <w:tcW w:w="1020" w:type="dxa"/>
          </w:tcPr>
          <w:p w:rsidR="00557A6F" w:rsidRDefault="00557A6F" w:rsidP="00557A6F">
            <w:r>
              <w:t>Kap.</w:t>
            </w:r>
          </w:p>
        </w:tc>
        <w:tc>
          <w:tcPr>
            <w:tcW w:w="4080" w:type="dxa"/>
          </w:tcPr>
          <w:p w:rsidR="00557A6F" w:rsidRDefault="00557A6F" w:rsidP="00557A6F">
            <w:r>
              <w:t>Betegnelse</w:t>
            </w:r>
          </w:p>
        </w:tc>
        <w:tc>
          <w:tcPr>
            <w:tcW w:w="1020" w:type="dxa"/>
          </w:tcPr>
          <w:p w:rsidR="00557A6F" w:rsidRDefault="00557A6F" w:rsidP="00557A6F">
            <w:pPr>
              <w:jc w:val="right"/>
            </w:pPr>
            <w:r>
              <w:t>Reg</w:t>
            </w:r>
            <w:r>
              <w:t>n</w:t>
            </w:r>
            <w:r>
              <w:t>skap 2018</w:t>
            </w:r>
          </w:p>
        </w:tc>
        <w:tc>
          <w:tcPr>
            <w:tcW w:w="1020" w:type="dxa"/>
          </w:tcPr>
          <w:p w:rsidR="00557A6F" w:rsidRDefault="00557A6F" w:rsidP="00557A6F">
            <w:pPr>
              <w:jc w:val="right"/>
            </w:pPr>
            <w:r>
              <w:t xml:space="preserve">Saldert </w:t>
            </w:r>
            <w:r>
              <w:br/>
              <w:t>budsjett 2019</w:t>
            </w:r>
          </w:p>
        </w:tc>
        <w:tc>
          <w:tcPr>
            <w:tcW w:w="1020" w:type="dxa"/>
          </w:tcPr>
          <w:p w:rsidR="00557A6F" w:rsidRDefault="00557A6F" w:rsidP="00557A6F">
            <w:pPr>
              <w:jc w:val="right"/>
            </w:pPr>
            <w:r>
              <w:t xml:space="preserve">Forslag </w:t>
            </w:r>
            <w:r>
              <w:br/>
              <w:t>2020</w:t>
            </w:r>
          </w:p>
        </w:tc>
        <w:tc>
          <w:tcPr>
            <w:tcW w:w="1020" w:type="dxa"/>
          </w:tcPr>
          <w:p w:rsidR="00557A6F" w:rsidRDefault="00557A6F" w:rsidP="00557A6F">
            <w:pPr>
              <w:jc w:val="right"/>
            </w:pPr>
            <w:r>
              <w:t xml:space="preserve">Pst. endr. </w:t>
            </w:r>
            <w:r>
              <w:br/>
              <w:t>19/20</w:t>
            </w:r>
          </w:p>
        </w:tc>
      </w:tr>
      <w:tr w:rsidR="00557A6F" w:rsidTr="00557A6F">
        <w:trPr>
          <w:trHeight w:val="640"/>
        </w:trPr>
        <w:tc>
          <w:tcPr>
            <w:tcW w:w="1020" w:type="dxa"/>
          </w:tcPr>
          <w:p w:rsidR="00557A6F" w:rsidRDefault="00557A6F" w:rsidP="00557A6F">
            <w:r>
              <w:t>530</w:t>
            </w:r>
          </w:p>
        </w:tc>
        <w:tc>
          <w:tcPr>
            <w:tcW w:w="4080" w:type="dxa"/>
          </w:tcPr>
          <w:p w:rsidR="00557A6F" w:rsidRDefault="00557A6F" w:rsidP="00557A6F">
            <w:r>
              <w:t>Byggeprosjekter utenfor huslei</w:t>
            </w:r>
            <w:r>
              <w:t>e</w:t>
            </w:r>
            <w:r>
              <w:t>ordningen</w:t>
            </w:r>
          </w:p>
        </w:tc>
        <w:tc>
          <w:tcPr>
            <w:tcW w:w="1020" w:type="dxa"/>
          </w:tcPr>
          <w:p w:rsidR="00557A6F" w:rsidRDefault="00557A6F" w:rsidP="00557A6F">
            <w:pPr>
              <w:jc w:val="right"/>
            </w:pPr>
            <w:r>
              <w:t>2 379 750</w:t>
            </w:r>
          </w:p>
        </w:tc>
        <w:tc>
          <w:tcPr>
            <w:tcW w:w="1020" w:type="dxa"/>
          </w:tcPr>
          <w:p w:rsidR="00557A6F" w:rsidRDefault="00557A6F" w:rsidP="00557A6F">
            <w:pPr>
              <w:jc w:val="right"/>
            </w:pPr>
            <w:r>
              <w:t>2 453 072</w:t>
            </w:r>
          </w:p>
        </w:tc>
        <w:tc>
          <w:tcPr>
            <w:tcW w:w="1020" w:type="dxa"/>
          </w:tcPr>
          <w:p w:rsidR="00557A6F" w:rsidRDefault="00557A6F" w:rsidP="00557A6F">
            <w:pPr>
              <w:jc w:val="right"/>
            </w:pPr>
            <w:r>
              <w:t>2 545 300</w:t>
            </w:r>
          </w:p>
        </w:tc>
        <w:tc>
          <w:tcPr>
            <w:tcW w:w="1020" w:type="dxa"/>
          </w:tcPr>
          <w:p w:rsidR="00557A6F" w:rsidRDefault="00557A6F" w:rsidP="00557A6F">
            <w:pPr>
              <w:jc w:val="right"/>
            </w:pPr>
            <w:r>
              <w:t>3,8</w:t>
            </w:r>
          </w:p>
        </w:tc>
      </w:tr>
      <w:tr w:rsidR="00557A6F" w:rsidTr="00557A6F">
        <w:trPr>
          <w:trHeight w:val="380"/>
        </w:trPr>
        <w:tc>
          <w:tcPr>
            <w:tcW w:w="1020" w:type="dxa"/>
          </w:tcPr>
          <w:p w:rsidR="00557A6F" w:rsidRDefault="00557A6F" w:rsidP="00557A6F">
            <w:r>
              <w:t>531</w:t>
            </w:r>
          </w:p>
        </w:tc>
        <w:tc>
          <w:tcPr>
            <w:tcW w:w="4080" w:type="dxa"/>
          </w:tcPr>
          <w:p w:rsidR="00557A6F" w:rsidRDefault="00557A6F" w:rsidP="00557A6F">
            <w:r>
              <w:t>Eiendommer til kongelige formål</w:t>
            </w:r>
          </w:p>
        </w:tc>
        <w:tc>
          <w:tcPr>
            <w:tcW w:w="1020" w:type="dxa"/>
          </w:tcPr>
          <w:p w:rsidR="00557A6F" w:rsidRDefault="00557A6F" w:rsidP="00557A6F">
            <w:pPr>
              <w:jc w:val="right"/>
            </w:pPr>
            <w:r>
              <w:t>58 183</w:t>
            </w:r>
          </w:p>
        </w:tc>
        <w:tc>
          <w:tcPr>
            <w:tcW w:w="1020" w:type="dxa"/>
          </w:tcPr>
          <w:p w:rsidR="00557A6F" w:rsidRDefault="00557A6F" w:rsidP="00557A6F">
            <w:pPr>
              <w:jc w:val="right"/>
            </w:pPr>
            <w:r>
              <w:t>121 448</w:t>
            </w:r>
          </w:p>
        </w:tc>
        <w:tc>
          <w:tcPr>
            <w:tcW w:w="1020" w:type="dxa"/>
          </w:tcPr>
          <w:p w:rsidR="00557A6F" w:rsidRDefault="00557A6F" w:rsidP="00557A6F">
            <w:pPr>
              <w:jc w:val="right"/>
            </w:pPr>
            <w:r>
              <w:t>90 812</w:t>
            </w:r>
          </w:p>
        </w:tc>
        <w:tc>
          <w:tcPr>
            <w:tcW w:w="1020" w:type="dxa"/>
          </w:tcPr>
          <w:p w:rsidR="00557A6F" w:rsidRDefault="00557A6F" w:rsidP="00557A6F">
            <w:pPr>
              <w:jc w:val="right"/>
            </w:pPr>
            <w:r>
              <w:t>-25,2</w:t>
            </w:r>
          </w:p>
        </w:tc>
      </w:tr>
      <w:tr w:rsidR="00557A6F" w:rsidTr="00557A6F">
        <w:trPr>
          <w:trHeight w:val="380"/>
        </w:trPr>
        <w:tc>
          <w:tcPr>
            <w:tcW w:w="1020" w:type="dxa"/>
          </w:tcPr>
          <w:p w:rsidR="00557A6F" w:rsidRDefault="00557A6F" w:rsidP="00557A6F">
            <w:r>
              <w:t>532</w:t>
            </w:r>
          </w:p>
        </w:tc>
        <w:tc>
          <w:tcPr>
            <w:tcW w:w="4080" w:type="dxa"/>
          </w:tcPr>
          <w:p w:rsidR="00557A6F" w:rsidRDefault="00557A6F" w:rsidP="00557A6F">
            <w:r>
              <w:t>Utvikling av Fornebuområdet</w:t>
            </w:r>
          </w:p>
        </w:tc>
        <w:tc>
          <w:tcPr>
            <w:tcW w:w="1020" w:type="dxa"/>
          </w:tcPr>
          <w:p w:rsidR="00557A6F" w:rsidRDefault="00557A6F" w:rsidP="00557A6F">
            <w:pPr>
              <w:jc w:val="right"/>
            </w:pPr>
            <w:r>
              <w:t>166</w:t>
            </w:r>
          </w:p>
        </w:tc>
        <w:tc>
          <w:tcPr>
            <w:tcW w:w="1020" w:type="dxa"/>
          </w:tcPr>
          <w:p w:rsidR="00557A6F" w:rsidRDefault="00557A6F" w:rsidP="00557A6F">
            <w:pPr>
              <w:jc w:val="right"/>
            </w:pPr>
            <w:r>
              <w:t>6 097</w:t>
            </w:r>
          </w:p>
        </w:tc>
        <w:tc>
          <w:tcPr>
            <w:tcW w:w="1020" w:type="dxa"/>
          </w:tcPr>
          <w:p w:rsidR="00557A6F" w:rsidRDefault="00557A6F" w:rsidP="00557A6F">
            <w:pPr>
              <w:jc w:val="right"/>
            </w:pPr>
            <w:r>
              <w:t>297</w:t>
            </w:r>
          </w:p>
        </w:tc>
        <w:tc>
          <w:tcPr>
            <w:tcW w:w="1020" w:type="dxa"/>
          </w:tcPr>
          <w:p w:rsidR="00557A6F" w:rsidRDefault="00557A6F" w:rsidP="00557A6F">
            <w:pPr>
              <w:jc w:val="right"/>
            </w:pPr>
            <w:r>
              <w:t>-95,1</w:t>
            </w:r>
          </w:p>
        </w:tc>
      </w:tr>
      <w:tr w:rsidR="00557A6F" w:rsidTr="00557A6F">
        <w:trPr>
          <w:trHeight w:val="640"/>
        </w:trPr>
        <w:tc>
          <w:tcPr>
            <w:tcW w:w="1020" w:type="dxa"/>
          </w:tcPr>
          <w:p w:rsidR="00557A6F" w:rsidRDefault="00557A6F" w:rsidP="00557A6F">
            <w:r>
              <w:t>533</w:t>
            </w:r>
          </w:p>
        </w:tc>
        <w:tc>
          <w:tcPr>
            <w:tcW w:w="4080" w:type="dxa"/>
          </w:tcPr>
          <w:p w:rsidR="00557A6F" w:rsidRDefault="00557A6F" w:rsidP="00557A6F">
            <w:r>
              <w:t>Eiendommer utenfor husleieor</w:t>
            </w:r>
            <w:r>
              <w:t>d</w:t>
            </w:r>
            <w:r>
              <w:t>ningen</w:t>
            </w:r>
          </w:p>
        </w:tc>
        <w:tc>
          <w:tcPr>
            <w:tcW w:w="1020" w:type="dxa"/>
          </w:tcPr>
          <w:p w:rsidR="00557A6F" w:rsidRDefault="00557A6F" w:rsidP="00557A6F">
            <w:pPr>
              <w:jc w:val="right"/>
            </w:pPr>
            <w:r>
              <w:t>55 008</w:t>
            </w:r>
          </w:p>
        </w:tc>
        <w:tc>
          <w:tcPr>
            <w:tcW w:w="1020" w:type="dxa"/>
          </w:tcPr>
          <w:p w:rsidR="00557A6F" w:rsidRDefault="00557A6F" w:rsidP="00557A6F">
            <w:pPr>
              <w:jc w:val="right"/>
            </w:pPr>
            <w:r>
              <w:t>47 686</w:t>
            </w:r>
          </w:p>
        </w:tc>
        <w:tc>
          <w:tcPr>
            <w:tcW w:w="1020" w:type="dxa"/>
          </w:tcPr>
          <w:p w:rsidR="00557A6F" w:rsidRDefault="00557A6F" w:rsidP="00557A6F">
            <w:pPr>
              <w:jc w:val="right"/>
            </w:pPr>
            <w:r>
              <w:t>56 008</w:t>
            </w:r>
          </w:p>
        </w:tc>
        <w:tc>
          <w:tcPr>
            <w:tcW w:w="1020" w:type="dxa"/>
          </w:tcPr>
          <w:p w:rsidR="00557A6F" w:rsidRDefault="00557A6F" w:rsidP="00557A6F">
            <w:pPr>
              <w:jc w:val="right"/>
            </w:pPr>
            <w:r>
              <w:t>17,5</w:t>
            </w:r>
          </w:p>
        </w:tc>
      </w:tr>
      <w:tr w:rsidR="00557A6F" w:rsidTr="00557A6F">
        <w:trPr>
          <w:trHeight w:val="380"/>
        </w:trPr>
        <w:tc>
          <w:tcPr>
            <w:tcW w:w="1020" w:type="dxa"/>
          </w:tcPr>
          <w:p w:rsidR="00557A6F" w:rsidRDefault="00557A6F" w:rsidP="00557A6F">
            <w:r>
              <w:t>2445</w:t>
            </w:r>
          </w:p>
        </w:tc>
        <w:tc>
          <w:tcPr>
            <w:tcW w:w="4080" w:type="dxa"/>
          </w:tcPr>
          <w:p w:rsidR="00557A6F" w:rsidRDefault="00557A6F" w:rsidP="00557A6F">
            <w:r>
              <w:t>Statsbygg</w:t>
            </w:r>
          </w:p>
        </w:tc>
        <w:tc>
          <w:tcPr>
            <w:tcW w:w="1020" w:type="dxa"/>
          </w:tcPr>
          <w:p w:rsidR="00557A6F" w:rsidRDefault="00557A6F" w:rsidP="00557A6F">
            <w:pPr>
              <w:jc w:val="right"/>
            </w:pPr>
            <w:r>
              <w:t>3 985 911</w:t>
            </w:r>
          </w:p>
        </w:tc>
        <w:tc>
          <w:tcPr>
            <w:tcW w:w="1020" w:type="dxa"/>
          </w:tcPr>
          <w:p w:rsidR="00557A6F" w:rsidRDefault="00557A6F" w:rsidP="00557A6F">
            <w:pPr>
              <w:jc w:val="right"/>
            </w:pPr>
            <w:r>
              <w:t>4 096 927</w:t>
            </w:r>
          </w:p>
        </w:tc>
        <w:tc>
          <w:tcPr>
            <w:tcW w:w="1020" w:type="dxa"/>
          </w:tcPr>
          <w:p w:rsidR="00557A6F" w:rsidRDefault="00557A6F" w:rsidP="00557A6F">
            <w:pPr>
              <w:jc w:val="right"/>
            </w:pPr>
            <w:r>
              <w:t>2 385 231</w:t>
            </w:r>
          </w:p>
        </w:tc>
        <w:tc>
          <w:tcPr>
            <w:tcW w:w="1020" w:type="dxa"/>
          </w:tcPr>
          <w:p w:rsidR="00557A6F" w:rsidRDefault="00557A6F" w:rsidP="00557A6F">
            <w:pPr>
              <w:jc w:val="right"/>
            </w:pPr>
            <w:r>
              <w:t>-41,8</w:t>
            </w:r>
          </w:p>
        </w:tc>
      </w:tr>
      <w:tr w:rsidR="00557A6F" w:rsidTr="00557A6F">
        <w:trPr>
          <w:trHeight w:val="380"/>
        </w:trPr>
        <w:tc>
          <w:tcPr>
            <w:tcW w:w="1020" w:type="dxa"/>
          </w:tcPr>
          <w:p w:rsidR="00557A6F" w:rsidRDefault="00557A6F" w:rsidP="00557A6F"/>
        </w:tc>
        <w:tc>
          <w:tcPr>
            <w:tcW w:w="4080" w:type="dxa"/>
          </w:tcPr>
          <w:p w:rsidR="00557A6F" w:rsidRDefault="00557A6F" w:rsidP="00557A6F">
            <w:r>
              <w:t>Sum kategori 13.30</w:t>
            </w:r>
          </w:p>
        </w:tc>
        <w:tc>
          <w:tcPr>
            <w:tcW w:w="1020" w:type="dxa"/>
          </w:tcPr>
          <w:p w:rsidR="00557A6F" w:rsidRDefault="00557A6F" w:rsidP="00557A6F">
            <w:pPr>
              <w:jc w:val="right"/>
            </w:pPr>
            <w:r>
              <w:t>6 479 018</w:t>
            </w:r>
          </w:p>
        </w:tc>
        <w:tc>
          <w:tcPr>
            <w:tcW w:w="1020" w:type="dxa"/>
          </w:tcPr>
          <w:p w:rsidR="00557A6F" w:rsidRDefault="00557A6F" w:rsidP="00557A6F">
            <w:pPr>
              <w:jc w:val="right"/>
            </w:pPr>
            <w:r>
              <w:t>6 725 230</w:t>
            </w:r>
          </w:p>
        </w:tc>
        <w:tc>
          <w:tcPr>
            <w:tcW w:w="1020" w:type="dxa"/>
          </w:tcPr>
          <w:p w:rsidR="00557A6F" w:rsidRDefault="00557A6F" w:rsidP="00557A6F">
            <w:pPr>
              <w:jc w:val="right"/>
            </w:pPr>
            <w:r>
              <w:t>5 077 648</w:t>
            </w:r>
          </w:p>
        </w:tc>
        <w:tc>
          <w:tcPr>
            <w:tcW w:w="1020" w:type="dxa"/>
          </w:tcPr>
          <w:p w:rsidR="00557A6F" w:rsidRDefault="00557A6F" w:rsidP="00557A6F">
            <w:pPr>
              <w:jc w:val="right"/>
            </w:pPr>
            <w:r>
              <w:t>-24,5</w:t>
            </w:r>
          </w:p>
        </w:tc>
      </w:tr>
    </w:tbl>
    <w:p w:rsidR="00557A6F" w:rsidRDefault="00557A6F" w:rsidP="00557A6F">
      <w:pPr>
        <w:pStyle w:val="avsnitt-tittel"/>
      </w:pPr>
      <w:r>
        <w:t>Inntekter under programkategori 13.30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557A6F" w:rsidTr="00557A6F">
        <w:trPr>
          <w:trHeight w:val="640"/>
        </w:trPr>
        <w:tc>
          <w:tcPr>
            <w:tcW w:w="1020" w:type="dxa"/>
            <w:shd w:val="clear" w:color="auto" w:fill="FFFFFF"/>
          </w:tcPr>
          <w:p w:rsidR="00557A6F" w:rsidRDefault="00557A6F" w:rsidP="00557A6F">
            <w:pPr>
              <w:pStyle w:val="Tabellnavn"/>
            </w:pPr>
            <w:r>
              <w:t>PIKL</w:t>
            </w:r>
          </w:p>
        </w:tc>
        <w:tc>
          <w:tcPr>
            <w:tcW w:w="4080" w:type="dxa"/>
          </w:tcPr>
          <w:p w:rsidR="00557A6F" w:rsidRDefault="00557A6F" w:rsidP="00557A6F"/>
        </w:tc>
        <w:tc>
          <w:tcPr>
            <w:tcW w:w="1020" w:type="dxa"/>
          </w:tcPr>
          <w:p w:rsidR="00557A6F" w:rsidRDefault="00557A6F" w:rsidP="00557A6F">
            <w:pPr>
              <w:pStyle w:val="Tabellnavn"/>
              <w:jc w:val="right"/>
            </w:pPr>
          </w:p>
        </w:tc>
        <w:tc>
          <w:tcPr>
            <w:tcW w:w="1020" w:type="dxa"/>
          </w:tcPr>
          <w:p w:rsidR="00557A6F" w:rsidRDefault="00557A6F" w:rsidP="00557A6F">
            <w:pPr>
              <w:pStyle w:val="Tabellnavn"/>
              <w:jc w:val="right"/>
            </w:pPr>
          </w:p>
        </w:tc>
        <w:tc>
          <w:tcPr>
            <w:tcW w:w="1020" w:type="dxa"/>
          </w:tcPr>
          <w:p w:rsidR="00557A6F" w:rsidRDefault="00557A6F" w:rsidP="00557A6F">
            <w:pPr>
              <w:pStyle w:val="Tabellnavn"/>
              <w:jc w:val="right"/>
            </w:pPr>
          </w:p>
        </w:tc>
        <w:tc>
          <w:tcPr>
            <w:tcW w:w="1020" w:type="dxa"/>
          </w:tcPr>
          <w:p w:rsidR="00557A6F" w:rsidRDefault="00557A6F" w:rsidP="00557A6F">
            <w:pPr>
              <w:jc w:val="right"/>
            </w:pPr>
            <w:r>
              <w:t>(i 1 000 kr)</w:t>
            </w:r>
          </w:p>
        </w:tc>
      </w:tr>
      <w:tr w:rsidR="00557A6F" w:rsidTr="00557A6F">
        <w:trPr>
          <w:trHeight w:val="600"/>
        </w:trPr>
        <w:tc>
          <w:tcPr>
            <w:tcW w:w="1020" w:type="dxa"/>
          </w:tcPr>
          <w:p w:rsidR="00557A6F" w:rsidRDefault="00557A6F" w:rsidP="00557A6F">
            <w:r>
              <w:t>Kap.</w:t>
            </w:r>
          </w:p>
        </w:tc>
        <w:tc>
          <w:tcPr>
            <w:tcW w:w="4080" w:type="dxa"/>
          </w:tcPr>
          <w:p w:rsidR="00557A6F" w:rsidRDefault="00557A6F" w:rsidP="00557A6F">
            <w:r>
              <w:t>Betegnelse</w:t>
            </w:r>
          </w:p>
        </w:tc>
        <w:tc>
          <w:tcPr>
            <w:tcW w:w="1020" w:type="dxa"/>
          </w:tcPr>
          <w:p w:rsidR="00557A6F" w:rsidRDefault="00557A6F" w:rsidP="00557A6F">
            <w:pPr>
              <w:jc w:val="right"/>
            </w:pPr>
            <w:r>
              <w:t>Reg</w:t>
            </w:r>
            <w:r>
              <w:t>n</w:t>
            </w:r>
            <w:r>
              <w:t>skap 2018</w:t>
            </w:r>
          </w:p>
        </w:tc>
        <w:tc>
          <w:tcPr>
            <w:tcW w:w="1020" w:type="dxa"/>
          </w:tcPr>
          <w:p w:rsidR="00557A6F" w:rsidRDefault="00557A6F" w:rsidP="00557A6F">
            <w:pPr>
              <w:jc w:val="right"/>
            </w:pPr>
            <w:r>
              <w:t xml:space="preserve">Saldert </w:t>
            </w:r>
            <w:r>
              <w:br/>
              <w:t>budsjett 2019</w:t>
            </w:r>
          </w:p>
        </w:tc>
        <w:tc>
          <w:tcPr>
            <w:tcW w:w="1020" w:type="dxa"/>
          </w:tcPr>
          <w:p w:rsidR="00557A6F" w:rsidRDefault="00557A6F" w:rsidP="00557A6F">
            <w:pPr>
              <w:jc w:val="right"/>
            </w:pPr>
            <w:r>
              <w:t xml:space="preserve">Forslag </w:t>
            </w:r>
            <w:r>
              <w:br/>
              <w:t>2020</w:t>
            </w:r>
          </w:p>
        </w:tc>
        <w:tc>
          <w:tcPr>
            <w:tcW w:w="1020" w:type="dxa"/>
          </w:tcPr>
          <w:p w:rsidR="00557A6F" w:rsidRDefault="00557A6F" w:rsidP="00557A6F">
            <w:pPr>
              <w:jc w:val="right"/>
            </w:pPr>
            <w:r>
              <w:t xml:space="preserve">Pst. endr. </w:t>
            </w:r>
            <w:r>
              <w:br/>
              <w:t>19/20</w:t>
            </w:r>
          </w:p>
        </w:tc>
      </w:tr>
      <w:tr w:rsidR="00557A6F" w:rsidTr="00557A6F">
        <w:trPr>
          <w:trHeight w:val="640"/>
        </w:trPr>
        <w:tc>
          <w:tcPr>
            <w:tcW w:w="1020" w:type="dxa"/>
          </w:tcPr>
          <w:p w:rsidR="00557A6F" w:rsidRDefault="00557A6F" w:rsidP="00557A6F">
            <w:r>
              <w:t>3533</w:t>
            </w:r>
          </w:p>
        </w:tc>
        <w:tc>
          <w:tcPr>
            <w:tcW w:w="4080" w:type="dxa"/>
          </w:tcPr>
          <w:p w:rsidR="00557A6F" w:rsidRDefault="00557A6F" w:rsidP="00557A6F">
            <w:r>
              <w:t>Eiendommer utenfor husleieor</w:t>
            </w:r>
            <w:r>
              <w:t>d</w:t>
            </w:r>
            <w:r>
              <w:t>ningen</w:t>
            </w:r>
          </w:p>
        </w:tc>
        <w:tc>
          <w:tcPr>
            <w:tcW w:w="1020" w:type="dxa"/>
          </w:tcPr>
          <w:p w:rsidR="00557A6F" w:rsidRDefault="00557A6F" w:rsidP="00557A6F">
            <w:pPr>
              <w:jc w:val="right"/>
            </w:pPr>
            <w:r>
              <w:t>5 707</w:t>
            </w:r>
          </w:p>
        </w:tc>
        <w:tc>
          <w:tcPr>
            <w:tcW w:w="1020" w:type="dxa"/>
          </w:tcPr>
          <w:p w:rsidR="00557A6F" w:rsidRDefault="00557A6F" w:rsidP="00557A6F">
            <w:pPr>
              <w:jc w:val="right"/>
            </w:pPr>
            <w:r>
              <w:t>2 383</w:t>
            </w:r>
          </w:p>
        </w:tc>
        <w:tc>
          <w:tcPr>
            <w:tcW w:w="1020" w:type="dxa"/>
          </w:tcPr>
          <w:p w:rsidR="00557A6F" w:rsidRDefault="00557A6F" w:rsidP="00557A6F">
            <w:pPr>
              <w:jc w:val="right"/>
            </w:pPr>
            <w:r>
              <w:t>2 447</w:t>
            </w:r>
          </w:p>
        </w:tc>
        <w:tc>
          <w:tcPr>
            <w:tcW w:w="1020" w:type="dxa"/>
          </w:tcPr>
          <w:p w:rsidR="00557A6F" w:rsidRDefault="00557A6F" w:rsidP="00557A6F">
            <w:pPr>
              <w:jc w:val="right"/>
            </w:pPr>
            <w:r>
              <w:t>2,7</w:t>
            </w:r>
          </w:p>
        </w:tc>
      </w:tr>
      <w:tr w:rsidR="00557A6F" w:rsidTr="00557A6F">
        <w:trPr>
          <w:trHeight w:val="380"/>
        </w:trPr>
        <w:tc>
          <w:tcPr>
            <w:tcW w:w="1020" w:type="dxa"/>
          </w:tcPr>
          <w:p w:rsidR="00557A6F" w:rsidRDefault="00557A6F" w:rsidP="00557A6F">
            <w:r>
              <w:t>5445</w:t>
            </w:r>
          </w:p>
        </w:tc>
        <w:tc>
          <w:tcPr>
            <w:tcW w:w="4080" w:type="dxa"/>
          </w:tcPr>
          <w:p w:rsidR="00557A6F" w:rsidRDefault="00557A6F" w:rsidP="00557A6F">
            <w:r>
              <w:t>Statsbygg</w:t>
            </w:r>
          </w:p>
        </w:tc>
        <w:tc>
          <w:tcPr>
            <w:tcW w:w="1020" w:type="dxa"/>
          </w:tcPr>
          <w:p w:rsidR="00557A6F" w:rsidRDefault="00557A6F" w:rsidP="00557A6F">
            <w:pPr>
              <w:jc w:val="right"/>
            </w:pPr>
            <w:r>
              <w:t>1 381 218</w:t>
            </w:r>
          </w:p>
        </w:tc>
        <w:tc>
          <w:tcPr>
            <w:tcW w:w="1020" w:type="dxa"/>
          </w:tcPr>
          <w:p w:rsidR="00557A6F" w:rsidRDefault="00557A6F" w:rsidP="00557A6F">
            <w:pPr>
              <w:jc w:val="right"/>
            </w:pPr>
            <w:r>
              <w:t>1 242 976</w:t>
            </w:r>
          </w:p>
        </w:tc>
        <w:tc>
          <w:tcPr>
            <w:tcW w:w="1020" w:type="dxa"/>
          </w:tcPr>
          <w:p w:rsidR="00557A6F" w:rsidRDefault="00557A6F" w:rsidP="00557A6F">
            <w:pPr>
              <w:jc w:val="right"/>
            </w:pPr>
            <w:r>
              <w:t>1 132 272</w:t>
            </w:r>
          </w:p>
        </w:tc>
        <w:tc>
          <w:tcPr>
            <w:tcW w:w="1020" w:type="dxa"/>
          </w:tcPr>
          <w:p w:rsidR="00557A6F" w:rsidRDefault="00557A6F" w:rsidP="00557A6F">
            <w:pPr>
              <w:jc w:val="right"/>
            </w:pPr>
            <w:r>
              <w:t>-8,9</w:t>
            </w:r>
          </w:p>
        </w:tc>
      </w:tr>
      <w:tr w:rsidR="00557A6F" w:rsidTr="00557A6F">
        <w:trPr>
          <w:trHeight w:val="380"/>
        </w:trPr>
        <w:tc>
          <w:tcPr>
            <w:tcW w:w="1020" w:type="dxa"/>
          </w:tcPr>
          <w:p w:rsidR="00557A6F" w:rsidRDefault="00557A6F" w:rsidP="00557A6F">
            <w:r>
              <w:t>5446</w:t>
            </w:r>
          </w:p>
        </w:tc>
        <w:tc>
          <w:tcPr>
            <w:tcW w:w="4080" w:type="dxa"/>
          </w:tcPr>
          <w:p w:rsidR="00557A6F" w:rsidRDefault="00557A6F" w:rsidP="00557A6F">
            <w:r>
              <w:t>Salg av eiendom, Fornebu</w:t>
            </w:r>
          </w:p>
        </w:tc>
        <w:tc>
          <w:tcPr>
            <w:tcW w:w="1020" w:type="dxa"/>
          </w:tcPr>
          <w:p w:rsidR="00557A6F" w:rsidRDefault="00557A6F" w:rsidP="00557A6F">
            <w:pPr>
              <w:jc w:val="right"/>
            </w:pPr>
            <w:r>
              <w:t>323</w:t>
            </w:r>
          </w:p>
        </w:tc>
        <w:tc>
          <w:tcPr>
            <w:tcW w:w="1020" w:type="dxa"/>
          </w:tcPr>
          <w:p w:rsidR="00557A6F" w:rsidRDefault="00557A6F" w:rsidP="00557A6F">
            <w:pPr>
              <w:jc w:val="right"/>
            </w:pPr>
            <w:r>
              <w:t>200</w:t>
            </w:r>
          </w:p>
        </w:tc>
        <w:tc>
          <w:tcPr>
            <w:tcW w:w="1020" w:type="dxa"/>
          </w:tcPr>
          <w:p w:rsidR="00557A6F" w:rsidRDefault="00557A6F" w:rsidP="00557A6F">
            <w:pPr>
              <w:jc w:val="right"/>
            </w:pPr>
            <w:r>
              <w:t>200</w:t>
            </w:r>
          </w:p>
        </w:tc>
        <w:tc>
          <w:tcPr>
            <w:tcW w:w="1020" w:type="dxa"/>
          </w:tcPr>
          <w:p w:rsidR="00557A6F" w:rsidRDefault="00557A6F" w:rsidP="00557A6F">
            <w:pPr>
              <w:jc w:val="right"/>
            </w:pPr>
            <w:r>
              <w:t>0,0</w:t>
            </w:r>
          </w:p>
        </w:tc>
      </w:tr>
      <w:tr w:rsidR="00557A6F" w:rsidTr="00557A6F">
        <w:trPr>
          <w:trHeight w:val="380"/>
        </w:trPr>
        <w:tc>
          <w:tcPr>
            <w:tcW w:w="1020" w:type="dxa"/>
          </w:tcPr>
          <w:p w:rsidR="00557A6F" w:rsidRDefault="00557A6F" w:rsidP="00557A6F"/>
        </w:tc>
        <w:tc>
          <w:tcPr>
            <w:tcW w:w="4080" w:type="dxa"/>
          </w:tcPr>
          <w:p w:rsidR="00557A6F" w:rsidRDefault="00557A6F" w:rsidP="00557A6F">
            <w:r>
              <w:t>Sum kategori 13.30</w:t>
            </w:r>
          </w:p>
        </w:tc>
        <w:tc>
          <w:tcPr>
            <w:tcW w:w="1020" w:type="dxa"/>
          </w:tcPr>
          <w:p w:rsidR="00557A6F" w:rsidRDefault="00557A6F" w:rsidP="00557A6F">
            <w:pPr>
              <w:jc w:val="right"/>
            </w:pPr>
            <w:r>
              <w:t>1 387 248</w:t>
            </w:r>
          </w:p>
        </w:tc>
        <w:tc>
          <w:tcPr>
            <w:tcW w:w="1020" w:type="dxa"/>
          </w:tcPr>
          <w:p w:rsidR="00557A6F" w:rsidRDefault="00557A6F" w:rsidP="00557A6F">
            <w:pPr>
              <w:jc w:val="right"/>
            </w:pPr>
            <w:r>
              <w:t>1 245 559</w:t>
            </w:r>
          </w:p>
        </w:tc>
        <w:tc>
          <w:tcPr>
            <w:tcW w:w="1020" w:type="dxa"/>
          </w:tcPr>
          <w:p w:rsidR="00557A6F" w:rsidRDefault="00557A6F" w:rsidP="00557A6F">
            <w:pPr>
              <w:jc w:val="right"/>
            </w:pPr>
            <w:r>
              <w:t>1 134 919</w:t>
            </w:r>
          </w:p>
        </w:tc>
        <w:tc>
          <w:tcPr>
            <w:tcW w:w="1020" w:type="dxa"/>
          </w:tcPr>
          <w:p w:rsidR="00557A6F" w:rsidRDefault="00557A6F" w:rsidP="00557A6F">
            <w:pPr>
              <w:jc w:val="right"/>
            </w:pPr>
            <w:r>
              <w:t>-8,9</w:t>
            </w:r>
          </w:p>
        </w:tc>
      </w:tr>
    </w:tbl>
    <w:p w:rsidR="00557A6F" w:rsidRDefault="00557A6F" w:rsidP="00557A6F">
      <w:pPr>
        <w:pStyle w:val="Undertittel"/>
      </w:pPr>
      <w:r>
        <w:t>Ansvarsområder</w:t>
      </w:r>
    </w:p>
    <w:p w:rsidR="00557A6F" w:rsidRDefault="00557A6F" w:rsidP="00557A6F">
      <w:r>
        <w:t>Kommunal- og moderniseringsdepartementet har ansvar for statens bygge- og eiendomspolitikk i sivil sektor. Departementet gir retningslinjer for hvordan statens byggeprosjekter og leie av lokaler i markedet skal gjennomføres. I byggeprosjekter der Statsbygg er byggherre, har departementet et koord</w:t>
      </w:r>
      <w:r>
        <w:t>i</w:t>
      </w:r>
      <w:r>
        <w:t>neringsansvar og sørger for en samlet budsjettmessig oppfølging av prosjektene fra oppstart til ferdi</w:t>
      </w:r>
      <w:r>
        <w:t>g</w:t>
      </w:r>
      <w:r>
        <w:t>stillelse. Departementet skal legge til rette for at Statsbygg kan forvalte eiendommer på en god måte.</w:t>
      </w:r>
    </w:p>
    <w:p w:rsidR="00557A6F" w:rsidRDefault="00557A6F" w:rsidP="00557A6F">
      <w:r>
        <w:t>Programkategorien omfatter bevilgninger til alle byggeprosjekter som Statsbygg har ansvaret for. B</w:t>
      </w:r>
      <w:r>
        <w:t>e</w:t>
      </w:r>
      <w:r>
        <w:t>vilgningene dekker også forvaltning, drift og vedlikehold av eksisterende eiendommer.</w:t>
      </w:r>
    </w:p>
    <w:p w:rsidR="00557A6F" w:rsidRDefault="00557A6F" w:rsidP="00557A6F">
      <w:pPr>
        <w:pStyle w:val="Undertittel"/>
      </w:pPr>
      <w:r>
        <w:lastRenderedPageBreak/>
        <w:t>Utviklingstrekk og utfordringer</w:t>
      </w:r>
    </w:p>
    <w:p w:rsidR="00557A6F" w:rsidRDefault="00557A6F" w:rsidP="00557A6F">
      <w:r>
        <w:t>Samlede investeringer i byggeprosjekter reduseres i 2020, sammenliknet med 2019. Dette skyldes at store prosjekter er ferdigstilt eller nærmer seg sluttføring. Prosjektene sluttføres samlet sett til en kostnad godt under Stortingets fastsatte kostnadsrammer. Et unntak er nybygg for Norges miljø- og biovitensk</w:t>
      </w:r>
      <w:r>
        <w:t>a</w:t>
      </w:r>
      <w:r>
        <w:t>pelige universitet (NMBU) og Veterinærinstituttet på Ås. Prosjektet har hatt betydelige kostnadsmessige utfordringer. Det vises til egen omtale under kap. 530 Byggeprosjekter utenfor husleieordningen.</w:t>
      </w:r>
    </w:p>
    <w:p w:rsidR="00557A6F" w:rsidRDefault="00557A6F" w:rsidP="00557A6F">
      <w:r>
        <w:t>Lokaler utgjør en stor utgift og er en vesentlig innsatsfaktor for at statlige virksomheter skal nå sine mål. Det legges derfor vekt på kostnad-nytte-analyse og realisering av samfunns- og effektmål i nye pr</w:t>
      </w:r>
      <w:r>
        <w:t>o</w:t>
      </w:r>
      <w:r>
        <w:t>sjekter. I større grad enn tidligere vil statlig eiendomsutvikling handle om god arealbruk og ressursutnyttelse i eksisterende by</w:t>
      </w:r>
      <w:r>
        <w:t>g</w:t>
      </w:r>
      <w:r>
        <w:t>ningsmasse, slik at behovet for nybygg begrenses.</w:t>
      </w:r>
    </w:p>
    <w:p w:rsidR="00557A6F" w:rsidRDefault="00557A6F" w:rsidP="00557A6F">
      <w:r>
        <w:t>Omorganiseringer, digitalisering, nye arbeidsformer og økt behov for samhandling krever tilpa</w:t>
      </w:r>
      <w:r>
        <w:t>s</w:t>
      </w:r>
      <w:r>
        <w:t>sing av lokaler. Ved å ta i bruk nye digitale løsninger legges det til rette for mer effektive produ</w:t>
      </w:r>
      <w:r>
        <w:t>k</w:t>
      </w:r>
      <w:r>
        <w:t>sjonsformer og byggeprosesser, god arealutnyttelse, energireduksjon og rasjonell drift av byggene.</w:t>
      </w:r>
    </w:p>
    <w:p w:rsidR="00557A6F" w:rsidRDefault="00557A6F" w:rsidP="00557A6F">
      <w:r>
        <w:t xml:space="preserve">Staten er en betydelig leietaker i markedet. Det er etablert en egen database (statenslokaler.no) som blant annet skal gi oversikt over alle leiekontrakter staten har i markedet. Databasen vil danne grunnlag for en mer helhetlig oversikt og for å styre porteføljen av statens leiekontrakter på en bedre måte. En profesjonalisering av statens </w:t>
      </w:r>
      <w:proofErr w:type="gramStart"/>
      <w:r>
        <w:t>innleie</w:t>
      </w:r>
      <w:proofErr w:type="gramEnd"/>
      <w:r>
        <w:t xml:space="preserve"> av lokaler forventes å kunne gi betydelige å</w:t>
      </w:r>
      <w:r>
        <w:t>r</w:t>
      </w:r>
      <w:r>
        <w:t>lige besparelser.</w:t>
      </w:r>
    </w:p>
    <w:p w:rsidR="00557A6F" w:rsidRDefault="00557A6F" w:rsidP="00557A6F">
      <w:r>
        <w:t>Bygge-, anleggs- og eiendomsbransjen har utfordringer med useriøse aktører. Staten må arbeide for å hindre at useriøse aktører vinner fram i konkurransen om statlige anbud, og for at de som utfører arbeid for staten etterl</w:t>
      </w:r>
      <w:r>
        <w:t>e</w:t>
      </w:r>
      <w:r>
        <w:t>ver lover og regler.</w:t>
      </w:r>
    </w:p>
    <w:p w:rsidR="00557A6F" w:rsidRDefault="00557A6F" w:rsidP="00557A6F">
      <w:r>
        <w:t>Regjeringens mål om reduserte klimagassutslipp krever høy miljøfaglig kompetanse i forbindelse med lokalisering og konseptvalg samt betydelige tiltak i byggeprosessen og i eiendomsforval</w:t>
      </w:r>
      <w:r>
        <w:t>t</w:t>
      </w:r>
      <w:r>
        <w:t>ningen. Energi, miljø og klima hensyntas innenfor alle virksomhetsområder i Statsbygg.</w:t>
      </w:r>
    </w:p>
    <w:p w:rsidR="00557A6F" w:rsidRDefault="00557A6F" w:rsidP="00557A6F">
      <w:r>
        <w:t>Som ledd i en områdegjennomgang av bygge- og eiendomspolitikken i statlig sivil sektor, har ek</w:t>
      </w:r>
      <w:r>
        <w:t>s</w:t>
      </w:r>
      <w:r>
        <w:t>tern konsulent vurdert mål for området og mulige tiltak for økt kostnadseffektivitet. Det dreier seg om tiltak blant annet for st</w:t>
      </w:r>
      <w:r>
        <w:t>a</w:t>
      </w:r>
      <w:r>
        <w:t>tens leie av lokaler i markedet, statens forvaltning av egne eiendommer og gjennomføring av statlige byggeprosjekter. Det vurderes å være et betydelig potensial for in</w:t>
      </w:r>
      <w:r>
        <w:t>n</w:t>
      </w:r>
      <w:r>
        <w:t>sparinger gjennom en mer profesjonell håndtering av statens innleie av lokaler. Innenfor statlig eiendomsforvaltning vil regj</w:t>
      </w:r>
      <w:r>
        <w:t>e</w:t>
      </w:r>
      <w:r>
        <w:t>ringen vurdere ulike modeller. Det er vesentlig å sikre en effektiv og verdibevarende forvaltning av statens eiendommer. Det krever profesjonell eie</w:t>
      </w:r>
      <w:r>
        <w:t>n</w:t>
      </w:r>
      <w:r>
        <w:t>domsdrift, gode vedlikeholdsplaner og forutsigbare bu</w:t>
      </w:r>
      <w:r>
        <w:t>d</w:t>
      </w:r>
      <w:r>
        <w:t>sjettmessige avsetninger til formålet. I gjennomføringen av statlige byggeprosjekter anses det å være et effektiviseringspotensial særlig innenfor områdene gjennomføringsmodeller og standardisering. Regjeringen utreder nå ulike tiltak, og vil komme ti</w:t>
      </w:r>
      <w:r>
        <w:t>l</w:t>
      </w:r>
      <w:r>
        <w:t>bake til Stortinget på egnet måte.</w:t>
      </w:r>
    </w:p>
    <w:p w:rsidR="00557A6F" w:rsidRDefault="00557A6F" w:rsidP="00557A6F">
      <w:pPr>
        <w:pStyle w:val="Undertittel"/>
      </w:pPr>
      <w:r>
        <w:t>Mål og rapportering, strategier og tiltak</w:t>
      </w:r>
    </w:p>
    <w:p w:rsidR="007F3140" w:rsidRPr="007F3140" w:rsidRDefault="007F3140" w:rsidP="007F3140">
      <w:pPr>
        <w:pStyle w:val="tabell-tittel"/>
      </w:pPr>
      <w:r>
        <w:t>Mål for programkategori 13.30 Statlige byggeprosjekter og eiendomsforval</w:t>
      </w:r>
      <w:r>
        <w:t>t</w:t>
      </w:r>
      <w:r>
        <w:t>ning</w:t>
      </w:r>
    </w:p>
    <w:p w:rsidR="00557A6F" w:rsidRDefault="00557A6F" w:rsidP="00557A6F">
      <w:pPr>
        <w:pStyle w:val="Tabellnavn"/>
      </w:pPr>
      <w:r>
        <w:t>02J0xx2</w:t>
      </w:r>
    </w:p>
    <w:tbl>
      <w:tblPr>
        <w:tblStyle w:val="StandardTabell"/>
        <w:tblW w:w="0" w:type="auto"/>
        <w:tblLayout w:type="fixed"/>
        <w:tblLook w:val="04A0" w:firstRow="1" w:lastRow="0" w:firstColumn="1" w:lastColumn="0" w:noHBand="0" w:noVBand="1"/>
      </w:tblPr>
      <w:tblGrid>
        <w:gridCol w:w="9200"/>
      </w:tblGrid>
      <w:tr w:rsidR="00557A6F" w:rsidTr="00557A6F">
        <w:trPr>
          <w:trHeight w:val="380"/>
        </w:trPr>
        <w:tc>
          <w:tcPr>
            <w:tcW w:w="9200" w:type="dxa"/>
          </w:tcPr>
          <w:p w:rsidR="00557A6F" w:rsidRDefault="00557A6F" w:rsidP="00557A6F">
            <w:r>
              <w:t>1.</w:t>
            </w:r>
            <w:r>
              <w:tab/>
              <w:t>Statlige virksomheter har effektive lokaler som støtter virksomhetenes formål</w:t>
            </w:r>
          </w:p>
        </w:tc>
      </w:tr>
      <w:tr w:rsidR="00557A6F" w:rsidTr="00557A6F">
        <w:trPr>
          <w:trHeight w:val="380"/>
        </w:trPr>
        <w:tc>
          <w:tcPr>
            <w:tcW w:w="9200" w:type="dxa"/>
          </w:tcPr>
          <w:p w:rsidR="00557A6F" w:rsidRDefault="00557A6F" w:rsidP="00557A6F">
            <w:r>
              <w:t>2.</w:t>
            </w:r>
            <w:r>
              <w:tab/>
              <w:t>Statlig eiendomsforvaltning er verdibevarende, bærekraftig og effektiv</w:t>
            </w:r>
          </w:p>
        </w:tc>
      </w:tr>
    </w:tbl>
    <w:p w:rsidR="00557A6F" w:rsidRDefault="00557A6F" w:rsidP="00557A6F">
      <w:pPr>
        <w:pStyle w:val="avsnitt-tittel"/>
      </w:pPr>
      <w:r>
        <w:t>Mål 1 Statlige virksomheter har effektive lokaler som støtter virksomhetenes formål</w:t>
      </w:r>
    </w:p>
    <w:p w:rsidR="00557A6F" w:rsidRDefault="00557A6F" w:rsidP="00557A6F">
      <w:pPr>
        <w:pStyle w:val="avsnitt-undertittel"/>
      </w:pPr>
      <w:r>
        <w:t>Rapport, strategier og tiltak</w:t>
      </w:r>
    </w:p>
    <w:p w:rsidR="00557A6F" w:rsidRDefault="00557A6F" w:rsidP="00557A6F">
      <w:r>
        <w:t>I 2018 arbeidet Statsbygg med 146 oppdrag innen utredning, analyse, utviklingsplaner og rådgi</w:t>
      </w:r>
      <w:r>
        <w:t>v</w:t>
      </w:r>
      <w:r>
        <w:t>ning ved leie i markedet. Av disse ble 55 ferdigstilt i 2018.</w:t>
      </w:r>
    </w:p>
    <w:p w:rsidR="00557A6F" w:rsidRDefault="00557A6F" w:rsidP="00557A6F">
      <w:r>
        <w:t>I 2018 fikk Statsbygg 21 nye oppdrag om rådgivning for leie i markedet, og det ble inngått 13 nye leieavtaler. Disse ga en kostnadsbesparelse på 291 mill. kroner i nåverdi beregnet for ti år, tilsv</w:t>
      </w:r>
      <w:r>
        <w:t>a</w:t>
      </w:r>
      <w:r>
        <w:t xml:space="preserve">rende en </w:t>
      </w:r>
      <w:r>
        <w:lastRenderedPageBreak/>
        <w:t>kostnadsreduksjon på 28 pst. og en arealeffektivisering på 38 pst., sammenliknet med ti</w:t>
      </w:r>
      <w:r>
        <w:t>d</w:t>
      </w:r>
      <w:r>
        <w:t>ligere leieavtaler. Gjennomsnittlig brutt</w:t>
      </w:r>
      <w:r>
        <w:t>o</w:t>
      </w:r>
      <w:r>
        <w:t xml:space="preserve">areal per ansatt i disse oppdragene er 20,3 kvm. </w:t>
      </w:r>
    </w:p>
    <w:p w:rsidR="00557A6F" w:rsidRDefault="00557A6F" w:rsidP="00557A6F">
      <w:r>
        <w:t>Statsbygg leverte i 2018 konseptvalgutredninger blant annet for Det kongelige hoff og Nord un</w:t>
      </w:r>
      <w:r>
        <w:t>i</w:t>
      </w:r>
      <w:r>
        <w:t>versitet, eier</w:t>
      </w:r>
      <w:r>
        <w:t>s</w:t>
      </w:r>
      <w:r>
        <w:t>kapsutredninger for Ocean Space Centre og Meteorologisk institutt, arealutredninger for blant annet Folkehelseinstituttet og Oslo tinghus og lokaliseringsutredninger for Havfors</w:t>
      </w:r>
      <w:r>
        <w:t>k</w:t>
      </w:r>
      <w:r>
        <w:t>ningsinstituttet/Fiskeridirektoratet og Biote</w:t>
      </w:r>
      <w:r>
        <w:t>k</w:t>
      </w:r>
      <w:r>
        <w:t>nologirådet. Statsbygg har også bidratt i arbeidet med konseptvalgu</w:t>
      </w:r>
      <w:r>
        <w:t>t</w:t>
      </w:r>
      <w:r>
        <w:t xml:space="preserve">redninger for Oslo fengsel og Oslo politihus. </w:t>
      </w:r>
    </w:p>
    <w:p w:rsidR="00557A6F" w:rsidRDefault="00557A6F" w:rsidP="00557A6F">
      <w:r>
        <w:t>I 2018 igangsatte Statsbygg et program for arealutvikling. Programmet har etablert en kunnskaps- og formi</w:t>
      </w:r>
      <w:r>
        <w:t>d</w:t>
      </w:r>
      <w:r>
        <w:t>lingsplattform for modernisering av lokaler og optimalisering av arealbruk i statlig sivil sektor. A</w:t>
      </w:r>
      <w:r>
        <w:t>r</w:t>
      </w:r>
      <w:r>
        <w:t>beidet har gitt økt kunnskap om nye arbeidsformer og arbeidsplasskonsepter samt nye verktøy og metoder for arbeid med area</w:t>
      </w:r>
      <w:r>
        <w:t>l</w:t>
      </w:r>
      <w:r>
        <w:t>strategier for statlige virksomheter og arealeffektivisering i prosjekter. I 2019 videreføres programmet med FoU-prosjekter, der utvikling og gjennomføring av pilotprosjekter og eval</w:t>
      </w:r>
      <w:r>
        <w:t>u</w:t>
      </w:r>
      <w:r>
        <w:t>ering av løsninger inngår.</w:t>
      </w:r>
    </w:p>
    <w:p w:rsidR="00557A6F" w:rsidRDefault="00557A6F" w:rsidP="00557A6F">
      <w:r>
        <w:t xml:space="preserve">Statsbyggs arbeid med campusutviklingsplaner videreutvikles i tråd med Meld. St. 4 (2018–2019) </w:t>
      </w:r>
      <w:r>
        <w:rPr>
          <w:rStyle w:val="kursiv"/>
          <w:sz w:val="21"/>
          <w:szCs w:val="21"/>
        </w:rPr>
        <w:t>Langtidsplan for forskning og høyere utdanning 2019–2028</w:t>
      </w:r>
      <w:r>
        <w:t>. Planene skal bidra til en helhetlig campusu</w:t>
      </w:r>
      <w:r>
        <w:t>t</w:t>
      </w:r>
      <w:r>
        <w:t>vikling som støtter utdanningsinstitusjonenes strategiske utvikling, utnytter eksisterende arealer og sty</w:t>
      </w:r>
      <w:r>
        <w:t>r</w:t>
      </w:r>
      <w:r>
        <w:t>ker lokal stedsutvikling. I 2018 ble det igangsatt tre nye campusutviklingsplaner, i tillegg til tre revisjoner av eldre planer. Tilsvarende u</w:t>
      </w:r>
      <w:r>
        <w:t>t</w:t>
      </w:r>
      <w:r>
        <w:t>viklingsplaner planlegges utført for flere eiendommer i Statsbyggs port</w:t>
      </w:r>
      <w:r>
        <w:t>e</w:t>
      </w:r>
      <w:r>
        <w:t>følje.</w:t>
      </w:r>
    </w:p>
    <w:p w:rsidR="00557A6F" w:rsidRDefault="00557A6F" w:rsidP="00557A6F">
      <w:r>
        <w:t xml:space="preserve">I tråd med statlige planretningslinjer og Meld. St. 18 (2016–2017) </w:t>
      </w:r>
      <w:r>
        <w:rPr>
          <w:rStyle w:val="kursiv"/>
          <w:spacing w:val="-2"/>
          <w:sz w:val="21"/>
          <w:szCs w:val="21"/>
        </w:rPr>
        <w:t>Berekraftige byar og sterke distrikt</w:t>
      </w:r>
      <w:r>
        <w:t xml:space="preserve"> skal lokalisering av statlige publikumsrettede virksomheter og større statlige arbeidsplasser me</w:t>
      </w:r>
      <w:r>
        <w:t>d</w:t>
      </w:r>
      <w:r>
        <w:t>virke til red</w:t>
      </w:r>
      <w:r>
        <w:t>u</w:t>
      </w:r>
      <w:r>
        <w:t>sert biltransport, økt kollektivandel og et styrket bymiljø. Statsbygg gir departementer og statlige virkso</w:t>
      </w:r>
      <w:r>
        <w:t>m</w:t>
      </w:r>
      <w:r>
        <w:t>heter råd om egnet lokalisering både ved nybygg og ved leie i markedet.</w:t>
      </w:r>
    </w:p>
    <w:p w:rsidR="00557A6F" w:rsidRDefault="00557A6F" w:rsidP="00557A6F">
      <w:r>
        <w:t>Statens byggeprosjekter gjennomføres ved utlysing av konkurranser i markedet. Det gjelder både prosjektering og bygging. Grundige beslutningsgrunnlag er viktige for å oppnå anskaffelser av god kval</w:t>
      </w:r>
      <w:r>
        <w:t>i</w:t>
      </w:r>
      <w:r>
        <w:t>tet, og for at staten skal ha effektive og bærekraftige lokaler. Anskaffelsene skal også bidra til innovasjon og utvikling av næringen.</w:t>
      </w:r>
    </w:p>
    <w:p w:rsidR="00557A6F" w:rsidRDefault="00557A6F" w:rsidP="00557A6F">
      <w:r>
        <w:t>Regjeringen har styrket arbeidet med kostnadsstyring i prosjektenes tidligfase, jf. omtale i Prop. 1 S (2017–2018) for Kommunal- og moderniseringsdepartementet. Statsbygg har benyttet metodikk for kostnadsstyrt prosjektutvikling for blant annet nytt regjeringskvartal og Nationaltheatret. Så langt er erfaringene at arbeidet bidrar til at endringsforslag og kostnadskonsekvenser vurderes mer sy</w:t>
      </w:r>
      <w:r>
        <w:t>s</w:t>
      </w:r>
      <w:r>
        <w:t>tematisk tidlig i prosjektutviklingen. Dette gir en stø</w:t>
      </w:r>
      <w:r>
        <w:t>r</w:t>
      </w:r>
      <w:r>
        <w:t>re bevissthet i oppdragsdepartementet om beslutninger som må tas i forprosjektfasen, før forslag til kostnadsramme og startbevilgning fre</w:t>
      </w:r>
      <w:r>
        <w:t>m</w:t>
      </w:r>
      <w:r>
        <w:t>mes for Stortinget.</w:t>
      </w:r>
    </w:p>
    <w:p w:rsidR="00557A6F" w:rsidRDefault="00557A6F" w:rsidP="00557A6F">
      <w:r>
        <w:t>Statsbyggs miljøstrategi ble revidert i 2018. Den reviderte miljøstrategien for 2019–2020 skal sammen med Statsbyggs miljøstyringssystem levere bærekraftige byggeprosjekter. Miljøstrategien har tre satsingsområder: klima, sirkulærøkonomi og lokalmiljø. Det er opprettet et utviklingspr</w:t>
      </w:r>
      <w:r>
        <w:t>o</w:t>
      </w:r>
      <w:r>
        <w:t>sjekt for å kunne gjøre gode kos</w:t>
      </w:r>
      <w:r>
        <w:t>t</w:t>
      </w:r>
      <w:r>
        <w:t>nad-nytte-vurderinger av miljøtiltakene i et livsløpsperspektiv. For porteføljen av bygg</w:t>
      </w:r>
      <w:r>
        <w:t>e</w:t>
      </w:r>
      <w:r>
        <w:t>prosjekter har Statsbygg som mål å redusere klimagassutslippene med 40 pst., målt mot minstekrav i byggteknisk forskrift og standard materialvalg i norsk byggenæring.</w:t>
      </w:r>
    </w:p>
    <w:p w:rsidR="00557A6F" w:rsidRDefault="00557A6F" w:rsidP="00557A6F">
      <w:r>
        <w:t>I løpet av 2017 og 2018 er passivhus blitt normalen, både for byggene Statsbygg prosjekterer, og for byggene som ferdigstilles. Tilsvarende er andelen nybyggprosjekter med energimerke A i ene</w:t>
      </w:r>
      <w:r>
        <w:t>r</w:t>
      </w:r>
      <w:r>
        <w:t>gimerkeordningen øke</w:t>
      </w:r>
      <w:r>
        <w:t>n</w:t>
      </w:r>
      <w:r>
        <w:t>de og ligger på ca. 2/3 de siste årene. Klimagassutslippene for ferdigstilte bygg i 2018 ble redusert med 29 pst. målt mot forskriftskravene i TEK10. Ett av Statsbyggs pr</w:t>
      </w:r>
      <w:r>
        <w:t>o</w:t>
      </w:r>
      <w:r>
        <w:t>sjekter ble nominert til en pris under verdens arkitekturfestival for beste bruk av sertifiserte trev</w:t>
      </w:r>
      <w:r>
        <w:t>a</w:t>
      </w:r>
      <w:r>
        <w:t>rer. Det jobbes systematisk med å øke avfallssortering på byggeplass, og i 2018 var gjennomsnittet 83 pst., mot fo</w:t>
      </w:r>
      <w:r>
        <w:t>r</w:t>
      </w:r>
      <w:r>
        <w:t>skriftskravet på 60 pst.</w:t>
      </w:r>
    </w:p>
    <w:p w:rsidR="00557A6F" w:rsidRDefault="00557A6F" w:rsidP="00557A6F">
      <w:r>
        <w:t>De siste årene har statlige byggeprosjekter blitt fullført godt innenfor Stortingets godkjente kos</w:t>
      </w:r>
      <w:r>
        <w:t>t</w:t>
      </w:r>
      <w:r>
        <w:t>nadsrammer. Statsbygg har de siste fem årene ferdigstilt byggeprosjekter til en sluttkostnad tilsv</w:t>
      </w:r>
      <w:r>
        <w:t>a</w:t>
      </w:r>
      <w:r>
        <w:t>rende 97 pst. av styring</w:t>
      </w:r>
      <w:r>
        <w:t>s</w:t>
      </w:r>
      <w:r>
        <w:t>rammen for porteføljen som helhet. I 2018 pågikk det 41 byggeprosjekter i tidligfase og 45 prosjekter i gjenno</w:t>
      </w:r>
      <w:r>
        <w:t>m</w:t>
      </w:r>
      <w:r>
        <w:t>føringsfase. Tolv av disse ble ferdigstilt, samtlige til avtalt tid. De største ferdigstilte prosjektene var medisin- og helsefagbygg ved Universitet i Tromsø, Fra</w:t>
      </w:r>
      <w:r>
        <w:t>m</w:t>
      </w:r>
      <w:r>
        <w:t>senteret og midtbygg/nordfløy ved Universitetsmuseet i Bergen. Av prosjektene i gjennomføring</w:t>
      </w:r>
      <w:r>
        <w:t>s</w:t>
      </w:r>
      <w:r>
        <w:t xml:space="preserve">fase var </w:t>
      </w:r>
      <w:proofErr w:type="gramStart"/>
      <w:r>
        <w:t>de</w:t>
      </w:r>
      <w:proofErr w:type="gramEnd"/>
      <w:r>
        <w:t xml:space="preserve"> største nytt </w:t>
      </w:r>
      <w:proofErr w:type="gramStart"/>
      <w:r>
        <w:t>nasjonalmu</w:t>
      </w:r>
      <w:r>
        <w:lastRenderedPageBreak/>
        <w:t>seum</w:t>
      </w:r>
      <w:proofErr w:type="gramEnd"/>
      <w:r>
        <w:t xml:space="preserve"> på Vestbanen, nybygg for NMBU og Vet</w:t>
      </w:r>
      <w:r>
        <w:t>e</w:t>
      </w:r>
      <w:r>
        <w:t>rinærinstituttet, magasin for Nasjonalbiblioteket i Rana og Agder fengsel.</w:t>
      </w:r>
    </w:p>
    <w:p w:rsidR="00557A6F" w:rsidRDefault="00557A6F" w:rsidP="00557A6F">
      <w:r>
        <w:t>Gjennom målrettet arbeid med sikkerhet, helse og arbeidsmiljø (SHA) og seriøsitet har Statsbygg bidratt til en try</w:t>
      </w:r>
      <w:r>
        <w:t>g</w:t>
      </w:r>
      <w:r>
        <w:t>gere og mer seriøs bygge-, anleggs- og eiendomsnæring. Skadefrekvensen i 2018 viser 8,2 fraværsskader per mi</w:t>
      </w:r>
      <w:r>
        <w:t>l</w:t>
      </w:r>
      <w:r>
        <w:t>lion arbeidede timer. For å sikre effektiv og målrettet oppfølging av seriøsitet i hele leverandørkjeden benytter Statsbygg et system for føring av elektroniske oversikt</w:t>
      </w:r>
      <w:r>
        <w:t>s</w:t>
      </w:r>
      <w:r>
        <w:t>lister over tilstedeværelse på byggeplass (HMSREG). Systemet tilrettelegger for effektiv og må</w:t>
      </w:r>
      <w:r>
        <w:t>l</w:t>
      </w:r>
      <w:r>
        <w:t>rettet oppfølging av seriøsitet i hele leverandørkjeden. I tillegg har Statsbygg innført leverandø</w:t>
      </w:r>
      <w:r>
        <w:t>r</w:t>
      </w:r>
      <w:r>
        <w:t>evaluering som benyttes i nye anskaffelser, med tilbakemelding til leverandører slik at næringen utvikler seg i riktig retning innenfor disse områdene. Stat</w:t>
      </w:r>
      <w:r>
        <w:t>s</w:t>
      </w:r>
      <w:r>
        <w:t>bygg fortsetter samarbeidsavtalen med Skatteetaten, som ble inngått i 2017. I 2018 har avtalen blant annet bidratt til utestengelse av tolv firmaer fra Statsbyggs byggeplasser og til innbetaling av 28 mill. kroner i skatterestanser.</w:t>
      </w:r>
    </w:p>
    <w:p w:rsidR="00557A6F" w:rsidRDefault="00557A6F" w:rsidP="00557A6F">
      <w:r>
        <w:t>Statsbygg jobber aktivt for økt digitalisering i bygge- og eiendomsnæringen. Dette skjer i sama</w:t>
      </w:r>
      <w:r>
        <w:t>r</w:t>
      </w:r>
      <w:r>
        <w:t>beid med næringen og ulike kunnskapsmiljøer. Ved å stille krav til konsulenter, prosjekterende og entreprenørene i statens anbudskonkurranser er Statsbygg en pådriver for digitalisering og innov</w:t>
      </w:r>
      <w:r>
        <w:t>a</w:t>
      </w:r>
      <w:r>
        <w:t>sjon i bygge- og eiendomsnæringen. Statsbygg tar selv i bruk nye digitale løsninger for å bidra til rasjonell drift, god area</w:t>
      </w:r>
      <w:r>
        <w:t>l</w:t>
      </w:r>
      <w:r>
        <w:t>utnyttelse og energisparing. Digitaliseringen gir også muligheter for bedre informasjon til brukere og andre berørte, samtidig som det gir mer effektive interne arbeidsprose</w:t>
      </w:r>
      <w:r>
        <w:t>s</w:t>
      </w:r>
      <w:r>
        <w:t>ser.</w:t>
      </w:r>
    </w:p>
    <w:p w:rsidR="00557A6F" w:rsidRDefault="00557A6F" w:rsidP="00557A6F">
      <w:r>
        <w:t xml:space="preserve">Statsbygg har gjennom prosjektet </w:t>
      </w:r>
      <w:r>
        <w:rPr>
          <w:rStyle w:val="kursiv"/>
          <w:sz w:val="21"/>
          <w:szCs w:val="21"/>
        </w:rPr>
        <w:t>Digibygg</w:t>
      </w:r>
      <w:r>
        <w:t xml:space="preserve"> igangsatt flere pilotprosjekter for å effektivisere pr</w:t>
      </w:r>
      <w:r>
        <w:t>o</w:t>
      </w:r>
      <w:r>
        <w:t>sjektgjennomføring og eiendomsdrift ved bruk av digitale verktøy. Ett av tiltakene er krav om p</w:t>
      </w:r>
      <w:r>
        <w:t>a</w:t>
      </w:r>
      <w:r>
        <w:t>pirløs byggeplass i alle prosje</w:t>
      </w:r>
      <w:r>
        <w:t>k</w:t>
      </w:r>
      <w:r>
        <w:t>ter. Effektene av digitale verktøy i byggefase er blant annet økt grad av digital sa</w:t>
      </w:r>
      <w:r>
        <w:t>m</w:t>
      </w:r>
      <w:r>
        <w:t>handling, mer effektiv tidsbruk på byggeplass, bedre forståelse av byggeprosjektet for alle aktører og høy rapporteringsvillighet på sikkerhet, helse og arbeidsmiljø. Digitalisering er også viktig for å muliggjøre gjenbruk, resirkulering og redusert bruk av blant annet byggemateri</w:t>
      </w:r>
      <w:r>
        <w:t>a</w:t>
      </w:r>
      <w:r>
        <w:t>ler og energi, såkalt sirkulær øk</w:t>
      </w:r>
      <w:r>
        <w:t>o</w:t>
      </w:r>
      <w:r>
        <w:t xml:space="preserve">nomi. Statsbygg samarbeider blant annet med Circular Norway og Building Smart Norge om dette. I 2018 etablerte Statsbygg en eiendomslab for å teste ut hvordan eiendommer kan driftes mer effektivt. I 2018 ble også prosjektet </w:t>
      </w:r>
      <w:r>
        <w:rPr>
          <w:rStyle w:val="kursiv"/>
          <w:sz w:val="21"/>
          <w:szCs w:val="21"/>
        </w:rPr>
        <w:t xml:space="preserve">Digital tvilling </w:t>
      </w:r>
      <w:r>
        <w:t>igangsatt. Prosjektet skal gi gevinster i form av forbedring og effektiv</w:t>
      </w:r>
      <w:r>
        <w:t>i</w:t>
      </w:r>
      <w:r>
        <w:t>sering både i byggeprosjekter og eiendomsdrift. Blant annet vil digitale modeller av byggene legge til rette for langt bedre analyser av forvaltning, drift og vedlikehold, energiflyt, tilstand og vedlikeholdsbehov. Det er grunn til å anta at bruksm</w:t>
      </w:r>
      <w:r>
        <w:t>u</w:t>
      </w:r>
      <w:r>
        <w:t>lighetene som kommer ut av prosjektet vil øke ytterligere i årene framover.</w:t>
      </w:r>
    </w:p>
    <w:p w:rsidR="00557A6F" w:rsidRDefault="00557A6F" w:rsidP="00557A6F">
      <w:pPr>
        <w:pStyle w:val="avsnitt-tittel"/>
      </w:pPr>
      <w:r>
        <w:t>Mål 2 Statlig eiendomsforvaltning er verdibevarende, bærekraftig og effektiv</w:t>
      </w:r>
    </w:p>
    <w:p w:rsidR="00557A6F" w:rsidRDefault="00557A6F" w:rsidP="00557A6F">
      <w:pPr>
        <w:pStyle w:val="avsnitt-undertittel"/>
      </w:pPr>
      <w:r>
        <w:t>Rapport, strategier og tiltak</w:t>
      </w:r>
    </w:p>
    <w:p w:rsidR="00557A6F" w:rsidRDefault="00557A6F" w:rsidP="00557A6F">
      <w:r>
        <w:t>Statsbyggs eiendomsforvaltning omfatter forvaltning, drift, verdibevarende vedlikehold og utvi</w:t>
      </w:r>
      <w:r>
        <w:t>k</w:t>
      </w:r>
      <w:r>
        <w:t>ling av bygg og eiendommer som inngår i den statlige husleieordningen. Statsbygg forvalter også eiendommer til kongelige formål under kap. 531 Eiendommer til kongelige formål og kulturhist</w:t>
      </w:r>
      <w:r>
        <w:t>o</w:t>
      </w:r>
      <w:r>
        <w:t>riske eiendommer u</w:t>
      </w:r>
      <w:r>
        <w:t>n</w:t>
      </w:r>
      <w:r>
        <w:t>der kap. 533 Eiendommer utenfor husleieordningen.</w:t>
      </w:r>
    </w:p>
    <w:p w:rsidR="00557A6F" w:rsidRDefault="00557A6F" w:rsidP="00557A6F">
      <w:r>
        <w:t>Statsbygg har i 2018 utført vedlikehold for 823,8 mill. kroner og investeringstiltak for 203,5 mill. kr</w:t>
      </w:r>
      <w:r>
        <w:t>o</w:t>
      </w:r>
      <w:r>
        <w:t>ner innenfor statens husleieordning. Samlet sett er dette en økning på om lag 20 pst. fra 2017. Målet med tiltakene er å opprettholde statens verdier og sørge for at lokalene tilfredsstiller bruke</w:t>
      </w:r>
      <w:r>
        <w:t>r</w:t>
      </w:r>
      <w:r>
        <w:t>nes endrede b</w:t>
      </w:r>
      <w:r>
        <w:t>e</w:t>
      </w:r>
      <w:r>
        <w:t>hov. Statsbyggs vurdering er at bygningsmassens gjennomsnittlige tilstandsgrad på 1 er opprettholdt i 2018. Vedlikeholdet utgjorde 570 kroner per kvm for fengsler og 327 kroner per kvm for øvrige eie</w:t>
      </w:r>
      <w:r>
        <w:t>n</w:t>
      </w:r>
      <w:r>
        <w:t>dommer i husleieordningen.</w:t>
      </w:r>
    </w:p>
    <w:p w:rsidR="00557A6F" w:rsidRDefault="00557A6F" w:rsidP="00557A6F">
      <w:r>
        <w:t>Det er utført større vedlikeholdsprosjekter ved blant annet Justisbygget i Kristiansand, politihuset i Oslo, Samisk videregående skole i Karasjok, Havforskningsinstituttet på Matre, Ullersmo fengsel og Oslo fengsel.</w:t>
      </w:r>
    </w:p>
    <w:p w:rsidR="00557A6F" w:rsidRDefault="00557A6F" w:rsidP="00557A6F">
      <w:r>
        <w:t>Det ble i 2017 og 2018 avsatt tilsammen 90 mill. kroner til vedlikehold på Folkehelseinstituttet i Oslo. Det gje</w:t>
      </w:r>
      <w:r>
        <w:t>n</w:t>
      </w:r>
      <w:r>
        <w:t>står tiltak for 29 mill. kroner som ferdigstilles i løpet av 2019. Tiltakene innebærer nødvendig vedlikehold av tekniske anlegg og bygningsmasse. Tiltakene som gjennomføres ses i sammenheng med Folkehelseinstituttets arealplan og fremtidig effektiv bruk av lokalene.</w:t>
      </w:r>
    </w:p>
    <w:p w:rsidR="00557A6F" w:rsidRDefault="00557A6F" w:rsidP="00557A6F">
      <w:r>
        <w:lastRenderedPageBreak/>
        <w:t>Fengselseiendommene, som ble overført til Statsbygg i 2009, har fortsatt et stort vedlikeholdsette</w:t>
      </w:r>
      <w:r>
        <w:t>r</w:t>
      </w:r>
      <w:r>
        <w:t>slep. I perioden 2009–2018 har Statsbygg gjennomført vedlikeholdstiltak for ca. 1 731 mill. kroner i fengslene. Det økte vedlik</w:t>
      </w:r>
      <w:r>
        <w:t>e</w:t>
      </w:r>
      <w:r>
        <w:t>holdet har redusert risikoen for uønsket stenging av soningsplasser, og det pågående arbeidet med utskifting av gammel og utrangert bygningsmasse bidrar til bedre si</w:t>
      </w:r>
      <w:r>
        <w:t>k</w:t>
      </w:r>
      <w:r>
        <w:t>kerhets- og soningsforhold og mer effektiv drift. Nedlegging av fengselsenheter med stort vedlik</w:t>
      </w:r>
      <w:r>
        <w:t>e</w:t>
      </w:r>
      <w:r>
        <w:t>holdsetterslep og bygging av nye fengsler bidrar til å redusere vedlik</w:t>
      </w:r>
      <w:r>
        <w:t>e</w:t>
      </w:r>
      <w:r>
        <w:t>holdsetterslepet. Arbeidet med to nye avdelinger ved Agder fengsel i Froland og Mandal ble igangsatt i 2017 og vil ved fe</w:t>
      </w:r>
      <w:r>
        <w:t>r</w:t>
      </w:r>
      <w:r>
        <w:t>digstillelse i 2020 gi 300 nye fen</w:t>
      </w:r>
      <w:r>
        <w:t>g</w:t>
      </w:r>
      <w:r>
        <w:t>selsplasser.</w:t>
      </w:r>
    </w:p>
    <w:p w:rsidR="00557A6F" w:rsidRDefault="00557A6F" w:rsidP="00557A6F">
      <w:r>
        <w:t>Statsbygg forvalter ca. 140 vernede eiendommer klassifisert som kulturhistoriske eiendommer. Den største andelen av disse ligger innenfor husleieordningen på kap. 2445 Statsbygg. De resterende eiendommene, som er uten leieinntekter, finansieres over kap. 533 Eiendommer utenfor huslei</w:t>
      </w:r>
      <w:r>
        <w:t>e</w:t>
      </w:r>
      <w:r>
        <w:t>ordningen. På disse eiendommene utføres det forvaltning, drift og vedlikehold i tråd med kultu</w:t>
      </w:r>
      <w:r>
        <w:t>r</w:t>
      </w:r>
      <w:r>
        <w:t>minnefaglige foru</w:t>
      </w:r>
      <w:r>
        <w:t>t</w:t>
      </w:r>
      <w:r>
        <w:t>setninger og anbefalinger. Fra 2008 til og med 2018 er det ferdigstilt totalt 119 forvaltningsplaner for kulturhistoriske eiendommer. I 2018 ble forvaltningsansvaret for statens e</w:t>
      </w:r>
      <w:r>
        <w:t>i</w:t>
      </w:r>
      <w:r>
        <w:t>endommer etter Røros Kobberverk overført fra Klima- og miljødepartementet til Statsbygg. Ko</w:t>
      </w:r>
      <w:r>
        <w:t>b</w:t>
      </w:r>
      <w:r>
        <w:t>berverket består av totalt 49 bygninger på til sammen ca. 7 700 kvm. Eiendommene er fredet etter kulturminneloven og inngår i området som er innskrevet på UNESCOs verdensarvliste. Forval</w:t>
      </w:r>
      <w:r>
        <w:t>t</w:t>
      </w:r>
      <w:r>
        <w:t>ningsplanen for eiendommene etter Røros Kobberverk ferdigstilles i 2019. I 2018 startet arbeid med å utvikle forvaltningsplaner for utvalgte norske ambassader og for eiendommene på Svalbard.</w:t>
      </w:r>
    </w:p>
    <w:p w:rsidR="00557A6F" w:rsidRDefault="00557A6F" w:rsidP="00557A6F">
      <w:r>
        <w:t>I 2018 er det ferdigstilt tiltak for universell utforming ved 60 bygg med et samlet areal på 200 000 kvm. I henhold til planen gjenstår tiltak på i underkant av 290 bygg med et samlet areal på 550 000 kvm som skal være universelt utformet innen 2025.</w:t>
      </w:r>
    </w:p>
    <w:p w:rsidR="00557A6F" w:rsidRDefault="00557A6F" w:rsidP="00557A6F">
      <w:r>
        <w:t>Departementets krav til driftskostnader per kvm ble innfridd i 2018, både for fengselsporteføljen og de øvrige eiendommene.</w:t>
      </w:r>
    </w:p>
    <w:p w:rsidR="00557A6F" w:rsidRDefault="00557A6F" w:rsidP="00557A6F">
      <w:r>
        <w:t>Statsbygg har i 2018 anskaffet og tatt i bruk et nytt system for eiendoms- og kontraktsforvaltning. Sy</w:t>
      </w:r>
      <w:r>
        <w:t>s</w:t>
      </w:r>
      <w:r>
        <w:t>temet har effektivisert arbeidsprosessene, gitt bedre grunnlagsdata og styrket internkontrollen. Effektiviseringen av a</w:t>
      </w:r>
      <w:r>
        <w:t>r</w:t>
      </w:r>
      <w:r>
        <w:t>beidsprosesser har bidratt til å øke forvaltningsareal per driftsårsverk fra 8 463 kvm i 2017 til 8 673 kvm i 2018 for ordinær portefølje og fra 6 832 kvm i 2017 til 7 494 kvm i 2018 for fengselsport</w:t>
      </w:r>
      <w:r>
        <w:t>e</w:t>
      </w:r>
      <w:r>
        <w:t>føljen.</w:t>
      </w:r>
    </w:p>
    <w:p w:rsidR="00557A6F" w:rsidRDefault="00557A6F" w:rsidP="00557A6F">
      <w:r>
        <w:t>Departementets krav til energibruk ble innfridd i 2018, både for fengselsporteføljen og de øvrige eiendommene. Energiforbruket for eiendommene var i 2018 på 203 kWh/kvm for ordinær port</w:t>
      </w:r>
      <w:r>
        <w:t>e</w:t>
      </w:r>
      <w:r>
        <w:t>følje og 257 kWh/kvm for fengselsporteføljen. Statsbygg har redusert energibruken og sørget for mer lokal fornybar energiproduksjon. Dette er oppnådd gjennom betydelig satsing på ENØK, god energiledelse og systematisk oppfølging i eie</w:t>
      </w:r>
      <w:r>
        <w:t>n</w:t>
      </w:r>
      <w:r>
        <w:t>domsforvaltningen. I 2018 brukte Statsbygg om lag 35 mill. kroner på særskilte ENØK-tiltak i eksisterende bygningsmasse. Disse investeringene vil gi staten årlige energibesparelser i størrelsesorden 10 mill. kWh i flere tiår fremover. Videre installe</w:t>
      </w:r>
      <w:r>
        <w:t>r</w:t>
      </w:r>
      <w:r>
        <w:t>te Statsbygg autom</w:t>
      </w:r>
      <w:r>
        <w:t>a</w:t>
      </w:r>
      <w:r>
        <w:t>tiske måleravlesere på om lag 100 eiendommer. Dette gir et bedre grunnlag for energianalyser og gjør det enklere å prioritere energieffektiviseringstiltak.</w:t>
      </w:r>
    </w:p>
    <w:p w:rsidR="00557A6F" w:rsidRDefault="00557A6F" w:rsidP="00557A6F">
      <w:r>
        <w:t>Det gjennomføres også vedlikeholds- og rehabiliteringstiltak som får stor effekt på energiforbruket i porteføljen, blant annet rehabilitering av forlegninger på Ullersmo fengsel, med etterisolering av bygg og etablering av nye energiløsninger. I tillegg etableres det solfangere for produksjon av varmtvann på flere av eiendommene.</w:t>
      </w:r>
    </w:p>
    <w:p w:rsidR="00557A6F" w:rsidRDefault="00557A6F" w:rsidP="00557A6F">
      <w:r>
        <w:t>I 2018 hadde Statsbygg 13 lærlinger fordelt på IKT-servicefaget og byggdrifterfaget, og ble tildelt pr</w:t>
      </w:r>
      <w:r>
        <w:t>i</w:t>
      </w:r>
      <w:r>
        <w:t>sen «Beste statlige lærebedrift 2018».</w:t>
      </w:r>
    </w:p>
    <w:p w:rsidR="00557A6F" w:rsidRDefault="00557A6F" w:rsidP="00557A6F">
      <w:pPr>
        <w:pStyle w:val="b-budkaptit"/>
      </w:pPr>
      <w:r>
        <w:t>Kap. 530 Byggeprosjekter utenfor husleieordningen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7A6F" w:rsidTr="00557A6F">
        <w:trPr>
          <w:trHeight w:val="640"/>
        </w:trPr>
        <w:tc>
          <w:tcPr>
            <w:tcW w:w="1140" w:type="dxa"/>
            <w:shd w:val="clear" w:color="auto" w:fill="FFFFFF"/>
          </w:tcPr>
          <w:p w:rsidR="00557A6F" w:rsidRDefault="00557A6F" w:rsidP="00557A6F">
            <w:pPr>
              <w:pStyle w:val="Tabellnavn"/>
            </w:pPr>
            <w:r>
              <w:t>KPAL</w:t>
            </w:r>
          </w:p>
        </w:tc>
        <w:tc>
          <w:tcPr>
            <w:tcW w:w="4560" w:type="dxa"/>
          </w:tcPr>
          <w:p w:rsidR="00557A6F" w:rsidRDefault="00557A6F" w:rsidP="00557A6F"/>
        </w:tc>
        <w:tc>
          <w:tcPr>
            <w:tcW w:w="1140" w:type="dxa"/>
          </w:tcPr>
          <w:p w:rsidR="00557A6F" w:rsidRDefault="00557A6F" w:rsidP="00557A6F">
            <w:pPr>
              <w:pStyle w:val="Tabellnavn"/>
              <w:jc w:val="right"/>
            </w:pPr>
          </w:p>
        </w:tc>
        <w:tc>
          <w:tcPr>
            <w:tcW w:w="1140" w:type="dxa"/>
          </w:tcPr>
          <w:p w:rsidR="00557A6F" w:rsidRDefault="00557A6F" w:rsidP="00557A6F">
            <w:pPr>
              <w:pStyle w:val="Tabellnavn"/>
              <w:jc w:val="right"/>
            </w:pPr>
          </w:p>
        </w:tc>
        <w:tc>
          <w:tcPr>
            <w:tcW w:w="1140" w:type="dxa"/>
          </w:tcPr>
          <w:p w:rsidR="00557A6F" w:rsidRDefault="00557A6F" w:rsidP="00557A6F">
            <w:pPr>
              <w:jc w:val="right"/>
            </w:pPr>
            <w:r>
              <w:t>(i 1 000 kr)</w:t>
            </w:r>
          </w:p>
        </w:tc>
      </w:tr>
      <w:tr w:rsidR="00557A6F" w:rsidTr="00557A6F">
        <w:trPr>
          <w:trHeight w:val="600"/>
        </w:trPr>
        <w:tc>
          <w:tcPr>
            <w:tcW w:w="1140" w:type="dxa"/>
          </w:tcPr>
          <w:p w:rsidR="00557A6F" w:rsidRDefault="00557A6F" w:rsidP="00557A6F">
            <w:r>
              <w:t>Post</w:t>
            </w:r>
          </w:p>
        </w:tc>
        <w:tc>
          <w:tcPr>
            <w:tcW w:w="4560" w:type="dxa"/>
          </w:tcPr>
          <w:p w:rsidR="00557A6F" w:rsidRDefault="00557A6F" w:rsidP="00557A6F">
            <w:r>
              <w:t>Betegnelse</w:t>
            </w:r>
          </w:p>
        </w:tc>
        <w:tc>
          <w:tcPr>
            <w:tcW w:w="1140" w:type="dxa"/>
          </w:tcPr>
          <w:p w:rsidR="00557A6F" w:rsidRDefault="00557A6F" w:rsidP="00557A6F">
            <w:pPr>
              <w:jc w:val="right"/>
            </w:pPr>
            <w:r>
              <w:t>Regnskap 2018</w:t>
            </w:r>
          </w:p>
        </w:tc>
        <w:tc>
          <w:tcPr>
            <w:tcW w:w="1140" w:type="dxa"/>
          </w:tcPr>
          <w:p w:rsidR="00557A6F" w:rsidRDefault="00557A6F" w:rsidP="00557A6F">
            <w:pPr>
              <w:jc w:val="right"/>
            </w:pPr>
            <w:r>
              <w:t xml:space="preserve">Saldert </w:t>
            </w:r>
            <w:r>
              <w:br/>
              <w:t>budsjett 2019</w:t>
            </w:r>
          </w:p>
        </w:tc>
        <w:tc>
          <w:tcPr>
            <w:tcW w:w="1140" w:type="dxa"/>
          </w:tcPr>
          <w:p w:rsidR="00557A6F" w:rsidRDefault="00557A6F" w:rsidP="00557A6F">
            <w:pPr>
              <w:jc w:val="right"/>
            </w:pPr>
            <w:r>
              <w:t xml:space="preserve">Forslag </w:t>
            </w:r>
            <w:r>
              <w:br/>
              <w:t>2020</w:t>
            </w:r>
          </w:p>
        </w:tc>
      </w:tr>
      <w:tr w:rsidR="00557A6F" w:rsidTr="00557A6F">
        <w:trPr>
          <w:trHeight w:val="380"/>
        </w:trPr>
        <w:tc>
          <w:tcPr>
            <w:tcW w:w="1140" w:type="dxa"/>
          </w:tcPr>
          <w:p w:rsidR="00557A6F" w:rsidRDefault="00557A6F" w:rsidP="00557A6F">
            <w:r>
              <w:lastRenderedPageBreak/>
              <w:t>30</w:t>
            </w:r>
          </w:p>
        </w:tc>
        <w:tc>
          <w:tcPr>
            <w:tcW w:w="4560" w:type="dxa"/>
          </w:tcPr>
          <w:p w:rsidR="00557A6F" w:rsidRDefault="00557A6F" w:rsidP="00557A6F">
            <w:r>
              <w:t>Prosjektering av bygg</w:t>
            </w:r>
            <w:r>
              <w:rPr>
                <w:rStyle w:val="kursiv"/>
                <w:sz w:val="21"/>
                <w:szCs w:val="21"/>
              </w:rPr>
              <w:t xml:space="preserve">, kan overføres </w:t>
            </w:r>
          </w:p>
        </w:tc>
        <w:tc>
          <w:tcPr>
            <w:tcW w:w="1140" w:type="dxa"/>
          </w:tcPr>
          <w:p w:rsidR="00557A6F" w:rsidRDefault="00557A6F" w:rsidP="00557A6F">
            <w:pPr>
              <w:jc w:val="right"/>
            </w:pPr>
            <w:r>
              <w:t>36 065</w:t>
            </w:r>
          </w:p>
        </w:tc>
        <w:tc>
          <w:tcPr>
            <w:tcW w:w="1140" w:type="dxa"/>
          </w:tcPr>
          <w:p w:rsidR="00557A6F" w:rsidRDefault="00557A6F" w:rsidP="00557A6F">
            <w:pPr>
              <w:jc w:val="right"/>
            </w:pPr>
            <w:r>
              <w:t>83 172</w:t>
            </w:r>
          </w:p>
        </w:tc>
        <w:tc>
          <w:tcPr>
            <w:tcW w:w="1140" w:type="dxa"/>
          </w:tcPr>
          <w:p w:rsidR="00557A6F" w:rsidRDefault="00557A6F" w:rsidP="00557A6F">
            <w:pPr>
              <w:jc w:val="right"/>
            </w:pPr>
            <w:r>
              <w:t>179 000</w:t>
            </w:r>
          </w:p>
        </w:tc>
      </w:tr>
      <w:tr w:rsidR="00557A6F" w:rsidTr="00557A6F">
        <w:trPr>
          <w:trHeight w:val="380"/>
        </w:trPr>
        <w:tc>
          <w:tcPr>
            <w:tcW w:w="1140" w:type="dxa"/>
          </w:tcPr>
          <w:p w:rsidR="00557A6F" w:rsidRDefault="00557A6F" w:rsidP="00557A6F">
            <w:r>
              <w:t>31</w:t>
            </w:r>
          </w:p>
        </w:tc>
        <w:tc>
          <w:tcPr>
            <w:tcW w:w="4560" w:type="dxa"/>
          </w:tcPr>
          <w:p w:rsidR="00557A6F" w:rsidRDefault="00557A6F" w:rsidP="00557A6F">
            <w:r>
              <w:t>Igangsetting av byggeprosjekter</w:t>
            </w:r>
            <w:r>
              <w:rPr>
                <w:rStyle w:val="kursiv"/>
                <w:sz w:val="21"/>
                <w:szCs w:val="21"/>
              </w:rPr>
              <w:t xml:space="preserve">, kan overføres </w:t>
            </w:r>
          </w:p>
        </w:tc>
        <w:tc>
          <w:tcPr>
            <w:tcW w:w="1140" w:type="dxa"/>
          </w:tcPr>
          <w:p w:rsidR="00557A6F" w:rsidRDefault="00557A6F" w:rsidP="00557A6F">
            <w:pPr>
              <w:jc w:val="right"/>
            </w:pPr>
            <w:r>
              <w:t>156 707</w:t>
            </w:r>
          </w:p>
        </w:tc>
        <w:tc>
          <w:tcPr>
            <w:tcW w:w="1140" w:type="dxa"/>
          </w:tcPr>
          <w:p w:rsidR="00557A6F" w:rsidRDefault="00557A6F" w:rsidP="00557A6F">
            <w:pPr>
              <w:jc w:val="right"/>
            </w:pPr>
          </w:p>
        </w:tc>
        <w:tc>
          <w:tcPr>
            <w:tcW w:w="1140" w:type="dxa"/>
          </w:tcPr>
          <w:p w:rsidR="00557A6F" w:rsidRDefault="00557A6F" w:rsidP="00557A6F">
            <w:pPr>
              <w:jc w:val="right"/>
            </w:pPr>
            <w:r>
              <w:t>30 000</w:t>
            </w:r>
          </w:p>
        </w:tc>
      </w:tr>
      <w:tr w:rsidR="00557A6F" w:rsidTr="00557A6F">
        <w:trPr>
          <w:trHeight w:val="380"/>
        </w:trPr>
        <w:tc>
          <w:tcPr>
            <w:tcW w:w="1140" w:type="dxa"/>
          </w:tcPr>
          <w:p w:rsidR="00557A6F" w:rsidRDefault="00557A6F" w:rsidP="00557A6F">
            <w:r>
              <w:t>33</w:t>
            </w:r>
          </w:p>
        </w:tc>
        <w:tc>
          <w:tcPr>
            <w:tcW w:w="4560" w:type="dxa"/>
          </w:tcPr>
          <w:p w:rsidR="00557A6F" w:rsidRDefault="00557A6F" w:rsidP="00557A6F">
            <w:r>
              <w:t>Videreføring av byggeprosjekter</w:t>
            </w:r>
            <w:r>
              <w:rPr>
                <w:rStyle w:val="kursiv"/>
                <w:sz w:val="21"/>
                <w:szCs w:val="21"/>
              </w:rPr>
              <w:t xml:space="preserve">, kan overføres </w:t>
            </w:r>
          </w:p>
        </w:tc>
        <w:tc>
          <w:tcPr>
            <w:tcW w:w="1140" w:type="dxa"/>
          </w:tcPr>
          <w:p w:rsidR="00557A6F" w:rsidRDefault="00557A6F" w:rsidP="00557A6F">
            <w:pPr>
              <w:jc w:val="right"/>
            </w:pPr>
            <w:r>
              <w:t>2 016 334</w:t>
            </w:r>
          </w:p>
        </w:tc>
        <w:tc>
          <w:tcPr>
            <w:tcW w:w="1140" w:type="dxa"/>
          </w:tcPr>
          <w:p w:rsidR="00557A6F" w:rsidRDefault="00557A6F" w:rsidP="00557A6F">
            <w:pPr>
              <w:jc w:val="right"/>
            </w:pPr>
            <w:r>
              <w:t>1 780 400</w:t>
            </w:r>
          </w:p>
        </w:tc>
        <w:tc>
          <w:tcPr>
            <w:tcW w:w="1140" w:type="dxa"/>
          </w:tcPr>
          <w:p w:rsidR="00557A6F" w:rsidRDefault="00557A6F" w:rsidP="00557A6F">
            <w:pPr>
              <w:jc w:val="right"/>
            </w:pPr>
            <w:r>
              <w:t>1 471 200</w:t>
            </w:r>
          </w:p>
        </w:tc>
      </w:tr>
      <w:tr w:rsidR="00557A6F" w:rsidTr="00557A6F">
        <w:trPr>
          <w:trHeight w:val="380"/>
        </w:trPr>
        <w:tc>
          <w:tcPr>
            <w:tcW w:w="1140" w:type="dxa"/>
          </w:tcPr>
          <w:p w:rsidR="00557A6F" w:rsidRDefault="00557A6F" w:rsidP="00557A6F">
            <w:r>
              <w:t>34</w:t>
            </w:r>
          </w:p>
        </w:tc>
        <w:tc>
          <w:tcPr>
            <w:tcW w:w="4560" w:type="dxa"/>
          </w:tcPr>
          <w:p w:rsidR="00557A6F" w:rsidRDefault="00557A6F" w:rsidP="00557A6F">
            <w:r>
              <w:t>Statens eiendom på Adamstuen</w:t>
            </w:r>
            <w:r>
              <w:rPr>
                <w:rStyle w:val="kursiv"/>
                <w:sz w:val="21"/>
                <w:szCs w:val="21"/>
              </w:rPr>
              <w:t xml:space="preserve">, kan overføres </w:t>
            </w:r>
          </w:p>
        </w:tc>
        <w:tc>
          <w:tcPr>
            <w:tcW w:w="1140" w:type="dxa"/>
          </w:tcPr>
          <w:p w:rsidR="00557A6F" w:rsidRDefault="00557A6F" w:rsidP="00557A6F">
            <w:pPr>
              <w:jc w:val="right"/>
            </w:pPr>
            <w:r>
              <w:t>4 930</w:t>
            </w:r>
          </w:p>
        </w:tc>
        <w:tc>
          <w:tcPr>
            <w:tcW w:w="1140" w:type="dxa"/>
          </w:tcPr>
          <w:p w:rsidR="00557A6F" w:rsidRDefault="00557A6F" w:rsidP="00557A6F">
            <w:pPr>
              <w:jc w:val="right"/>
            </w:pPr>
            <w:r>
              <w:t>7 500</w:t>
            </w:r>
          </w:p>
        </w:tc>
        <w:tc>
          <w:tcPr>
            <w:tcW w:w="1140" w:type="dxa"/>
          </w:tcPr>
          <w:p w:rsidR="00557A6F" w:rsidRDefault="00557A6F" w:rsidP="00557A6F">
            <w:pPr>
              <w:jc w:val="right"/>
            </w:pPr>
            <w:r>
              <w:t>7 500</w:t>
            </w:r>
          </w:p>
        </w:tc>
      </w:tr>
      <w:tr w:rsidR="00557A6F" w:rsidTr="00557A6F">
        <w:trPr>
          <w:trHeight w:val="380"/>
        </w:trPr>
        <w:tc>
          <w:tcPr>
            <w:tcW w:w="1140" w:type="dxa"/>
          </w:tcPr>
          <w:p w:rsidR="00557A6F" w:rsidRDefault="00557A6F" w:rsidP="00557A6F">
            <w:r>
              <w:t>36</w:t>
            </w:r>
          </w:p>
        </w:tc>
        <w:tc>
          <w:tcPr>
            <w:tcW w:w="4560" w:type="dxa"/>
          </w:tcPr>
          <w:p w:rsidR="00557A6F" w:rsidRDefault="00557A6F" w:rsidP="00557A6F">
            <w:r>
              <w:t>Kunstnerisk utsmykking</w:t>
            </w:r>
            <w:r>
              <w:rPr>
                <w:rStyle w:val="kursiv"/>
                <w:sz w:val="21"/>
                <w:szCs w:val="21"/>
              </w:rPr>
              <w:t xml:space="preserve">, kan overføres </w:t>
            </w:r>
          </w:p>
        </w:tc>
        <w:tc>
          <w:tcPr>
            <w:tcW w:w="1140" w:type="dxa"/>
          </w:tcPr>
          <w:p w:rsidR="00557A6F" w:rsidRDefault="00557A6F" w:rsidP="00557A6F">
            <w:pPr>
              <w:jc w:val="right"/>
            </w:pPr>
            <w:r>
              <w:t>16 357</w:t>
            </w:r>
          </w:p>
        </w:tc>
        <w:tc>
          <w:tcPr>
            <w:tcW w:w="1140" w:type="dxa"/>
          </w:tcPr>
          <w:p w:rsidR="00557A6F" w:rsidRDefault="00557A6F" w:rsidP="00557A6F">
            <w:pPr>
              <w:jc w:val="right"/>
            </w:pPr>
            <w:r>
              <w:t>19 000</w:t>
            </w:r>
          </w:p>
        </w:tc>
        <w:tc>
          <w:tcPr>
            <w:tcW w:w="1140" w:type="dxa"/>
          </w:tcPr>
          <w:p w:rsidR="00557A6F" w:rsidRDefault="00557A6F" w:rsidP="00557A6F">
            <w:pPr>
              <w:jc w:val="right"/>
            </w:pPr>
            <w:r>
              <w:t>28 000</w:t>
            </w:r>
          </w:p>
        </w:tc>
      </w:tr>
      <w:tr w:rsidR="00557A6F" w:rsidTr="00557A6F">
        <w:trPr>
          <w:trHeight w:val="640"/>
        </w:trPr>
        <w:tc>
          <w:tcPr>
            <w:tcW w:w="1140" w:type="dxa"/>
          </w:tcPr>
          <w:p w:rsidR="00557A6F" w:rsidRDefault="00557A6F" w:rsidP="00557A6F">
            <w:r>
              <w:t>45</w:t>
            </w:r>
          </w:p>
        </w:tc>
        <w:tc>
          <w:tcPr>
            <w:tcW w:w="4560" w:type="dxa"/>
          </w:tcPr>
          <w:p w:rsidR="00557A6F" w:rsidRDefault="00557A6F" w:rsidP="00557A6F">
            <w:r>
              <w:t>Større utstyrsanskaffelser og vedlikehold</w:t>
            </w:r>
            <w:r>
              <w:rPr>
                <w:rStyle w:val="kursiv"/>
                <w:sz w:val="21"/>
                <w:szCs w:val="21"/>
              </w:rPr>
              <w:t>, kan ove</w:t>
            </w:r>
            <w:r>
              <w:rPr>
                <w:rStyle w:val="kursiv"/>
                <w:sz w:val="21"/>
                <w:szCs w:val="21"/>
              </w:rPr>
              <w:t>r</w:t>
            </w:r>
            <w:r>
              <w:rPr>
                <w:rStyle w:val="kursiv"/>
                <w:sz w:val="21"/>
                <w:szCs w:val="21"/>
              </w:rPr>
              <w:t xml:space="preserve">føres </w:t>
            </w:r>
          </w:p>
        </w:tc>
        <w:tc>
          <w:tcPr>
            <w:tcW w:w="1140" w:type="dxa"/>
          </w:tcPr>
          <w:p w:rsidR="00557A6F" w:rsidRDefault="00557A6F" w:rsidP="00557A6F">
            <w:pPr>
              <w:jc w:val="right"/>
            </w:pPr>
            <w:r>
              <w:t>149 357</w:t>
            </w:r>
          </w:p>
        </w:tc>
        <w:tc>
          <w:tcPr>
            <w:tcW w:w="1140" w:type="dxa"/>
          </w:tcPr>
          <w:p w:rsidR="00557A6F" w:rsidRDefault="00557A6F" w:rsidP="00557A6F">
            <w:pPr>
              <w:jc w:val="right"/>
            </w:pPr>
            <w:r>
              <w:t>563 000</w:t>
            </w:r>
          </w:p>
        </w:tc>
        <w:tc>
          <w:tcPr>
            <w:tcW w:w="1140" w:type="dxa"/>
          </w:tcPr>
          <w:p w:rsidR="00557A6F" w:rsidRDefault="00557A6F" w:rsidP="00557A6F">
            <w:pPr>
              <w:jc w:val="right"/>
            </w:pPr>
            <w:r>
              <w:t>829 600</w:t>
            </w:r>
          </w:p>
        </w:tc>
      </w:tr>
      <w:tr w:rsidR="00557A6F" w:rsidTr="00557A6F">
        <w:trPr>
          <w:trHeight w:val="380"/>
        </w:trPr>
        <w:tc>
          <w:tcPr>
            <w:tcW w:w="1140" w:type="dxa"/>
          </w:tcPr>
          <w:p w:rsidR="00557A6F" w:rsidRDefault="00557A6F" w:rsidP="00557A6F"/>
        </w:tc>
        <w:tc>
          <w:tcPr>
            <w:tcW w:w="4560" w:type="dxa"/>
          </w:tcPr>
          <w:p w:rsidR="00557A6F" w:rsidRDefault="00557A6F" w:rsidP="00557A6F">
            <w:r>
              <w:t>Sum kap. 0530</w:t>
            </w:r>
          </w:p>
        </w:tc>
        <w:tc>
          <w:tcPr>
            <w:tcW w:w="1140" w:type="dxa"/>
          </w:tcPr>
          <w:p w:rsidR="00557A6F" w:rsidRDefault="00557A6F" w:rsidP="00557A6F">
            <w:pPr>
              <w:jc w:val="right"/>
            </w:pPr>
            <w:r>
              <w:t>2 379 750</w:t>
            </w:r>
          </w:p>
        </w:tc>
        <w:tc>
          <w:tcPr>
            <w:tcW w:w="1140" w:type="dxa"/>
          </w:tcPr>
          <w:p w:rsidR="00557A6F" w:rsidRDefault="00557A6F" w:rsidP="00557A6F">
            <w:pPr>
              <w:jc w:val="right"/>
            </w:pPr>
            <w:r>
              <w:t>2 453 072</w:t>
            </w:r>
          </w:p>
        </w:tc>
        <w:tc>
          <w:tcPr>
            <w:tcW w:w="1140" w:type="dxa"/>
          </w:tcPr>
          <w:p w:rsidR="00557A6F" w:rsidRDefault="00557A6F" w:rsidP="00557A6F">
            <w:pPr>
              <w:jc w:val="right"/>
            </w:pPr>
            <w:r>
              <w:t>2 545 300</w:t>
            </w:r>
          </w:p>
        </w:tc>
      </w:tr>
    </w:tbl>
    <w:p w:rsidR="00557A6F" w:rsidRDefault="00557A6F" w:rsidP="00557A6F">
      <w:pPr>
        <w:pStyle w:val="tabell-noter"/>
      </w:pPr>
      <w:r>
        <w:t xml:space="preserve">Vedrørende 2019: Ved Stortingets vedtak av 21. juni 2019 ble post 33 økt med 330 mill. kroner til 2 110,4 mill. kroner og post 45 økt med 62 mill. kroner til 625 mill. kroner, jf. Prop. 114 S og Innst. 391 S (2018–2019). </w:t>
      </w:r>
    </w:p>
    <w:p w:rsidR="00557A6F" w:rsidRDefault="00557A6F" w:rsidP="00557A6F">
      <w:r>
        <w:t>Bevilgningene på kapitlet gjelder byggeprosjekter hvor Statsbygg er byggherre, mens oppdragsg</w:t>
      </w:r>
      <w:r>
        <w:t>i</w:t>
      </w:r>
      <w:r>
        <w:t>verne har ansvaret for forvaltning, drift og vedlikehold av bygningene etter at de er ferdigstilt.</w:t>
      </w:r>
    </w:p>
    <w:p w:rsidR="00557A6F" w:rsidRDefault="00557A6F" w:rsidP="00557A6F">
      <w:pPr>
        <w:pStyle w:val="b-post"/>
      </w:pPr>
      <w:r>
        <w:t>Post 30 Prosjektering av bygg, kan overføres</w:t>
      </w:r>
    </w:p>
    <w:p w:rsidR="00557A6F" w:rsidRDefault="00557A6F" w:rsidP="00557A6F">
      <w:r>
        <w:t>I 2018 ble bevilgningen i hovedsak benyttet til prosjektering av Vikingtidsmuseet på Bygdøy og Veksth</w:t>
      </w:r>
      <w:r>
        <w:t>u</w:t>
      </w:r>
      <w:r>
        <w:t>set på Tøyen ved Universitet i Oslo (UiO) og Nationaltheatret. I tillegg ble bevilgningen benyttet til pr</w:t>
      </w:r>
      <w:r>
        <w:t>o</w:t>
      </w:r>
      <w:r>
        <w:t>sjektering av Odontologisk fakultet ved UiO og Tromsø museum ved Universitetet i Tromsø – Norges arktiske universitet. Videre ble det benyttet midler til forprosjektet for rehabilit</w:t>
      </w:r>
      <w:r>
        <w:t>e</w:t>
      </w:r>
      <w:r>
        <w:t>ring ved Norges Ha</w:t>
      </w:r>
      <w:r>
        <w:t>n</w:t>
      </w:r>
      <w:r>
        <w:t xml:space="preserve">delshøyskole. </w:t>
      </w:r>
    </w:p>
    <w:p w:rsidR="00557A6F" w:rsidRDefault="00557A6F" w:rsidP="00557A6F">
      <w:pPr>
        <w:pStyle w:val="avsnitt-tittel"/>
      </w:pPr>
      <w:r>
        <w:t>Budsjettforslag</w:t>
      </w:r>
    </w:p>
    <w:p w:rsidR="00557A6F" w:rsidRDefault="00557A6F" w:rsidP="00557A6F">
      <w:r>
        <w:t>I 2020 videreføres prosjekteringen av Tromsø Museum ved Universitetet i Tromsø – Norges ar</w:t>
      </w:r>
      <w:r>
        <w:t>k</w:t>
      </w:r>
      <w:r>
        <w:t>tiske universitet med 23 mill. kroner. Det foreslås 4 mill. kroner til videreføring av forprosjekt for Odontol</w:t>
      </w:r>
      <w:r>
        <w:t>o</w:t>
      </w:r>
      <w:r>
        <w:t>gisk fakultet ved UiO. I 2018 startet prosjektering av rehabilitering av Nationaltheatret. Det foreslås 78 mill. kroner til videre prosjektering. I tillegg foreslås det 39 mill. kroner til pr</w:t>
      </w:r>
      <w:r>
        <w:t>o</w:t>
      </w:r>
      <w:r>
        <w:t>sjektering av Campus NTNU og 35 mill. kroner til prosjektering av Ocean Space Laboratories.</w:t>
      </w:r>
    </w:p>
    <w:p w:rsidR="00557A6F" w:rsidRDefault="00557A6F" w:rsidP="00557A6F">
      <w:r>
        <w:t>Samlet foreslås det en bevilgning på 179 mill. kroner.</w:t>
      </w:r>
    </w:p>
    <w:p w:rsidR="00557A6F" w:rsidRDefault="00557A6F" w:rsidP="00557A6F">
      <w:pPr>
        <w:pStyle w:val="b-post"/>
      </w:pPr>
      <w:r>
        <w:t>Post 31 Igangsetting av byggeprosjekter, kan overføres</w:t>
      </w:r>
    </w:p>
    <w:p w:rsidR="00557A6F" w:rsidRDefault="00557A6F" w:rsidP="00557A6F">
      <w:r>
        <w:t>I 2018 startet bygging av nytt livsvitenskapsbygg ved UiO, ny midlertidig vaktsentral for regj</w:t>
      </w:r>
      <w:r>
        <w:t>e</w:t>
      </w:r>
      <w:r>
        <w:t>ringskvartalet og infrastruktur for nye boliger på Svalbard. Det har ikke blitt igangsatt nye bygg</w:t>
      </w:r>
      <w:r>
        <w:t>e</w:t>
      </w:r>
      <w:r>
        <w:t xml:space="preserve">prosjekter i 2019. </w:t>
      </w:r>
    </w:p>
    <w:p w:rsidR="00557A6F" w:rsidRDefault="00557A6F" w:rsidP="00557A6F">
      <w:r>
        <w:t xml:space="preserve">Det foreslås 30 mill. kroner til nybygg for Vikingtidsmuseet ved UiO. Kostnadsrammen foreslås satt til 2 135 mill. kroner (prisnivå per 1. juli 2020). Prosjektet forventes ferdigstilt andre halvår 2025. </w:t>
      </w:r>
    </w:p>
    <w:p w:rsidR="00557A6F" w:rsidRDefault="00557A6F" w:rsidP="00557A6F">
      <w:pPr>
        <w:pStyle w:val="b-post"/>
      </w:pPr>
      <w:r>
        <w:t>Post 33 Videreføring av byggeprosjekter, kan overføres</w:t>
      </w:r>
    </w:p>
    <w:p w:rsidR="00557A6F" w:rsidRDefault="00557A6F" w:rsidP="00557A6F">
      <w:r>
        <w:t>Posten inneholder midler til videreføring av byggeprosjekter som Stortinget tidligere har vedtatt å starte opp. Bevilgningen skal sikre optimal fremdrift i prosjekter under oppføring.</w:t>
      </w:r>
    </w:p>
    <w:p w:rsidR="00557A6F" w:rsidRDefault="00557A6F" w:rsidP="00557A6F">
      <w:pPr>
        <w:pStyle w:val="avsnitt-tittel"/>
      </w:pPr>
      <w:r>
        <w:t>Budsjettforslag</w:t>
      </w:r>
    </w:p>
    <w:p w:rsidR="00557A6F" w:rsidRDefault="00557A6F" w:rsidP="00557A6F">
      <w:r>
        <w:t>Tabellen nedenfor viser prosjekter på kap. 530 som er under bygging i 2020:</w:t>
      </w:r>
    </w:p>
    <w:p w:rsidR="00557A6F" w:rsidRDefault="00557A6F" w:rsidP="00557A6F">
      <w:pPr>
        <w:pStyle w:val="Tabellnavn"/>
      </w:pPr>
      <w:r>
        <w:t>05N2xt2</w:t>
      </w:r>
    </w:p>
    <w:tbl>
      <w:tblPr>
        <w:tblStyle w:val="StandardTabell"/>
        <w:tblW w:w="0" w:type="auto"/>
        <w:tblLayout w:type="fixed"/>
        <w:tblLook w:val="04A0" w:firstRow="1" w:lastRow="0" w:firstColumn="1" w:lastColumn="0" w:noHBand="0" w:noVBand="1"/>
      </w:tblPr>
      <w:tblGrid>
        <w:gridCol w:w="3900"/>
        <w:gridCol w:w="1220"/>
        <w:gridCol w:w="1260"/>
        <w:gridCol w:w="1740"/>
        <w:gridCol w:w="1400"/>
      </w:tblGrid>
      <w:tr w:rsidR="00557A6F" w:rsidTr="007F3140">
        <w:trPr>
          <w:trHeight w:val="360"/>
        </w:trPr>
        <w:tc>
          <w:tcPr>
            <w:tcW w:w="3900" w:type="dxa"/>
            <w:shd w:val="clear" w:color="auto" w:fill="FFFFFF"/>
          </w:tcPr>
          <w:p w:rsidR="00557A6F" w:rsidRDefault="00557A6F" w:rsidP="00557A6F"/>
        </w:tc>
        <w:tc>
          <w:tcPr>
            <w:tcW w:w="1220" w:type="dxa"/>
          </w:tcPr>
          <w:p w:rsidR="00557A6F" w:rsidRDefault="00557A6F" w:rsidP="007F3140">
            <w:pPr>
              <w:jc w:val="right"/>
            </w:pPr>
          </w:p>
        </w:tc>
        <w:tc>
          <w:tcPr>
            <w:tcW w:w="1260" w:type="dxa"/>
          </w:tcPr>
          <w:p w:rsidR="00557A6F" w:rsidRDefault="00557A6F" w:rsidP="007F3140">
            <w:pPr>
              <w:jc w:val="right"/>
            </w:pPr>
          </w:p>
        </w:tc>
        <w:tc>
          <w:tcPr>
            <w:tcW w:w="3140" w:type="dxa"/>
            <w:gridSpan w:val="2"/>
          </w:tcPr>
          <w:p w:rsidR="00557A6F" w:rsidRDefault="00557A6F" w:rsidP="007F3140">
            <w:pPr>
              <w:jc w:val="right"/>
            </w:pPr>
            <w:r>
              <w:t>(i mill. kroner)</w:t>
            </w:r>
          </w:p>
        </w:tc>
      </w:tr>
      <w:tr w:rsidR="00557A6F" w:rsidTr="007F3140">
        <w:trPr>
          <w:trHeight w:val="600"/>
        </w:trPr>
        <w:tc>
          <w:tcPr>
            <w:tcW w:w="3900" w:type="dxa"/>
          </w:tcPr>
          <w:p w:rsidR="00557A6F" w:rsidRDefault="00557A6F" w:rsidP="00557A6F"/>
        </w:tc>
        <w:tc>
          <w:tcPr>
            <w:tcW w:w="1220" w:type="dxa"/>
          </w:tcPr>
          <w:p w:rsidR="00557A6F" w:rsidRDefault="00557A6F" w:rsidP="007F3140">
            <w:pPr>
              <w:jc w:val="right"/>
            </w:pPr>
            <w:r>
              <w:t>Oppstart</w:t>
            </w:r>
          </w:p>
        </w:tc>
        <w:tc>
          <w:tcPr>
            <w:tcW w:w="1260" w:type="dxa"/>
          </w:tcPr>
          <w:p w:rsidR="00557A6F" w:rsidRDefault="00557A6F" w:rsidP="007F3140">
            <w:pPr>
              <w:jc w:val="right"/>
            </w:pPr>
            <w:r>
              <w:t>Avtalt</w:t>
            </w:r>
            <w:r>
              <w:br/>
              <w:t xml:space="preserve"> ferdigsti</w:t>
            </w:r>
            <w:r>
              <w:t>l</w:t>
            </w:r>
            <w:r>
              <w:t>lelse</w:t>
            </w:r>
          </w:p>
        </w:tc>
        <w:tc>
          <w:tcPr>
            <w:tcW w:w="1740" w:type="dxa"/>
          </w:tcPr>
          <w:p w:rsidR="00557A6F" w:rsidRDefault="00557A6F" w:rsidP="007F3140">
            <w:pPr>
              <w:jc w:val="right"/>
            </w:pPr>
            <w:r>
              <w:t>Kostnadsramme per 1.7.2020</w:t>
            </w:r>
          </w:p>
        </w:tc>
        <w:tc>
          <w:tcPr>
            <w:tcW w:w="1400" w:type="dxa"/>
          </w:tcPr>
          <w:p w:rsidR="00557A6F" w:rsidRDefault="00557A6F" w:rsidP="007F3140">
            <w:pPr>
              <w:jc w:val="right"/>
            </w:pPr>
            <w:r>
              <w:t>Forslag</w:t>
            </w:r>
            <w:r>
              <w:br/>
              <w:t xml:space="preserve"> 2020</w:t>
            </w:r>
          </w:p>
        </w:tc>
      </w:tr>
      <w:tr w:rsidR="00557A6F" w:rsidTr="007F3140">
        <w:trPr>
          <w:trHeight w:val="380"/>
        </w:trPr>
        <w:tc>
          <w:tcPr>
            <w:tcW w:w="9520" w:type="dxa"/>
            <w:gridSpan w:val="5"/>
          </w:tcPr>
          <w:p w:rsidR="00557A6F" w:rsidRDefault="00557A6F" w:rsidP="00557A6F">
            <w:r>
              <w:rPr>
                <w:rStyle w:val="kursiv"/>
                <w:sz w:val="21"/>
                <w:szCs w:val="21"/>
              </w:rPr>
              <w:t>Prosjekter under Kunnskapsdepartementet</w:t>
            </w:r>
          </w:p>
        </w:tc>
      </w:tr>
      <w:tr w:rsidR="00557A6F" w:rsidTr="007F3140">
        <w:trPr>
          <w:trHeight w:val="380"/>
        </w:trPr>
        <w:tc>
          <w:tcPr>
            <w:tcW w:w="3900" w:type="dxa"/>
          </w:tcPr>
          <w:p w:rsidR="00557A6F" w:rsidRDefault="00557A6F" w:rsidP="00557A6F">
            <w:r>
              <w:t>NMBU og Veterinærinstituttet</w:t>
            </w:r>
          </w:p>
        </w:tc>
        <w:tc>
          <w:tcPr>
            <w:tcW w:w="1220" w:type="dxa"/>
          </w:tcPr>
          <w:p w:rsidR="00557A6F" w:rsidRDefault="00557A6F" w:rsidP="007F3140">
            <w:pPr>
              <w:jc w:val="right"/>
            </w:pPr>
            <w:r>
              <w:t>2013</w:t>
            </w:r>
          </w:p>
        </w:tc>
        <w:tc>
          <w:tcPr>
            <w:tcW w:w="1260" w:type="dxa"/>
          </w:tcPr>
          <w:p w:rsidR="00557A6F" w:rsidRDefault="00557A6F" w:rsidP="007F3140">
            <w:pPr>
              <w:jc w:val="right"/>
            </w:pPr>
            <w:r>
              <w:t>2020</w:t>
            </w:r>
          </w:p>
        </w:tc>
        <w:tc>
          <w:tcPr>
            <w:tcW w:w="1740" w:type="dxa"/>
          </w:tcPr>
          <w:p w:rsidR="00557A6F" w:rsidRDefault="00557A6F" w:rsidP="007F3140">
            <w:pPr>
              <w:jc w:val="right"/>
            </w:pPr>
            <w:r>
              <w:t xml:space="preserve"> 8 015,0</w:t>
            </w:r>
            <w:r>
              <w:rPr>
                <w:rStyle w:val="skrift-hevet"/>
                <w:sz w:val="21"/>
                <w:szCs w:val="21"/>
              </w:rPr>
              <w:t>1</w:t>
            </w:r>
          </w:p>
        </w:tc>
        <w:tc>
          <w:tcPr>
            <w:tcW w:w="1400" w:type="dxa"/>
          </w:tcPr>
          <w:p w:rsidR="00557A6F" w:rsidRDefault="00557A6F" w:rsidP="007F3140">
            <w:pPr>
              <w:jc w:val="right"/>
            </w:pPr>
            <w:r>
              <w:t>610,0</w:t>
            </w:r>
          </w:p>
        </w:tc>
      </w:tr>
      <w:tr w:rsidR="00557A6F" w:rsidTr="007F3140">
        <w:trPr>
          <w:trHeight w:val="380"/>
        </w:trPr>
        <w:tc>
          <w:tcPr>
            <w:tcW w:w="3900" w:type="dxa"/>
          </w:tcPr>
          <w:p w:rsidR="00557A6F" w:rsidRDefault="00557A6F" w:rsidP="00557A6F">
            <w:r>
              <w:t>UiO nytt livsvitenskapsbygg</w:t>
            </w:r>
          </w:p>
        </w:tc>
        <w:tc>
          <w:tcPr>
            <w:tcW w:w="1220" w:type="dxa"/>
          </w:tcPr>
          <w:p w:rsidR="00557A6F" w:rsidRDefault="00557A6F" w:rsidP="007F3140">
            <w:pPr>
              <w:jc w:val="right"/>
            </w:pPr>
            <w:r>
              <w:t>2018</w:t>
            </w:r>
          </w:p>
        </w:tc>
        <w:tc>
          <w:tcPr>
            <w:tcW w:w="1260" w:type="dxa"/>
          </w:tcPr>
          <w:p w:rsidR="00557A6F" w:rsidRDefault="00557A6F" w:rsidP="007F3140">
            <w:pPr>
              <w:jc w:val="right"/>
            </w:pPr>
            <w:r>
              <w:t>2024</w:t>
            </w:r>
          </w:p>
        </w:tc>
        <w:tc>
          <w:tcPr>
            <w:tcW w:w="1740" w:type="dxa"/>
          </w:tcPr>
          <w:p w:rsidR="00557A6F" w:rsidRDefault="00557A6F" w:rsidP="007F3140">
            <w:pPr>
              <w:jc w:val="right"/>
            </w:pPr>
            <w:r>
              <w:t>6 153,1</w:t>
            </w:r>
          </w:p>
        </w:tc>
        <w:tc>
          <w:tcPr>
            <w:tcW w:w="1400" w:type="dxa"/>
          </w:tcPr>
          <w:p w:rsidR="00557A6F" w:rsidRDefault="00557A6F" w:rsidP="007F3140">
            <w:pPr>
              <w:jc w:val="right"/>
            </w:pPr>
            <w:r>
              <w:t>830,0</w:t>
            </w:r>
          </w:p>
        </w:tc>
      </w:tr>
      <w:tr w:rsidR="00557A6F" w:rsidTr="007F3140">
        <w:trPr>
          <w:trHeight w:val="380"/>
        </w:trPr>
        <w:tc>
          <w:tcPr>
            <w:tcW w:w="3900" w:type="dxa"/>
          </w:tcPr>
          <w:p w:rsidR="00557A6F" w:rsidRDefault="00557A6F" w:rsidP="00557A6F">
            <w:r>
              <w:rPr>
                <w:rStyle w:val="kursiv"/>
                <w:sz w:val="21"/>
                <w:szCs w:val="21"/>
              </w:rPr>
              <w:t>Prosjekter i reklamasjonsfasen</w:t>
            </w:r>
          </w:p>
        </w:tc>
        <w:tc>
          <w:tcPr>
            <w:tcW w:w="1220" w:type="dxa"/>
          </w:tcPr>
          <w:p w:rsidR="00557A6F" w:rsidRDefault="00557A6F" w:rsidP="007F3140">
            <w:pPr>
              <w:jc w:val="right"/>
            </w:pPr>
          </w:p>
        </w:tc>
        <w:tc>
          <w:tcPr>
            <w:tcW w:w="1260" w:type="dxa"/>
          </w:tcPr>
          <w:p w:rsidR="00557A6F" w:rsidRDefault="00557A6F" w:rsidP="007F3140">
            <w:pPr>
              <w:jc w:val="right"/>
            </w:pPr>
          </w:p>
        </w:tc>
        <w:tc>
          <w:tcPr>
            <w:tcW w:w="1740" w:type="dxa"/>
          </w:tcPr>
          <w:p w:rsidR="00557A6F" w:rsidRDefault="00557A6F" w:rsidP="007F3140">
            <w:pPr>
              <w:jc w:val="right"/>
            </w:pPr>
          </w:p>
        </w:tc>
        <w:tc>
          <w:tcPr>
            <w:tcW w:w="1400" w:type="dxa"/>
          </w:tcPr>
          <w:p w:rsidR="00557A6F" w:rsidRDefault="00557A6F" w:rsidP="007F3140">
            <w:pPr>
              <w:jc w:val="right"/>
            </w:pPr>
            <w:r>
              <w:t>31,2</w:t>
            </w:r>
          </w:p>
        </w:tc>
      </w:tr>
      <w:tr w:rsidR="00557A6F" w:rsidTr="007F3140">
        <w:trPr>
          <w:trHeight w:val="380"/>
        </w:trPr>
        <w:tc>
          <w:tcPr>
            <w:tcW w:w="3900" w:type="dxa"/>
          </w:tcPr>
          <w:p w:rsidR="00557A6F" w:rsidRDefault="00557A6F" w:rsidP="00557A6F">
            <w:r>
              <w:t>Samlet forslag post 33</w:t>
            </w:r>
          </w:p>
        </w:tc>
        <w:tc>
          <w:tcPr>
            <w:tcW w:w="1220" w:type="dxa"/>
          </w:tcPr>
          <w:p w:rsidR="00557A6F" w:rsidRDefault="00557A6F" w:rsidP="007F3140">
            <w:pPr>
              <w:jc w:val="right"/>
            </w:pPr>
          </w:p>
        </w:tc>
        <w:tc>
          <w:tcPr>
            <w:tcW w:w="1260" w:type="dxa"/>
          </w:tcPr>
          <w:p w:rsidR="00557A6F" w:rsidRDefault="00557A6F" w:rsidP="007F3140">
            <w:pPr>
              <w:jc w:val="right"/>
            </w:pPr>
          </w:p>
        </w:tc>
        <w:tc>
          <w:tcPr>
            <w:tcW w:w="1740" w:type="dxa"/>
          </w:tcPr>
          <w:p w:rsidR="00557A6F" w:rsidRDefault="00557A6F" w:rsidP="007F3140">
            <w:pPr>
              <w:jc w:val="right"/>
            </w:pPr>
          </w:p>
        </w:tc>
        <w:tc>
          <w:tcPr>
            <w:tcW w:w="1400" w:type="dxa"/>
          </w:tcPr>
          <w:p w:rsidR="00557A6F" w:rsidRDefault="00557A6F" w:rsidP="007F3140">
            <w:pPr>
              <w:jc w:val="right"/>
            </w:pPr>
            <w:r>
              <w:t>1 471,2</w:t>
            </w:r>
          </w:p>
        </w:tc>
      </w:tr>
    </w:tbl>
    <w:p w:rsidR="00557A6F" w:rsidRDefault="00557A6F" w:rsidP="00557A6F">
      <w:pPr>
        <w:pStyle w:val="tabell-noter"/>
      </w:pPr>
      <w:r>
        <w:rPr>
          <w:rStyle w:val="skrift-hevet"/>
          <w:sz w:val="17"/>
          <w:szCs w:val="17"/>
        </w:rPr>
        <w:t>1</w:t>
      </w:r>
      <w:r>
        <w:tab/>
        <w:t>Forslag til ny kostnadsramme.</w:t>
      </w:r>
    </w:p>
    <w:p w:rsidR="00557A6F" w:rsidRDefault="00557A6F" w:rsidP="00557A6F">
      <w:pPr>
        <w:pStyle w:val="tabell-noter"/>
      </w:pPr>
      <w:r>
        <w:t>Kostnadsrammene er eksklusive midler til kunstnerisk utsmykking, jf. kap. 530, post 36.</w:t>
      </w:r>
    </w:p>
    <w:p w:rsidR="00557A6F" w:rsidRDefault="00557A6F" w:rsidP="00557A6F">
      <w:r>
        <w:t>Statsbygg kan fordele midlene på posten mellom de ulike prosjektene, avhengig av framdrift og likvid</w:t>
      </w:r>
      <w:r>
        <w:t>i</w:t>
      </w:r>
      <w:r>
        <w:t xml:space="preserve">tetsbehov for det enkelte prosjekt i 2020. </w:t>
      </w:r>
    </w:p>
    <w:p w:rsidR="00557A6F" w:rsidRDefault="00557A6F" w:rsidP="00557A6F">
      <w:r>
        <w:t>Stortinget vedtok nybygg for Norges miljø- og biovitenskapelige universitet (NMBU) og Veter</w:t>
      </w:r>
      <w:r>
        <w:t>i</w:t>
      </w:r>
      <w:r>
        <w:t>nærinstituttet på Ås i forbindelse med revidert nasjonalbudsjett for 2013, jf. Prop. 149 S og Innst. 470 S (2012–2013). Ved b</w:t>
      </w:r>
      <w:r>
        <w:t>e</w:t>
      </w:r>
      <w:r>
        <w:t xml:space="preserve">handlingen av Prop. 20 S (2018–2019) </w:t>
      </w:r>
      <w:r>
        <w:rPr>
          <w:rStyle w:val="kursiv"/>
          <w:sz w:val="21"/>
          <w:szCs w:val="21"/>
        </w:rPr>
        <w:t>Endringer av statsbudsjettet 2018 for Kommunal- og moderniseringsd</w:t>
      </w:r>
      <w:r>
        <w:rPr>
          <w:rStyle w:val="kursiv"/>
          <w:sz w:val="21"/>
          <w:szCs w:val="21"/>
        </w:rPr>
        <w:t>e</w:t>
      </w:r>
      <w:r>
        <w:rPr>
          <w:rStyle w:val="kursiv"/>
          <w:sz w:val="21"/>
          <w:szCs w:val="21"/>
        </w:rPr>
        <w:t>partementet</w:t>
      </w:r>
      <w:r>
        <w:t>, jf. Innst. 118 S (2018–2019), ble indeksjustert kostnadsramme ve</w:t>
      </w:r>
      <w:r>
        <w:t>d</w:t>
      </w:r>
      <w:r>
        <w:t>tatt økt med 150 mill. kroner til 7 203,8 mill. kroner i prisnivå per 1. juli 2018. Prosjektet er planlagt ferdigstilt 1. halvår 2020. Prosjektet på Ås vil samle NMBU og Veterinæri</w:t>
      </w:r>
      <w:r>
        <w:t>n</w:t>
      </w:r>
      <w:r>
        <w:t>stituttet. Det omfatter også nytt bygg for Senter for husdyrforsøk, som ble ferdigstilt i 2015. Pr</w:t>
      </w:r>
      <w:r>
        <w:t>o</w:t>
      </w:r>
      <w:r>
        <w:t>sjektet er unikt, med samlokalisering av dyrehospital, avanserte laboratorier og undervisningslok</w:t>
      </w:r>
      <w:r>
        <w:t>a</w:t>
      </w:r>
      <w:r>
        <w:t xml:space="preserve">ler i samme bygg. </w:t>
      </w:r>
    </w:p>
    <w:p w:rsidR="00557A6F" w:rsidRDefault="00557A6F" w:rsidP="00557A6F">
      <w:r>
        <w:t>Det er i mai 2019 gjennomført en ny ekstern usikkerhetsanalyse av prosjektet. Analysen viser at sluttkostnaden for prosjektet ventes å bli betydelig høyere enn tidligere anslått. Dette skyldes i h</w:t>
      </w:r>
      <w:r>
        <w:t>o</w:t>
      </w:r>
      <w:r>
        <w:t>vedsak utfordrende fremdrift, prosjektets kompleksitet og behov for utfyllende prosjektering. Y</w:t>
      </w:r>
      <w:r>
        <w:t>t</w:t>
      </w:r>
      <w:r>
        <w:t>terligere kostnad</w:t>
      </w:r>
      <w:r>
        <w:t>s</w:t>
      </w:r>
      <w:r>
        <w:t>reduksjoner kan bare gjøres ved å ta ut vesentlige funksjoner i prosjektet. For å sluttføre prosjektet rasj</w:t>
      </w:r>
      <w:r>
        <w:t>o</w:t>
      </w:r>
      <w:r>
        <w:t xml:space="preserve">nelt, og for ikke å ta ut vesentlige funksjoner, foreslår regjeringen å øke kostnadsrammen med 681,7 mill. kroner til 8 015 mill. kroner, i prisnivå per 1. juli 2020. </w:t>
      </w:r>
    </w:p>
    <w:p w:rsidR="00557A6F" w:rsidRDefault="00557A6F" w:rsidP="00557A6F">
      <w:r>
        <w:t>Nytt livsvitenskapsbygg skal sikre utstrakt tverrfaglig samarbeid for å løse store samfunnsutfor</w:t>
      </w:r>
      <w:r>
        <w:t>d</w:t>
      </w:r>
      <w:r>
        <w:t>ringer innen helse og miljø. Bygget skal blant annet huse Kjemisk institutt, Det matem</w:t>
      </w:r>
      <w:r>
        <w:t>a</w:t>
      </w:r>
      <w:r>
        <w:t>tisk-naturvitenskapelige fakultet, Farmasøytisk institutt og livsvitenskap med blant annet Det m</w:t>
      </w:r>
      <w:r>
        <w:t>e</w:t>
      </w:r>
      <w:r>
        <w:t>disinske fakultet. Prosjektet skal legge til rette for fremragende forskning på tvers av fagområdene. Bygget blir Norges største forsknings- og undervisningsbygg.</w:t>
      </w:r>
    </w:p>
    <w:p w:rsidR="00557A6F" w:rsidRDefault="00557A6F" w:rsidP="00557A6F">
      <w:r>
        <w:t>Bevilgningen foreslås redusert med 309,2 mill. kroner til 1 471,2 mill. kroner.</w:t>
      </w:r>
    </w:p>
    <w:p w:rsidR="00557A6F" w:rsidRDefault="00557A6F" w:rsidP="00557A6F">
      <w:pPr>
        <w:pStyle w:val="b-post"/>
      </w:pPr>
      <w:r>
        <w:t>Post 34 Statens eiendom på Adamstuen, kan overføres</w:t>
      </w:r>
    </w:p>
    <w:p w:rsidR="00557A6F" w:rsidRDefault="00557A6F" w:rsidP="00557A6F">
      <w:r>
        <w:t>Posten inneholder midler til arbeidet med etterbruk og forberedelser til salg av statens eiendom på Adamstuen i Oslo. Som en følge av samlokalisering av virksomheter i nye bygg ved NMBU på Ås, fraflyttes statens lokaler som NMBU, Veterinærinstituttet og Mattilsynet i dag benytter på Adam</w:t>
      </w:r>
      <w:r>
        <w:t>s</w:t>
      </w:r>
      <w:r>
        <w:t xml:space="preserve">tuen. Dette skjer etter planen andre halvår 2020. Statsbygg er gitt i oppdrag å selge eiendommen. </w:t>
      </w:r>
    </w:p>
    <w:p w:rsidR="00557A6F" w:rsidRDefault="00557A6F" w:rsidP="00557A6F">
      <w:r>
        <w:t>Bevilgningen foreslås videreført med 7,5 mill. kroner.</w:t>
      </w:r>
    </w:p>
    <w:p w:rsidR="00557A6F" w:rsidRDefault="00557A6F" w:rsidP="00557A6F">
      <w:pPr>
        <w:pStyle w:val="b-post"/>
      </w:pPr>
      <w:r>
        <w:lastRenderedPageBreak/>
        <w:t>Post 36 Kunstnerisk utsmykking, kan overføres</w:t>
      </w:r>
    </w:p>
    <w:p w:rsidR="00557A6F" w:rsidRDefault="00557A6F" w:rsidP="00557A6F">
      <w:r>
        <w:t>Posten inneholder midler til kunstnerisk utsmykking i statlige bygg, også for byggeprosjekter på kap. 2445 Statsbygg. Kostnader til kunstnerisk utsmykking tas ikke inn i grunnlaget for husleieb</w:t>
      </w:r>
      <w:r>
        <w:t>e</w:t>
      </w:r>
      <w:r>
        <w:t>regningen.</w:t>
      </w:r>
    </w:p>
    <w:p w:rsidR="00557A6F" w:rsidRDefault="00557A6F" w:rsidP="00557A6F">
      <w:r>
        <w:t>Bevilgningen for 2018 ble stilt til disposisjon for Kunst i offentlige rom (KORO), som gjennomf</w:t>
      </w:r>
      <w:r>
        <w:t>ø</w:t>
      </w:r>
      <w:r>
        <w:t>rer prosjektene.</w:t>
      </w:r>
    </w:p>
    <w:p w:rsidR="00557A6F" w:rsidRDefault="00557A6F" w:rsidP="00557A6F">
      <w:r>
        <w:t>Bevilgningen foreslås økt med 9 mill. kroner til 28 mill. kroner. Midlene skal benyttes til kunstpr</w:t>
      </w:r>
      <w:r>
        <w:t>o</w:t>
      </w:r>
      <w:r>
        <w:t>sjekter i bygg under oppføring.</w:t>
      </w:r>
    </w:p>
    <w:p w:rsidR="00557A6F" w:rsidRDefault="00557A6F" w:rsidP="00557A6F">
      <w:pPr>
        <w:pStyle w:val="b-post"/>
      </w:pPr>
      <w:r>
        <w:t>Post 45 Større utstyrsanskaffelser og vedlikehold, kan overføres</w:t>
      </w:r>
    </w:p>
    <w:p w:rsidR="00557A6F" w:rsidRDefault="00557A6F" w:rsidP="00557A6F">
      <w:r>
        <w:t>Bevilgningen på posten gjelder anskaffelse av brukerutstyr til byggeprosjektene i de tilfeller Stat</w:t>
      </w:r>
      <w:r>
        <w:t>s</w:t>
      </w:r>
      <w:r>
        <w:t>bygg gis i oppdrag å prosjektere og anskaffe dette. Bevilgningen gjelder også brukerutstyr i bygg</w:t>
      </w:r>
      <w:r>
        <w:t>e</w:t>
      </w:r>
      <w:r>
        <w:t>prosjekter som bevilges over kap. 2445 Statsbygg, fordi kostnader til brukerutstyr ikke husleieb</w:t>
      </w:r>
      <w:r>
        <w:t>e</w:t>
      </w:r>
      <w:r>
        <w:t xml:space="preserve">regnes. </w:t>
      </w:r>
    </w:p>
    <w:p w:rsidR="00557A6F" w:rsidRDefault="00557A6F" w:rsidP="00557A6F">
      <w:r>
        <w:t>I 2018 ble midlene benyttet til brukerutstyr til det nye Nasjonalmuseet i Oslo, til nye bygg ved NMBU på Ås og livsvitenskap ved UiO. Videre ble midlene brukt til prosjektering av brukerutstyr til Nationaltheatret og Veksthuset ved UiO. Brukerutstyr til det nye Nasjonalmuseet i Oslo ferdi</w:t>
      </w:r>
      <w:r>
        <w:t>g</w:t>
      </w:r>
      <w:r>
        <w:t>stilles for det vesentligste i 2019. Kostnad</w:t>
      </w:r>
      <w:r>
        <w:t>s</w:t>
      </w:r>
      <w:r>
        <w:t>rammene for brukerutstyrsprosjektene ved NMBU og livsvitenskap ved UiO er henholdsvis 1 209,1 mill. kroner og 1 185,3 mill. kroner (prisnivå per 1. juli 2020).</w:t>
      </w:r>
    </w:p>
    <w:p w:rsidR="00557A6F" w:rsidRDefault="00557A6F" w:rsidP="00557A6F">
      <w:pPr>
        <w:pStyle w:val="avsnitt-tittel"/>
      </w:pPr>
      <w:r>
        <w:t>Budsjettforslag</w:t>
      </w:r>
    </w:p>
    <w:p w:rsidR="00557A6F" w:rsidRDefault="00557A6F" w:rsidP="00557A6F">
      <w:r>
        <w:t>Bevilgningene foreslås videreført til brukerutstyr for NMBU og Veterinærinstituttets nybygg på Ås, til nytt livsvitenskapsbygg ved UiO og til prosjektering av brukerutstyr for Nationaltheatret. Anslått behov er 676,6 mill. kroner til NMBU og Veterinærinstituttet, 40 mill. kroner til livsvite</w:t>
      </w:r>
      <w:r>
        <w:t>n</w:t>
      </w:r>
      <w:r>
        <w:t>skapsbygget og 10 mill. kroner til Nationaltheatret. Forventet ferdigstillelse for prosjektene er henholdsvis tredje kvartal 2020, fjerde kvartal 2024 og andre kvartal 2021</w:t>
      </w:r>
      <w:proofErr w:type="gramStart"/>
      <w:r>
        <w:t>.Videre</w:t>
      </w:r>
      <w:proofErr w:type="gramEnd"/>
      <w:r>
        <w:t xml:space="preserve"> er det anslått et behov på 77 mill. kroner til sluttføring av brukerutstyr til Nasjonalmuseet. </w:t>
      </w:r>
    </w:p>
    <w:p w:rsidR="00557A6F" w:rsidRDefault="00557A6F" w:rsidP="00557A6F">
      <w:r>
        <w:t>Det foreslås å bevilge 5 mill. kroner til brukerutstyr til nybygg til Vikingtidsmuseet ved UiO. Det f</w:t>
      </w:r>
      <w:r>
        <w:t>o</w:t>
      </w:r>
      <w:r>
        <w:t xml:space="preserve">reslås en kostnadsramme på 268,6 mill. kroner (prisnivå per 1. juli 2020). </w:t>
      </w:r>
    </w:p>
    <w:p w:rsidR="00557A6F" w:rsidRDefault="00557A6F" w:rsidP="00557A6F">
      <w:r>
        <w:t xml:space="preserve">I tillegg foreslås det bevilgninger på 1 mill. kroner til prosjektering av brukerutstyr ved Campus NTNU og 20 mill. kroner til Ocean Space Laboratories. </w:t>
      </w:r>
    </w:p>
    <w:p w:rsidR="00557A6F" w:rsidRDefault="00557A6F" w:rsidP="00557A6F">
      <w:r>
        <w:t>Samlet foreslås det en bevilgning på 829,6 mill. kroner.</w:t>
      </w:r>
    </w:p>
    <w:p w:rsidR="00557A6F" w:rsidRDefault="00557A6F" w:rsidP="00557A6F">
      <w:pPr>
        <w:pStyle w:val="b-budkaptit"/>
      </w:pPr>
      <w:r>
        <w:t>Kap. 531 Eiendommer til kongelige formål</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7A6F" w:rsidTr="00557A6F">
        <w:trPr>
          <w:trHeight w:val="640"/>
        </w:trPr>
        <w:tc>
          <w:tcPr>
            <w:tcW w:w="1140" w:type="dxa"/>
            <w:shd w:val="clear" w:color="auto" w:fill="FFFFFF"/>
          </w:tcPr>
          <w:p w:rsidR="00557A6F" w:rsidRDefault="00557A6F" w:rsidP="00557A6F">
            <w:pPr>
              <w:pStyle w:val="Tabellnavn"/>
            </w:pPr>
            <w:r>
              <w:t>KPAL</w:t>
            </w:r>
          </w:p>
        </w:tc>
        <w:tc>
          <w:tcPr>
            <w:tcW w:w="4560" w:type="dxa"/>
          </w:tcPr>
          <w:p w:rsidR="00557A6F" w:rsidRDefault="00557A6F" w:rsidP="00557A6F"/>
        </w:tc>
        <w:tc>
          <w:tcPr>
            <w:tcW w:w="1140" w:type="dxa"/>
          </w:tcPr>
          <w:p w:rsidR="00557A6F" w:rsidRDefault="00557A6F" w:rsidP="00557A6F">
            <w:pPr>
              <w:pStyle w:val="Tabellnavn"/>
              <w:jc w:val="right"/>
            </w:pPr>
          </w:p>
        </w:tc>
        <w:tc>
          <w:tcPr>
            <w:tcW w:w="1140" w:type="dxa"/>
          </w:tcPr>
          <w:p w:rsidR="00557A6F" w:rsidRDefault="00557A6F" w:rsidP="00557A6F">
            <w:pPr>
              <w:pStyle w:val="Tabellnavn"/>
              <w:jc w:val="right"/>
            </w:pPr>
          </w:p>
        </w:tc>
        <w:tc>
          <w:tcPr>
            <w:tcW w:w="1140" w:type="dxa"/>
          </w:tcPr>
          <w:p w:rsidR="00557A6F" w:rsidRDefault="00557A6F" w:rsidP="00557A6F">
            <w:pPr>
              <w:jc w:val="right"/>
            </w:pPr>
            <w:r>
              <w:t>(i 1 000 kr)</w:t>
            </w:r>
          </w:p>
        </w:tc>
      </w:tr>
      <w:tr w:rsidR="00557A6F" w:rsidTr="00557A6F">
        <w:trPr>
          <w:trHeight w:val="600"/>
        </w:trPr>
        <w:tc>
          <w:tcPr>
            <w:tcW w:w="1140" w:type="dxa"/>
          </w:tcPr>
          <w:p w:rsidR="00557A6F" w:rsidRDefault="00557A6F" w:rsidP="00557A6F">
            <w:r>
              <w:t>Post</w:t>
            </w:r>
          </w:p>
        </w:tc>
        <w:tc>
          <w:tcPr>
            <w:tcW w:w="4560" w:type="dxa"/>
          </w:tcPr>
          <w:p w:rsidR="00557A6F" w:rsidRDefault="00557A6F" w:rsidP="00557A6F">
            <w:r>
              <w:t>Betegnelse</w:t>
            </w:r>
          </w:p>
        </w:tc>
        <w:tc>
          <w:tcPr>
            <w:tcW w:w="1140" w:type="dxa"/>
          </w:tcPr>
          <w:p w:rsidR="00557A6F" w:rsidRDefault="00557A6F" w:rsidP="00557A6F">
            <w:pPr>
              <w:jc w:val="right"/>
            </w:pPr>
            <w:r>
              <w:t>Regnskap 2018</w:t>
            </w:r>
          </w:p>
        </w:tc>
        <w:tc>
          <w:tcPr>
            <w:tcW w:w="1140" w:type="dxa"/>
          </w:tcPr>
          <w:p w:rsidR="00557A6F" w:rsidRDefault="00557A6F" w:rsidP="00557A6F">
            <w:pPr>
              <w:jc w:val="right"/>
            </w:pPr>
            <w:r>
              <w:t xml:space="preserve">Saldert </w:t>
            </w:r>
            <w:r>
              <w:br/>
              <w:t>budsjett 2019</w:t>
            </w:r>
          </w:p>
        </w:tc>
        <w:tc>
          <w:tcPr>
            <w:tcW w:w="1140" w:type="dxa"/>
          </w:tcPr>
          <w:p w:rsidR="00557A6F" w:rsidRDefault="00557A6F" w:rsidP="00557A6F">
            <w:pPr>
              <w:jc w:val="right"/>
            </w:pPr>
            <w:r>
              <w:t xml:space="preserve">Forslag </w:t>
            </w:r>
            <w:r>
              <w:br/>
              <w:t>2020</w:t>
            </w:r>
          </w:p>
        </w:tc>
      </w:tr>
      <w:tr w:rsidR="00557A6F" w:rsidTr="00557A6F">
        <w:trPr>
          <w:trHeight w:val="380"/>
        </w:trPr>
        <w:tc>
          <w:tcPr>
            <w:tcW w:w="1140" w:type="dxa"/>
          </w:tcPr>
          <w:p w:rsidR="00557A6F" w:rsidRDefault="00557A6F" w:rsidP="00557A6F">
            <w:r>
              <w:t>01</w:t>
            </w:r>
          </w:p>
        </w:tc>
        <w:tc>
          <w:tcPr>
            <w:tcW w:w="4560" w:type="dxa"/>
          </w:tcPr>
          <w:p w:rsidR="00557A6F" w:rsidRDefault="00557A6F" w:rsidP="00557A6F">
            <w:r>
              <w:t xml:space="preserve">Driftsutgifter </w:t>
            </w:r>
          </w:p>
        </w:tc>
        <w:tc>
          <w:tcPr>
            <w:tcW w:w="1140" w:type="dxa"/>
          </w:tcPr>
          <w:p w:rsidR="00557A6F" w:rsidRDefault="00557A6F" w:rsidP="00557A6F">
            <w:pPr>
              <w:jc w:val="right"/>
            </w:pPr>
            <w:r>
              <w:t>26 418</w:t>
            </w:r>
          </w:p>
        </w:tc>
        <w:tc>
          <w:tcPr>
            <w:tcW w:w="1140" w:type="dxa"/>
          </w:tcPr>
          <w:p w:rsidR="00557A6F" w:rsidRDefault="00557A6F" w:rsidP="00557A6F">
            <w:pPr>
              <w:jc w:val="right"/>
            </w:pPr>
            <w:r>
              <w:t>26 765</w:t>
            </w:r>
          </w:p>
        </w:tc>
        <w:tc>
          <w:tcPr>
            <w:tcW w:w="1140" w:type="dxa"/>
          </w:tcPr>
          <w:p w:rsidR="00557A6F" w:rsidRDefault="00557A6F" w:rsidP="00557A6F">
            <w:pPr>
              <w:jc w:val="right"/>
            </w:pPr>
            <w:r>
              <w:t>27 207</w:t>
            </w:r>
          </w:p>
        </w:tc>
      </w:tr>
      <w:tr w:rsidR="00557A6F" w:rsidTr="00557A6F">
        <w:trPr>
          <w:trHeight w:val="640"/>
        </w:trPr>
        <w:tc>
          <w:tcPr>
            <w:tcW w:w="1140" w:type="dxa"/>
          </w:tcPr>
          <w:p w:rsidR="00557A6F" w:rsidRDefault="00557A6F" w:rsidP="00557A6F">
            <w:r>
              <w:t>45</w:t>
            </w:r>
          </w:p>
        </w:tc>
        <w:tc>
          <w:tcPr>
            <w:tcW w:w="4560" w:type="dxa"/>
          </w:tcPr>
          <w:p w:rsidR="00557A6F" w:rsidRDefault="00557A6F" w:rsidP="00557A6F">
            <w:r>
              <w:t>Større utstyrsanskaffelser og vedlikehold</w:t>
            </w:r>
            <w:r>
              <w:rPr>
                <w:rStyle w:val="kursiv"/>
                <w:sz w:val="21"/>
                <w:szCs w:val="21"/>
              </w:rPr>
              <w:t xml:space="preserve">, </w:t>
            </w:r>
            <w:r>
              <w:rPr>
                <w:rStyle w:val="kursiv"/>
                <w:sz w:val="21"/>
                <w:szCs w:val="21"/>
              </w:rPr>
              <w:br/>
              <w:t xml:space="preserve">kan overføres </w:t>
            </w:r>
          </w:p>
        </w:tc>
        <w:tc>
          <w:tcPr>
            <w:tcW w:w="1140" w:type="dxa"/>
          </w:tcPr>
          <w:p w:rsidR="00557A6F" w:rsidRDefault="00557A6F" w:rsidP="00557A6F">
            <w:pPr>
              <w:jc w:val="right"/>
            </w:pPr>
            <w:r>
              <w:t>31 765</w:t>
            </w:r>
          </w:p>
        </w:tc>
        <w:tc>
          <w:tcPr>
            <w:tcW w:w="1140" w:type="dxa"/>
          </w:tcPr>
          <w:p w:rsidR="00557A6F" w:rsidRDefault="00557A6F" w:rsidP="00557A6F">
            <w:pPr>
              <w:jc w:val="right"/>
            </w:pPr>
            <w:r>
              <w:t>94 683</w:t>
            </w:r>
          </w:p>
        </w:tc>
        <w:tc>
          <w:tcPr>
            <w:tcW w:w="1140" w:type="dxa"/>
          </w:tcPr>
          <w:p w:rsidR="00557A6F" w:rsidRDefault="00557A6F" w:rsidP="00557A6F">
            <w:pPr>
              <w:jc w:val="right"/>
            </w:pPr>
            <w:r>
              <w:t>63 605</w:t>
            </w:r>
          </w:p>
        </w:tc>
      </w:tr>
      <w:tr w:rsidR="00557A6F" w:rsidTr="00557A6F">
        <w:trPr>
          <w:trHeight w:val="380"/>
        </w:trPr>
        <w:tc>
          <w:tcPr>
            <w:tcW w:w="1140" w:type="dxa"/>
          </w:tcPr>
          <w:p w:rsidR="00557A6F" w:rsidRDefault="00557A6F" w:rsidP="00557A6F"/>
        </w:tc>
        <w:tc>
          <w:tcPr>
            <w:tcW w:w="4560" w:type="dxa"/>
          </w:tcPr>
          <w:p w:rsidR="00557A6F" w:rsidRDefault="00557A6F" w:rsidP="00557A6F">
            <w:r>
              <w:t>Sum kap. 0531</w:t>
            </w:r>
          </w:p>
        </w:tc>
        <w:tc>
          <w:tcPr>
            <w:tcW w:w="1140" w:type="dxa"/>
          </w:tcPr>
          <w:p w:rsidR="00557A6F" w:rsidRDefault="00557A6F" w:rsidP="00557A6F">
            <w:pPr>
              <w:jc w:val="right"/>
            </w:pPr>
            <w:r>
              <w:t>58 183</w:t>
            </w:r>
          </w:p>
        </w:tc>
        <w:tc>
          <w:tcPr>
            <w:tcW w:w="1140" w:type="dxa"/>
          </w:tcPr>
          <w:p w:rsidR="00557A6F" w:rsidRDefault="00557A6F" w:rsidP="00557A6F">
            <w:pPr>
              <w:jc w:val="right"/>
            </w:pPr>
            <w:r>
              <w:t>121 448</w:t>
            </w:r>
          </w:p>
        </w:tc>
        <w:tc>
          <w:tcPr>
            <w:tcW w:w="1140" w:type="dxa"/>
          </w:tcPr>
          <w:p w:rsidR="00557A6F" w:rsidRDefault="00557A6F" w:rsidP="00557A6F">
            <w:pPr>
              <w:jc w:val="right"/>
            </w:pPr>
            <w:r>
              <w:t>90 812</w:t>
            </w:r>
          </w:p>
        </w:tc>
      </w:tr>
    </w:tbl>
    <w:p w:rsidR="00557A6F" w:rsidRDefault="00557A6F" w:rsidP="00557A6F">
      <w:r>
        <w:t>H.M. Kongen har disposisjonsrett til Det kongelige slott, hovedhuset på Bygdø kongsgård med sideby</w:t>
      </w:r>
      <w:r>
        <w:t>g</w:t>
      </w:r>
      <w:r>
        <w:t>ning og park, Oscarshall slott, Stiftsgården i Trondheim og Gamlehaugen i Bergen. Ved Stiftsgården og Gamlehaugen har staten ved Statsbygg ansvaret for bygninger, interiør og ute</w:t>
      </w:r>
      <w:r>
        <w:t>n</w:t>
      </w:r>
      <w:r>
        <w:t>dørsanlegg. Ved eiendommene i Oslo har Statsbygg ansvaret for ytre vedlikehold, tekniske insta</w:t>
      </w:r>
      <w:r>
        <w:t>l</w:t>
      </w:r>
      <w:r>
        <w:t>lasjoner og større vedlikeholdsarbeider, mens Det kongelige hoff har ansvaret for innvendig vedl</w:t>
      </w:r>
      <w:r>
        <w:t>i</w:t>
      </w:r>
      <w:r>
        <w:t>kehold og parkanlegg. Eie</w:t>
      </w:r>
      <w:r>
        <w:t>n</w:t>
      </w:r>
      <w:r>
        <w:lastRenderedPageBreak/>
        <w:t>dommene representerer store kulturhistoriske verdier. Det kongelige hoff og Statsbygg har et nært sa</w:t>
      </w:r>
      <w:r>
        <w:t>m</w:t>
      </w:r>
      <w:r>
        <w:t xml:space="preserve">arbeid med Riksantikvaren om forvaltning av eiendommene. </w:t>
      </w:r>
    </w:p>
    <w:p w:rsidR="00557A6F" w:rsidRDefault="00557A6F" w:rsidP="00557A6F">
      <w:pPr>
        <w:pStyle w:val="b-post"/>
      </w:pPr>
      <w:r>
        <w:t>Post 01 Driftsutgifter</w:t>
      </w:r>
    </w:p>
    <w:p w:rsidR="00557A6F" w:rsidRDefault="00557A6F" w:rsidP="00557A6F">
      <w:r>
        <w:t>Bevilgningen skal dekke statens kostnader til forvaltning, drift og vedlikehold av statlige eie</w:t>
      </w:r>
      <w:r>
        <w:t>n</w:t>
      </w:r>
      <w:r>
        <w:t>dommer som H.M. Kongen har disposisjonsrett til. Vedlikeholdsarbeidene skjer i nært samarbeid med Det kong</w:t>
      </w:r>
      <w:r>
        <w:t>e</w:t>
      </w:r>
      <w:r>
        <w:t xml:space="preserve">lige hoff. </w:t>
      </w:r>
    </w:p>
    <w:p w:rsidR="00557A6F" w:rsidRDefault="00557A6F" w:rsidP="00557A6F">
      <w:r>
        <w:t>Det foreslås en bevilgning på 27,2 mill. kroner, inkludert endringer som følge av avbyråkratis</w:t>
      </w:r>
      <w:r>
        <w:t>e</w:t>
      </w:r>
      <w:r>
        <w:t>rings- og effekt</w:t>
      </w:r>
      <w:r>
        <w:t>i</w:t>
      </w:r>
      <w:r>
        <w:t>viseringsreformen og lønns- og prisjustering.</w:t>
      </w:r>
    </w:p>
    <w:p w:rsidR="00557A6F" w:rsidRDefault="00557A6F" w:rsidP="00557A6F">
      <w:pPr>
        <w:pStyle w:val="b-post"/>
      </w:pPr>
      <w:r>
        <w:t>Post 45 Større utstyrsanskaffelser og vedlikehold, kan overføres</w:t>
      </w:r>
    </w:p>
    <w:p w:rsidR="00557A6F" w:rsidRDefault="00557A6F" w:rsidP="00557A6F">
      <w:r>
        <w:t xml:space="preserve">Bevilgningen skal dekke bygningsmessige arbeider. </w:t>
      </w:r>
    </w:p>
    <w:p w:rsidR="00557A6F" w:rsidRDefault="00557A6F" w:rsidP="00557A6F">
      <w:r>
        <w:t xml:space="preserve">I 2018 ble midlene hovedsakelig benyttet til logistikkbygg ved Det kongelige slott, rehabilitering av vinduer og fasader ved Gamlehaugen i Bergen og rehabilitering av Stallbygningen ved Det kongelige slott. </w:t>
      </w:r>
    </w:p>
    <w:p w:rsidR="00557A6F" w:rsidRDefault="00557A6F" w:rsidP="00557A6F">
      <w:pPr>
        <w:pStyle w:val="avsnitt-tittel"/>
      </w:pPr>
      <w:r>
        <w:t>Budsjettforslag</w:t>
      </w:r>
    </w:p>
    <w:p w:rsidR="00557A6F" w:rsidRDefault="00557A6F" w:rsidP="00557A6F">
      <w:r>
        <w:t>For 2020 foreslås det å bruke 16,6 mill. kroner til investeringer på statens kongelige eiendommer. I tillegg foreslås 20 mill. kroner til rehabiliteringstiltak ved Gamlehaugen og Ridehuset ved Det kongelige slott.</w:t>
      </w:r>
    </w:p>
    <w:p w:rsidR="00557A6F" w:rsidRDefault="00557A6F" w:rsidP="00557A6F">
      <w:r>
        <w:t>Videre foreslås 27 mill. kroner til nytt logistikkbygg som er under arbeid, jf. omtale over. Formålet er å etablere et post- og varemottak, i tråd med Politidirektoratets anbefalte sikkerhetstiltak. Pr</w:t>
      </w:r>
      <w:r>
        <w:t>o</w:t>
      </w:r>
      <w:r>
        <w:t xml:space="preserve">sjektet har en kostnadsramme på 124,8 mill. kroner (prisnivå per 1. juli 2020). Bygget er planlagt ferdigstilt i 2020. </w:t>
      </w:r>
    </w:p>
    <w:p w:rsidR="00557A6F" w:rsidRDefault="00557A6F" w:rsidP="00557A6F">
      <w:r>
        <w:t>Samlet foreslås det en bevilgning på 63,6 mill. kroner.</w:t>
      </w:r>
    </w:p>
    <w:p w:rsidR="00557A6F" w:rsidRDefault="00557A6F" w:rsidP="00557A6F">
      <w:pPr>
        <w:pStyle w:val="b-budkaptit"/>
      </w:pPr>
      <w:r>
        <w:t>Kap. 532 Utvikling av Fornebuområdet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7A6F" w:rsidTr="00557A6F">
        <w:trPr>
          <w:trHeight w:val="640"/>
        </w:trPr>
        <w:tc>
          <w:tcPr>
            <w:tcW w:w="1140" w:type="dxa"/>
            <w:shd w:val="clear" w:color="auto" w:fill="FFFFFF"/>
          </w:tcPr>
          <w:p w:rsidR="00557A6F" w:rsidRDefault="00557A6F" w:rsidP="00557A6F">
            <w:pPr>
              <w:pStyle w:val="Tabellnavn"/>
            </w:pPr>
            <w:r>
              <w:t>KPAL</w:t>
            </w:r>
          </w:p>
        </w:tc>
        <w:tc>
          <w:tcPr>
            <w:tcW w:w="4560" w:type="dxa"/>
          </w:tcPr>
          <w:p w:rsidR="00557A6F" w:rsidRDefault="00557A6F" w:rsidP="00557A6F"/>
        </w:tc>
        <w:tc>
          <w:tcPr>
            <w:tcW w:w="1140" w:type="dxa"/>
          </w:tcPr>
          <w:p w:rsidR="00557A6F" w:rsidRDefault="00557A6F" w:rsidP="00557A6F">
            <w:pPr>
              <w:pStyle w:val="Tabellnavn"/>
              <w:jc w:val="right"/>
            </w:pPr>
          </w:p>
        </w:tc>
        <w:tc>
          <w:tcPr>
            <w:tcW w:w="1140" w:type="dxa"/>
          </w:tcPr>
          <w:p w:rsidR="00557A6F" w:rsidRDefault="00557A6F" w:rsidP="00557A6F">
            <w:pPr>
              <w:pStyle w:val="Tabellnavn"/>
              <w:jc w:val="right"/>
            </w:pPr>
          </w:p>
        </w:tc>
        <w:tc>
          <w:tcPr>
            <w:tcW w:w="1140" w:type="dxa"/>
          </w:tcPr>
          <w:p w:rsidR="00557A6F" w:rsidRDefault="00557A6F" w:rsidP="00557A6F">
            <w:pPr>
              <w:jc w:val="right"/>
            </w:pPr>
            <w:r>
              <w:t>(i 1 000 kr)</w:t>
            </w:r>
          </w:p>
        </w:tc>
      </w:tr>
      <w:tr w:rsidR="00557A6F" w:rsidTr="00557A6F">
        <w:trPr>
          <w:trHeight w:val="600"/>
        </w:trPr>
        <w:tc>
          <w:tcPr>
            <w:tcW w:w="1140" w:type="dxa"/>
          </w:tcPr>
          <w:p w:rsidR="00557A6F" w:rsidRDefault="00557A6F" w:rsidP="00557A6F">
            <w:r>
              <w:t>Post</w:t>
            </w:r>
          </w:p>
        </w:tc>
        <w:tc>
          <w:tcPr>
            <w:tcW w:w="4560" w:type="dxa"/>
          </w:tcPr>
          <w:p w:rsidR="00557A6F" w:rsidRDefault="00557A6F" w:rsidP="00557A6F">
            <w:r>
              <w:t>Betegnelse</w:t>
            </w:r>
          </w:p>
        </w:tc>
        <w:tc>
          <w:tcPr>
            <w:tcW w:w="1140" w:type="dxa"/>
          </w:tcPr>
          <w:p w:rsidR="00557A6F" w:rsidRDefault="00557A6F" w:rsidP="00557A6F">
            <w:pPr>
              <w:jc w:val="right"/>
            </w:pPr>
            <w:r>
              <w:t>Regnskap 2018</w:t>
            </w:r>
          </w:p>
        </w:tc>
        <w:tc>
          <w:tcPr>
            <w:tcW w:w="1140" w:type="dxa"/>
          </w:tcPr>
          <w:p w:rsidR="00557A6F" w:rsidRDefault="00557A6F" w:rsidP="00557A6F">
            <w:pPr>
              <w:jc w:val="right"/>
            </w:pPr>
            <w:r>
              <w:t>Saldert</w:t>
            </w:r>
            <w:r>
              <w:br/>
              <w:t xml:space="preserve"> budsjett 2019</w:t>
            </w:r>
          </w:p>
        </w:tc>
        <w:tc>
          <w:tcPr>
            <w:tcW w:w="1140" w:type="dxa"/>
          </w:tcPr>
          <w:p w:rsidR="00557A6F" w:rsidRDefault="00557A6F" w:rsidP="00557A6F">
            <w:pPr>
              <w:jc w:val="right"/>
            </w:pPr>
            <w:r>
              <w:t xml:space="preserve">Forslag </w:t>
            </w:r>
            <w:r>
              <w:br/>
              <w:t>2020</w:t>
            </w:r>
          </w:p>
        </w:tc>
      </w:tr>
      <w:tr w:rsidR="00557A6F" w:rsidTr="00557A6F">
        <w:trPr>
          <w:trHeight w:val="380"/>
        </w:trPr>
        <w:tc>
          <w:tcPr>
            <w:tcW w:w="1140" w:type="dxa"/>
          </w:tcPr>
          <w:p w:rsidR="00557A6F" w:rsidRDefault="00557A6F" w:rsidP="00557A6F">
            <w:r>
              <w:t>21</w:t>
            </w:r>
          </w:p>
        </w:tc>
        <w:tc>
          <w:tcPr>
            <w:tcW w:w="4560" w:type="dxa"/>
          </w:tcPr>
          <w:p w:rsidR="00557A6F" w:rsidRDefault="00557A6F" w:rsidP="00557A6F">
            <w:r>
              <w:t>Spesielle driftsutgifter</w:t>
            </w:r>
            <w:r>
              <w:rPr>
                <w:rStyle w:val="kursiv"/>
                <w:sz w:val="21"/>
                <w:szCs w:val="21"/>
              </w:rPr>
              <w:t xml:space="preserve">, kan overføres </w:t>
            </w:r>
          </w:p>
        </w:tc>
        <w:tc>
          <w:tcPr>
            <w:tcW w:w="1140" w:type="dxa"/>
          </w:tcPr>
          <w:p w:rsidR="00557A6F" w:rsidRDefault="00557A6F" w:rsidP="00557A6F">
            <w:pPr>
              <w:jc w:val="right"/>
            </w:pPr>
            <w:r>
              <w:t>162</w:t>
            </w:r>
          </w:p>
        </w:tc>
        <w:tc>
          <w:tcPr>
            <w:tcW w:w="1140" w:type="dxa"/>
          </w:tcPr>
          <w:p w:rsidR="00557A6F" w:rsidRDefault="00557A6F" w:rsidP="00557A6F">
            <w:pPr>
              <w:jc w:val="right"/>
            </w:pPr>
            <w:r>
              <w:t>97</w:t>
            </w:r>
          </w:p>
        </w:tc>
        <w:tc>
          <w:tcPr>
            <w:tcW w:w="1140" w:type="dxa"/>
          </w:tcPr>
          <w:p w:rsidR="00557A6F" w:rsidRDefault="00557A6F" w:rsidP="00557A6F">
            <w:pPr>
              <w:jc w:val="right"/>
            </w:pPr>
            <w:r>
              <w:t>97</w:t>
            </w:r>
          </w:p>
        </w:tc>
      </w:tr>
      <w:tr w:rsidR="00557A6F" w:rsidTr="00557A6F">
        <w:trPr>
          <w:trHeight w:val="380"/>
        </w:trPr>
        <w:tc>
          <w:tcPr>
            <w:tcW w:w="1140" w:type="dxa"/>
          </w:tcPr>
          <w:p w:rsidR="00557A6F" w:rsidRDefault="00557A6F" w:rsidP="00557A6F">
            <w:r>
              <w:t>30</w:t>
            </w:r>
          </w:p>
        </w:tc>
        <w:tc>
          <w:tcPr>
            <w:tcW w:w="4560" w:type="dxa"/>
          </w:tcPr>
          <w:p w:rsidR="00557A6F" w:rsidRDefault="00557A6F" w:rsidP="00557A6F">
            <w:r>
              <w:t>Investeringer</w:t>
            </w:r>
            <w:r>
              <w:rPr>
                <w:rStyle w:val="kursiv"/>
                <w:sz w:val="21"/>
                <w:szCs w:val="21"/>
              </w:rPr>
              <w:t xml:space="preserve">, kan overføres </w:t>
            </w:r>
          </w:p>
        </w:tc>
        <w:tc>
          <w:tcPr>
            <w:tcW w:w="1140" w:type="dxa"/>
          </w:tcPr>
          <w:p w:rsidR="00557A6F" w:rsidRDefault="00557A6F" w:rsidP="00557A6F">
            <w:pPr>
              <w:jc w:val="right"/>
            </w:pPr>
            <w:r>
              <w:t>4</w:t>
            </w:r>
          </w:p>
        </w:tc>
        <w:tc>
          <w:tcPr>
            <w:tcW w:w="1140" w:type="dxa"/>
          </w:tcPr>
          <w:p w:rsidR="00557A6F" w:rsidRDefault="00557A6F" w:rsidP="00557A6F">
            <w:pPr>
              <w:jc w:val="right"/>
            </w:pPr>
            <w:r>
              <w:t>6 000</w:t>
            </w:r>
          </w:p>
        </w:tc>
        <w:tc>
          <w:tcPr>
            <w:tcW w:w="1140" w:type="dxa"/>
          </w:tcPr>
          <w:p w:rsidR="00557A6F" w:rsidRDefault="00557A6F" w:rsidP="00557A6F">
            <w:pPr>
              <w:jc w:val="right"/>
            </w:pPr>
            <w:r>
              <w:t>200</w:t>
            </w:r>
          </w:p>
        </w:tc>
      </w:tr>
      <w:tr w:rsidR="00557A6F" w:rsidTr="00557A6F">
        <w:trPr>
          <w:trHeight w:val="380"/>
        </w:trPr>
        <w:tc>
          <w:tcPr>
            <w:tcW w:w="1140" w:type="dxa"/>
          </w:tcPr>
          <w:p w:rsidR="00557A6F" w:rsidRDefault="00557A6F" w:rsidP="00557A6F"/>
        </w:tc>
        <w:tc>
          <w:tcPr>
            <w:tcW w:w="4560" w:type="dxa"/>
          </w:tcPr>
          <w:p w:rsidR="00557A6F" w:rsidRDefault="00557A6F" w:rsidP="00557A6F">
            <w:r>
              <w:t>Sum kap. 0532</w:t>
            </w:r>
          </w:p>
        </w:tc>
        <w:tc>
          <w:tcPr>
            <w:tcW w:w="1140" w:type="dxa"/>
          </w:tcPr>
          <w:p w:rsidR="00557A6F" w:rsidRDefault="00557A6F" w:rsidP="00557A6F">
            <w:pPr>
              <w:jc w:val="right"/>
            </w:pPr>
            <w:r>
              <w:t>166</w:t>
            </w:r>
          </w:p>
        </w:tc>
        <w:tc>
          <w:tcPr>
            <w:tcW w:w="1140" w:type="dxa"/>
          </w:tcPr>
          <w:p w:rsidR="00557A6F" w:rsidRDefault="00557A6F" w:rsidP="00557A6F">
            <w:pPr>
              <w:jc w:val="right"/>
            </w:pPr>
            <w:r>
              <w:t>6 097</w:t>
            </w:r>
          </w:p>
        </w:tc>
        <w:tc>
          <w:tcPr>
            <w:tcW w:w="1140" w:type="dxa"/>
          </w:tcPr>
          <w:p w:rsidR="00557A6F" w:rsidRDefault="00557A6F" w:rsidP="00557A6F">
            <w:pPr>
              <w:jc w:val="right"/>
            </w:pPr>
            <w:r>
              <w:t>297</w:t>
            </w:r>
          </w:p>
        </w:tc>
      </w:tr>
    </w:tbl>
    <w:p w:rsidR="00557A6F" w:rsidRDefault="00557A6F" w:rsidP="00557A6F">
      <w:r>
        <w:t>Staten har, som stor eiendomsbesitter på den tidligere hovedflyplassen på Fornebu i Bærum ko</w:t>
      </w:r>
      <w:r>
        <w:t>m</w:t>
      </w:r>
      <w:r>
        <w:t>mune, deltatt i utviklingen av området til boligformål, næringsvirksomhet, offentlige formål og rekreasjon. Statens oppgaver er i all hovedsak gjennomført. Utbyggingen av infrastruktur og op</w:t>
      </w:r>
      <w:r>
        <w:t>p</w:t>
      </w:r>
      <w:r>
        <w:t>arbeidelse av grønto</w:t>
      </w:r>
      <w:r>
        <w:t>m</w:t>
      </w:r>
      <w:r>
        <w:t>råder på Fornebu skjer i samarbeid mellom staten og Oslo kommune som tidligere grunneiere. Kostn</w:t>
      </w:r>
      <w:r>
        <w:t>a</w:t>
      </w:r>
      <w:r>
        <w:t xml:space="preserve">dene fordeles i tråd med en inngått avtale mellom partene. </w:t>
      </w:r>
    </w:p>
    <w:p w:rsidR="00557A6F" w:rsidRDefault="00557A6F" w:rsidP="00557A6F">
      <w:pPr>
        <w:pStyle w:val="b-post"/>
      </w:pPr>
      <w:r>
        <w:t>Post 21 Spesielle driftsutgifter, kan overføres</w:t>
      </w:r>
    </w:p>
    <w:p w:rsidR="00557A6F" w:rsidRDefault="00557A6F" w:rsidP="00557A6F">
      <w:r>
        <w:t>Bevilgningen skal dekke Statsbyggs driftsutgifter i etterbruksprosjektet på Fornebu. Det foreslås en b</w:t>
      </w:r>
      <w:r>
        <w:t>e</w:t>
      </w:r>
      <w:r>
        <w:t>vilgning på 97 000 kroner.</w:t>
      </w:r>
    </w:p>
    <w:p w:rsidR="00557A6F" w:rsidRDefault="00557A6F" w:rsidP="00557A6F">
      <w:pPr>
        <w:pStyle w:val="b-post"/>
      </w:pPr>
      <w:r>
        <w:lastRenderedPageBreak/>
        <w:t>Post 30 Investeringer, kan overføres</w:t>
      </w:r>
    </w:p>
    <w:p w:rsidR="00557A6F" w:rsidRDefault="00557A6F" w:rsidP="00557A6F">
      <w:r>
        <w:t>Bevilgningen skal dekke statens del av investeringer i infrastruktur og grøntområder på Fornebu og kostnader ved fradeling av tomter etter regulering. Infrastrukturarbeidet tilpasses framdriften i u</w:t>
      </w:r>
      <w:r>
        <w:t>t</w:t>
      </w:r>
      <w:r>
        <w:t>byggingen på Fornebu, noe som har ført til lave utbetalinger i 2018.</w:t>
      </w:r>
    </w:p>
    <w:p w:rsidR="00557A6F" w:rsidRDefault="00557A6F" w:rsidP="00557A6F">
      <w:r>
        <w:t>Det foreslås en bevilgning på 200 000 kroner.</w:t>
      </w:r>
    </w:p>
    <w:p w:rsidR="00557A6F" w:rsidRDefault="00557A6F" w:rsidP="00557A6F">
      <w:pPr>
        <w:pStyle w:val="b-budkaptit"/>
      </w:pPr>
      <w:r>
        <w:t>Kap. 533 Eiendommer utenfor husleieordningen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7A6F" w:rsidTr="00557A6F">
        <w:trPr>
          <w:trHeight w:val="640"/>
        </w:trPr>
        <w:tc>
          <w:tcPr>
            <w:tcW w:w="1140" w:type="dxa"/>
            <w:shd w:val="clear" w:color="auto" w:fill="FFFFFF"/>
          </w:tcPr>
          <w:p w:rsidR="00557A6F" w:rsidRDefault="00557A6F" w:rsidP="00557A6F">
            <w:pPr>
              <w:pStyle w:val="Tabellnavn"/>
            </w:pPr>
            <w:r>
              <w:t>KPAL</w:t>
            </w:r>
          </w:p>
        </w:tc>
        <w:tc>
          <w:tcPr>
            <w:tcW w:w="4560" w:type="dxa"/>
          </w:tcPr>
          <w:p w:rsidR="00557A6F" w:rsidRDefault="00557A6F" w:rsidP="00557A6F"/>
        </w:tc>
        <w:tc>
          <w:tcPr>
            <w:tcW w:w="1140" w:type="dxa"/>
          </w:tcPr>
          <w:p w:rsidR="00557A6F" w:rsidRDefault="00557A6F" w:rsidP="00557A6F">
            <w:pPr>
              <w:pStyle w:val="Tabellnavn"/>
              <w:jc w:val="right"/>
            </w:pPr>
          </w:p>
        </w:tc>
        <w:tc>
          <w:tcPr>
            <w:tcW w:w="1140" w:type="dxa"/>
          </w:tcPr>
          <w:p w:rsidR="00557A6F" w:rsidRDefault="00557A6F" w:rsidP="00557A6F">
            <w:pPr>
              <w:pStyle w:val="Tabellnavn"/>
              <w:jc w:val="right"/>
            </w:pPr>
          </w:p>
        </w:tc>
        <w:tc>
          <w:tcPr>
            <w:tcW w:w="1140" w:type="dxa"/>
          </w:tcPr>
          <w:p w:rsidR="00557A6F" w:rsidRDefault="00557A6F" w:rsidP="00557A6F">
            <w:pPr>
              <w:jc w:val="right"/>
            </w:pPr>
            <w:r>
              <w:t>(i 1 000 kr)</w:t>
            </w:r>
          </w:p>
        </w:tc>
      </w:tr>
      <w:tr w:rsidR="00557A6F" w:rsidTr="00557A6F">
        <w:trPr>
          <w:trHeight w:val="600"/>
        </w:trPr>
        <w:tc>
          <w:tcPr>
            <w:tcW w:w="1140" w:type="dxa"/>
          </w:tcPr>
          <w:p w:rsidR="00557A6F" w:rsidRDefault="00557A6F" w:rsidP="00557A6F">
            <w:r>
              <w:t>Post</w:t>
            </w:r>
          </w:p>
        </w:tc>
        <w:tc>
          <w:tcPr>
            <w:tcW w:w="4560" w:type="dxa"/>
          </w:tcPr>
          <w:p w:rsidR="00557A6F" w:rsidRDefault="00557A6F" w:rsidP="00557A6F">
            <w:r>
              <w:t>Betegnelse</w:t>
            </w:r>
          </w:p>
        </w:tc>
        <w:tc>
          <w:tcPr>
            <w:tcW w:w="1140" w:type="dxa"/>
          </w:tcPr>
          <w:p w:rsidR="00557A6F" w:rsidRDefault="00557A6F" w:rsidP="00557A6F">
            <w:pPr>
              <w:jc w:val="right"/>
            </w:pPr>
            <w:r>
              <w:t>Regnskap 2018</w:t>
            </w:r>
          </w:p>
        </w:tc>
        <w:tc>
          <w:tcPr>
            <w:tcW w:w="1140" w:type="dxa"/>
          </w:tcPr>
          <w:p w:rsidR="00557A6F" w:rsidRDefault="00557A6F" w:rsidP="00557A6F">
            <w:pPr>
              <w:jc w:val="right"/>
            </w:pPr>
            <w:r>
              <w:t xml:space="preserve">Saldert </w:t>
            </w:r>
            <w:r>
              <w:br/>
              <w:t>budsjett 2019</w:t>
            </w:r>
          </w:p>
        </w:tc>
        <w:tc>
          <w:tcPr>
            <w:tcW w:w="1140" w:type="dxa"/>
          </w:tcPr>
          <w:p w:rsidR="00557A6F" w:rsidRDefault="00557A6F" w:rsidP="00557A6F">
            <w:pPr>
              <w:jc w:val="right"/>
            </w:pPr>
            <w:r>
              <w:t xml:space="preserve">Forslag </w:t>
            </w:r>
            <w:r>
              <w:br/>
              <w:t>2020</w:t>
            </w:r>
          </w:p>
        </w:tc>
      </w:tr>
      <w:tr w:rsidR="00557A6F" w:rsidTr="00557A6F">
        <w:trPr>
          <w:trHeight w:val="380"/>
        </w:trPr>
        <w:tc>
          <w:tcPr>
            <w:tcW w:w="1140" w:type="dxa"/>
          </w:tcPr>
          <w:p w:rsidR="00557A6F" w:rsidRDefault="00557A6F" w:rsidP="00557A6F">
            <w:r>
              <w:t>01</w:t>
            </w:r>
          </w:p>
        </w:tc>
        <w:tc>
          <w:tcPr>
            <w:tcW w:w="4560" w:type="dxa"/>
          </w:tcPr>
          <w:p w:rsidR="00557A6F" w:rsidRDefault="00557A6F" w:rsidP="00557A6F">
            <w:r>
              <w:t xml:space="preserve">Driftsutgifter </w:t>
            </w:r>
          </w:p>
        </w:tc>
        <w:tc>
          <w:tcPr>
            <w:tcW w:w="1140" w:type="dxa"/>
          </w:tcPr>
          <w:p w:rsidR="00557A6F" w:rsidRDefault="00557A6F" w:rsidP="00557A6F">
            <w:pPr>
              <w:jc w:val="right"/>
            </w:pPr>
            <w:r>
              <w:t>21 807</w:t>
            </w:r>
          </w:p>
        </w:tc>
        <w:tc>
          <w:tcPr>
            <w:tcW w:w="1140" w:type="dxa"/>
          </w:tcPr>
          <w:p w:rsidR="00557A6F" w:rsidRDefault="00557A6F" w:rsidP="00557A6F">
            <w:pPr>
              <w:jc w:val="right"/>
            </w:pPr>
            <w:r>
              <w:t>20 686</w:t>
            </w:r>
          </w:p>
        </w:tc>
        <w:tc>
          <w:tcPr>
            <w:tcW w:w="1140" w:type="dxa"/>
          </w:tcPr>
          <w:p w:rsidR="00557A6F" w:rsidRDefault="00557A6F" w:rsidP="00557A6F">
            <w:pPr>
              <w:jc w:val="right"/>
            </w:pPr>
            <w:r>
              <w:t>21 008</w:t>
            </w:r>
          </w:p>
        </w:tc>
      </w:tr>
      <w:tr w:rsidR="00557A6F" w:rsidTr="00557A6F">
        <w:trPr>
          <w:trHeight w:val="640"/>
        </w:trPr>
        <w:tc>
          <w:tcPr>
            <w:tcW w:w="1140" w:type="dxa"/>
          </w:tcPr>
          <w:p w:rsidR="00557A6F" w:rsidRDefault="00557A6F" w:rsidP="00557A6F">
            <w:r>
              <w:t>45</w:t>
            </w:r>
          </w:p>
        </w:tc>
        <w:tc>
          <w:tcPr>
            <w:tcW w:w="4560" w:type="dxa"/>
          </w:tcPr>
          <w:p w:rsidR="00557A6F" w:rsidRDefault="00557A6F" w:rsidP="00557A6F">
            <w:r>
              <w:t>Større utstyrsanskaffelser og vedlikehold</w:t>
            </w:r>
            <w:r>
              <w:rPr>
                <w:rStyle w:val="kursiv"/>
                <w:sz w:val="21"/>
                <w:szCs w:val="21"/>
              </w:rPr>
              <w:t>, kan ove</w:t>
            </w:r>
            <w:r>
              <w:rPr>
                <w:rStyle w:val="kursiv"/>
                <w:sz w:val="21"/>
                <w:szCs w:val="21"/>
              </w:rPr>
              <w:t>r</w:t>
            </w:r>
            <w:r>
              <w:rPr>
                <w:rStyle w:val="kursiv"/>
                <w:sz w:val="21"/>
                <w:szCs w:val="21"/>
              </w:rPr>
              <w:t xml:space="preserve">føres </w:t>
            </w:r>
          </w:p>
        </w:tc>
        <w:tc>
          <w:tcPr>
            <w:tcW w:w="1140" w:type="dxa"/>
          </w:tcPr>
          <w:p w:rsidR="00557A6F" w:rsidRDefault="00557A6F" w:rsidP="00557A6F">
            <w:pPr>
              <w:jc w:val="right"/>
            </w:pPr>
            <w:r>
              <w:t>33 201</w:t>
            </w:r>
          </w:p>
        </w:tc>
        <w:tc>
          <w:tcPr>
            <w:tcW w:w="1140" w:type="dxa"/>
          </w:tcPr>
          <w:p w:rsidR="00557A6F" w:rsidRDefault="00557A6F" w:rsidP="00557A6F">
            <w:pPr>
              <w:jc w:val="right"/>
            </w:pPr>
            <w:r>
              <w:t>27 000</w:t>
            </w:r>
          </w:p>
        </w:tc>
        <w:tc>
          <w:tcPr>
            <w:tcW w:w="1140" w:type="dxa"/>
          </w:tcPr>
          <w:p w:rsidR="00557A6F" w:rsidRDefault="00557A6F" w:rsidP="00557A6F">
            <w:pPr>
              <w:jc w:val="right"/>
            </w:pPr>
            <w:r>
              <w:t>35 000</w:t>
            </w:r>
          </w:p>
        </w:tc>
      </w:tr>
      <w:tr w:rsidR="00557A6F" w:rsidTr="00557A6F">
        <w:trPr>
          <w:trHeight w:val="380"/>
        </w:trPr>
        <w:tc>
          <w:tcPr>
            <w:tcW w:w="1140" w:type="dxa"/>
          </w:tcPr>
          <w:p w:rsidR="00557A6F" w:rsidRDefault="00557A6F" w:rsidP="00557A6F"/>
        </w:tc>
        <w:tc>
          <w:tcPr>
            <w:tcW w:w="4560" w:type="dxa"/>
          </w:tcPr>
          <w:p w:rsidR="00557A6F" w:rsidRDefault="00557A6F" w:rsidP="00557A6F">
            <w:r>
              <w:t>Sum kap. 0533</w:t>
            </w:r>
          </w:p>
        </w:tc>
        <w:tc>
          <w:tcPr>
            <w:tcW w:w="1140" w:type="dxa"/>
          </w:tcPr>
          <w:p w:rsidR="00557A6F" w:rsidRDefault="00557A6F" w:rsidP="00557A6F">
            <w:pPr>
              <w:jc w:val="right"/>
            </w:pPr>
            <w:r>
              <w:t>55 008</w:t>
            </w:r>
          </w:p>
        </w:tc>
        <w:tc>
          <w:tcPr>
            <w:tcW w:w="1140" w:type="dxa"/>
          </w:tcPr>
          <w:p w:rsidR="00557A6F" w:rsidRDefault="00557A6F" w:rsidP="00557A6F">
            <w:pPr>
              <w:jc w:val="right"/>
            </w:pPr>
            <w:r>
              <w:t>47 686</w:t>
            </w:r>
          </w:p>
        </w:tc>
        <w:tc>
          <w:tcPr>
            <w:tcW w:w="1140" w:type="dxa"/>
          </w:tcPr>
          <w:p w:rsidR="00557A6F" w:rsidRDefault="00557A6F" w:rsidP="00557A6F">
            <w:pPr>
              <w:jc w:val="right"/>
            </w:pPr>
            <w:r>
              <w:t>56 008</w:t>
            </w:r>
          </w:p>
        </w:tc>
      </w:tr>
    </w:tbl>
    <w:p w:rsidR="00557A6F" w:rsidRDefault="00557A6F" w:rsidP="00557A6F">
      <w:pPr>
        <w:pStyle w:val="tabell-noter"/>
      </w:pPr>
      <w:r>
        <w:t xml:space="preserve">Vedrørende 2019: Ved Stortingets vedtak av 21. juni 2019 ble post 01 økt med 1,45 mill. kroner til 22,136 mill. kroner, jf. Prop. 114 S og Innst. 391 S (2018–2019). </w:t>
      </w:r>
    </w:p>
    <w:p w:rsidR="00557A6F" w:rsidRDefault="00557A6F" w:rsidP="00557A6F">
      <w:r>
        <w:t>Kapitlet omfatter Statsbyggs forvaltning av kulturhistoriske eiendommer utenfor den statlige hu</w:t>
      </w:r>
      <w:r>
        <w:t>s</w:t>
      </w:r>
      <w:r>
        <w:t>leieordningen. Samlet bygningsareal er om lag 32 000 kvm og inkluderer Håkonshallen og Rose</w:t>
      </w:r>
      <w:r>
        <w:t>n</w:t>
      </w:r>
      <w:r>
        <w:t>krantztårnet på Bergenhus festning, Munkholmen, Austråttborgen, Grotten, Bjørgan prestegård, statens eiendommer etter Røros Kobberverk, Villa Stenersen, Stavern fort på Citadelløya, Sjøme</w:t>
      </w:r>
      <w:r>
        <w:t>n</w:t>
      </w:r>
      <w:r>
        <w:t>nenes minnehall, fjell- og ødestuer og bygningene på Bygdø kongsgård, med unntak av hovedhuset og Oscarshall som sorterer under kap. 531 Eiendommer til kongelige formål.</w:t>
      </w:r>
    </w:p>
    <w:p w:rsidR="00557A6F" w:rsidRDefault="00557A6F" w:rsidP="00557A6F">
      <w:r>
        <w:t>Statsbygg skal utøve et faglig godt vedlikehold av eiendommene i nært samarbeid med antikvariske myndigheter. Det er gjennomført en grundig analyse av rehabiliterings- og vedlikeholdsbehovet på eiendommene i et tiårsperspektiv fra 2012 til 2022. Det er konstatert betydelig vedlikeholdsette</w:t>
      </w:r>
      <w:r>
        <w:t>r</w:t>
      </w:r>
      <w:r>
        <w:t xml:space="preserve">slep på flere av bygningene. Ikke minst gjelder </w:t>
      </w:r>
      <w:proofErr w:type="gramStart"/>
      <w:r>
        <w:t>dette</w:t>
      </w:r>
      <w:proofErr w:type="gramEnd"/>
      <w:r>
        <w:t xml:space="preserve"> bygningsmassen på Bygdø kongsgård. Det ble derfor fra og med 2015 avsatt midler til ekstraordinært vedlikehold og oppgradering av bygning</w:t>
      </w:r>
      <w:r>
        <w:t>s</w:t>
      </w:r>
      <w:r>
        <w:t xml:space="preserve">massen, jf. Prop. 1 S (2014–2015) for </w:t>
      </w:r>
      <w:r>
        <w:rPr>
          <w:rStyle w:val="kursiv"/>
          <w:sz w:val="21"/>
          <w:szCs w:val="21"/>
        </w:rPr>
        <w:t>Kommunal- og moderniseringsdepartementet</w:t>
      </w:r>
      <w:r>
        <w:t xml:space="preserve"> og Innst. 16 S (2014–2015).</w:t>
      </w:r>
    </w:p>
    <w:p w:rsidR="00557A6F" w:rsidRDefault="00557A6F" w:rsidP="00557A6F">
      <w:pPr>
        <w:pStyle w:val="b-post"/>
      </w:pPr>
      <w:r>
        <w:t>Post 01 Driftsutgifter</w:t>
      </w:r>
    </w:p>
    <w:p w:rsidR="00557A6F" w:rsidRDefault="00557A6F" w:rsidP="00557A6F">
      <w:r>
        <w:t>Bevilgningen dekker utgifter til forvaltning, drift og vedlikehold av bygningsmassen. I 2018 ble det utført vedlikeholdstiltak blant annet ved Bygdø kongsgård, Mollesjok fjellstue, Bergenhus og Bjørgan prest</w:t>
      </w:r>
      <w:r>
        <w:t>e</w:t>
      </w:r>
      <w:r>
        <w:t>gård.</w:t>
      </w:r>
    </w:p>
    <w:p w:rsidR="00557A6F" w:rsidRDefault="00557A6F" w:rsidP="00557A6F">
      <w:r>
        <w:t>Det foreslås en bevilgning på 21 mill. kroner, inkludert endringer som følge av avbyråkratiserings- og effektiv</w:t>
      </w:r>
      <w:r>
        <w:t>i</w:t>
      </w:r>
      <w:r>
        <w:t>seringsreformen og lønns- og prisjustering.</w:t>
      </w:r>
    </w:p>
    <w:p w:rsidR="00557A6F" w:rsidRDefault="00557A6F" w:rsidP="00557A6F">
      <w:r>
        <w:t>Det foreslås at bevilgningen kan overskrides mot tilsvarende merinntekter på kap. 3533, post 02, jf. forslag til romertallsvedtak.</w:t>
      </w:r>
    </w:p>
    <w:p w:rsidR="00557A6F" w:rsidRDefault="00557A6F" w:rsidP="00557A6F">
      <w:pPr>
        <w:pStyle w:val="b-post"/>
      </w:pPr>
      <w:r>
        <w:t>Post 45 Større utstyrsanskaffelser og vedlikehold, kan overføres</w:t>
      </w:r>
    </w:p>
    <w:p w:rsidR="00557A6F" w:rsidRDefault="00557A6F" w:rsidP="00557A6F">
      <w:r>
        <w:t>Bevilgningen skal dekke ekstraordinært vedlikehold på eiendommene.</w:t>
      </w:r>
    </w:p>
    <w:p w:rsidR="00557A6F" w:rsidRDefault="00557A6F" w:rsidP="00557A6F">
      <w:r>
        <w:t>I 2018 utførte Statsbygg ekstraordinært vedlikehold og oppgradering av bygningsmassen, blant annet ved Gartneriområdet og Villa Gjøa på Bygdøy, fyrhuset ved Bygdø kongsgård og rehabilit</w:t>
      </w:r>
      <w:r>
        <w:t>e</w:t>
      </w:r>
      <w:r>
        <w:t>ring av Hen</w:t>
      </w:r>
      <w:r>
        <w:t>g</w:t>
      </w:r>
      <w:r>
        <w:t>sengen hovedhus samt tiltak på Villa Stenersen.</w:t>
      </w:r>
    </w:p>
    <w:p w:rsidR="00557A6F" w:rsidRDefault="00557A6F" w:rsidP="00557A6F">
      <w:r>
        <w:lastRenderedPageBreak/>
        <w:t>Regjeringen besluttet i 2017 at det nasjonale minnestedet etter 22. juli i Hole kommune skal eta</w:t>
      </w:r>
      <w:r>
        <w:t>b</w:t>
      </w:r>
      <w:r>
        <w:t>leres på Utøyakaia, og ikke på Sørbråten. Arbeidet er derfor forsinket. Det er hittil bevilget 32,7 mill. kroner. I regi av Statsbygg planlegges det nå for etablering av et nasjonalt minnested på Utøyakaia. Det tas sikte på å fremme forslag til kostnadsramme for minnestedet når det foreligger et ferdig forprosjekt.</w:t>
      </w:r>
    </w:p>
    <w:p w:rsidR="00557A6F" w:rsidRDefault="00557A6F" w:rsidP="00557A6F">
      <w:r>
        <w:t>Ansvaret for forvaltningen av statens eiendommer på Røros ble overført fra Klima- og miljødepa</w:t>
      </w:r>
      <w:r>
        <w:t>r</w:t>
      </w:r>
      <w:r>
        <w:t xml:space="preserve">tementet til Statsbygg i 2018, jf. Prop. 85 S (2017–2018) </w:t>
      </w:r>
      <w:r>
        <w:rPr>
          <w:rStyle w:val="kursiv"/>
          <w:sz w:val="21"/>
          <w:szCs w:val="21"/>
        </w:rPr>
        <w:t>Tilleggsbevilgninger og omprioriteringer i statsbudsjettet 2018</w:t>
      </w:r>
      <w:r>
        <w:t>.</w:t>
      </w:r>
    </w:p>
    <w:p w:rsidR="00557A6F" w:rsidRDefault="00557A6F" w:rsidP="00557A6F">
      <w:r>
        <w:t>Vedlikeholdsetterslepet på flere av eiendommene er stort.</w:t>
      </w:r>
    </w:p>
    <w:p w:rsidR="00557A6F" w:rsidRDefault="00557A6F" w:rsidP="00557A6F">
      <w:pPr>
        <w:pStyle w:val="avsnitt-tittel"/>
      </w:pPr>
      <w:r>
        <w:t>Budsjettforslag</w:t>
      </w:r>
    </w:p>
    <w:p w:rsidR="00557A6F" w:rsidRDefault="00557A6F" w:rsidP="00557A6F">
      <w:r>
        <w:t>Arbeidet med minnestedet på Utøyakaia i Hole kommune i 2020 finansieres med overførte midler.</w:t>
      </w:r>
    </w:p>
    <w:p w:rsidR="00557A6F" w:rsidRDefault="00557A6F" w:rsidP="00557A6F">
      <w:r>
        <w:t>Det foreslås å øke bevilgningen til 35 mill. kroner, for å styrke vedlikehold og rehabilitering av ku</w:t>
      </w:r>
      <w:r>
        <w:t>l</w:t>
      </w:r>
      <w:r>
        <w:t>turhistoriske eiendommer. I 2020 vil forsering av ekstraordinært vedlikehold og oppgradering av Rosenkrantztårnet bli prior</w:t>
      </w:r>
      <w:r>
        <w:t>i</w:t>
      </w:r>
      <w:r>
        <w:t>tert, slik at arbeidet kan ferdigstilles i 2021.</w:t>
      </w:r>
    </w:p>
    <w:p w:rsidR="00557A6F" w:rsidRDefault="00557A6F" w:rsidP="00557A6F">
      <w:pPr>
        <w:pStyle w:val="b-budkaptit"/>
      </w:pPr>
      <w:r>
        <w:t>Kap. 3533 Eiendommer utenfor husleieordningen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7A6F" w:rsidTr="00557A6F">
        <w:trPr>
          <w:trHeight w:val="640"/>
        </w:trPr>
        <w:tc>
          <w:tcPr>
            <w:tcW w:w="1140" w:type="dxa"/>
            <w:shd w:val="clear" w:color="auto" w:fill="FFFFFF"/>
          </w:tcPr>
          <w:p w:rsidR="00557A6F" w:rsidRDefault="00557A6F" w:rsidP="00557A6F">
            <w:pPr>
              <w:pStyle w:val="Tabellnavn"/>
            </w:pPr>
            <w:r>
              <w:t>KPAL</w:t>
            </w:r>
          </w:p>
        </w:tc>
        <w:tc>
          <w:tcPr>
            <w:tcW w:w="4560" w:type="dxa"/>
          </w:tcPr>
          <w:p w:rsidR="00557A6F" w:rsidRDefault="00557A6F" w:rsidP="00557A6F"/>
        </w:tc>
        <w:tc>
          <w:tcPr>
            <w:tcW w:w="1140" w:type="dxa"/>
          </w:tcPr>
          <w:p w:rsidR="00557A6F" w:rsidRDefault="00557A6F" w:rsidP="00557A6F">
            <w:pPr>
              <w:pStyle w:val="Tabellnavn"/>
              <w:jc w:val="right"/>
            </w:pPr>
          </w:p>
        </w:tc>
        <w:tc>
          <w:tcPr>
            <w:tcW w:w="1140" w:type="dxa"/>
          </w:tcPr>
          <w:p w:rsidR="00557A6F" w:rsidRDefault="00557A6F" w:rsidP="00557A6F">
            <w:pPr>
              <w:pStyle w:val="Tabellnavn"/>
              <w:jc w:val="right"/>
            </w:pPr>
          </w:p>
        </w:tc>
        <w:tc>
          <w:tcPr>
            <w:tcW w:w="1140" w:type="dxa"/>
          </w:tcPr>
          <w:p w:rsidR="00557A6F" w:rsidRDefault="00557A6F" w:rsidP="00557A6F">
            <w:pPr>
              <w:jc w:val="right"/>
            </w:pPr>
            <w:r>
              <w:t>(i 1 000 kr)</w:t>
            </w:r>
          </w:p>
        </w:tc>
      </w:tr>
      <w:tr w:rsidR="00557A6F" w:rsidTr="00557A6F">
        <w:trPr>
          <w:trHeight w:val="600"/>
        </w:trPr>
        <w:tc>
          <w:tcPr>
            <w:tcW w:w="1140" w:type="dxa"/>
          </w:tcPr>
          <w:p w:rsidR="00557A6F" w:rsidRDefault="00557A6F" w:rsidP="00557A6F">
            <w:r>
              <w:t>Post</w:t>
            </w:r>
          </w:p>
        </w:tc>
        <w:tc>
          <w:tcPr>
            <w:tcW w:w="4560" w:type="dxa"/>
          </w:tcPr>
          <w:p w:rsidR="00557A6F" w:rsidRDefault="00557A6F" w:rsidP="00557A6F">
            <w:r>
              <w:t>Betegnelse</w:t>
            </w:r>
          </w:p>
        </w:tc>
        <w:tc>
          <w:tcPr>
            <w:tcW w:w="1140" w:type="dxa"/>
          </w:tcPr>
          <w:p w:rsidR="00557A6F" w:rsidRDefault="00557A6F" w:rsidP="00557A6F">
            <w:pPr>
              <w:jc w:val="right"/>
            </w:pPr>
            <w:r>
              <w:t>Regnskap 2018</w:t>
            </w:r>
          </w:p>
        </w:tc>
        <w:tc>
          <w:tcPr>
            <w:tcW w:w="1140" w:type="dxa"/>
          </w:tcPr>
          <w:p w:rsidR="00557A6F" w:rsidRDefault="00557A6F" w:rsidP="00557A6F">
            <w:pPr>
              <w:jc w:val="right"/>
            </w:pPr>
            <w:r>
              <w:t xml:space="preserve">Saldert </w:t>
            </w:r>
            <w:r>
              <w:br/>
              <w:t>budsjett 2019</w:t>
            </w:r>
          </w:p>
        </w:tc>
        <w:tc>
          <w:tcPr>
            <w:tcW w:w="1140" w:type="dxa"/>
          </w:tcPr>
          <w:p w:rsidR="00557A6F" w:rsidRDefault="00557A6F" w:rsidP="00557A6F">
            <w:pPr>
              <w:jc w:val="right"/>
            </w:pPr>
            <w:r>
              <w:t xml:space="preserve">Forslag </w:t>
            </w:r>
            <w:r>
              <w:br/>
              <w:t>2020</w:t>
            </w:r>
          </w:p>
        </w:tc>
      </w:tr>
      <w:tr w:rsidR="00557A6F" w:rsidTr="00557A6F">
        <w:trPr>
          <w:trHeight w:val="380"/>
        </w:trPr>
        <w:tc>
          <w:tcPr>
            <w:tcW w:w="1140" w:type="dxa"/>
          </w:tcPr>
          <w:p w:rsidR="00557A6F" w:rsidRDefault="00557A6F" w:rsidP="00557A6F">
            <w:r>
              <w:t>02</w:t>
            </w:r>
          </w:p>
        </w:tc>
        <w:tc>
          <w:tcPr>
            <w:tcW w:w="4560" w:type="dxa"/>
          </w:tcPr>
          <w:p w:rsidR="00557A6F" w:rsidRDefault="00557A6F" w:rsidP="00557A6F">
            <w:r>
              <w:t xml:space="preserve">Diverse inntekter </w:t>
            </w:r>
          </w:p>
        </w:tc>
        <w:tc>
          <w:tcPr>
            <w:tcW w:w="1140" w:type="dxa"/>
          </w:tcPr>
          <w:p w:rsidR="00557A6F" w:rsidRDefault="00557A6F" w:rsidP="00557A6F">
            <w:pPr>
              <w:jc w:val="right"/>
            </w:pPr>
            <w:r>
              <w:t>5 707</w:t>
            </w:r>
          </w:p>
        </w:tc>
        <w:tc>
          <w:tcPr>
            <w:tcW w:w="1140" w:type="dxa"/>
          </w:tcPr>
          <w:p w:rsidR="00557A6F" w:rsidRDefault="00557A6F" w:rsidP="00557A6F">
            <w:pPr>
              <w:jc w:val="right"/>
            </w:pPr>
            <w:r>
              <w:t>2 383</w:t>
            </w:r>
          </w:p>
        </w:tc>
        <w:tc>
          <w:tcPr>
            <w:tcW w:w="1140" w:type="dxa"/>
          </w:tcPr>
          <w:p w:rsidR="00557A6F" w:rsidRDefault="00557A6F" w:rsidP="00557A6F">
            <w:pPr>
              <w:jc w:val="right"/>
            </w:pPr>
            <w:r>
              <w:t>2 447</w:t>
            </w:r>
          </w:p>
        </w:tc>
      </w:tr>
      <w:tr w:rsidR="00557A6F" w:rsidTr="00557A6F">
        <w:trPr>
          <w:trHeight w:val="380"/>
        </w:trPr>
        <w:tc>
          <w:tcPr>
            <w:tcW w:w="1140" w:type="dxa"/>
          </w:tcPr>
          <w:p w:rsidR="00557A6F" w:rsidRDefault="00557A6F" w:rsidP="00557A6F"/>
        </w:tc>
        <w:tc>
          <w:tcPr>
            <w:tcW w:w="4560" w:type="dxa"/>
          </w:tcPr>
          <w:p w:rsidR="00557A6F" w:rsidRDefault="00557A6F" w:rsidP="00557A6F">
            <w:r>
              <w:t>Sum kap. 3533</w:t>
            </w:r>
          </w:p>
        </w:tc>
        <w:tc>
          <w:tcPr>
            <w:tcW w:w="1140" w:type="dxa"/>
          </w:tcPr>
          <w:p w:rsidR="00557A6F" w:rsidRDefault="00557A6F" w:rsidP="00557A6F">
            <w:pPr>
              <w:jc w:val="right"/>
            </w:pPr>
            <w:r>
              <w:t>5 707</w:t>
            </w:r>
          </w:p>
        </w:tc>
        <w:tc>
          <w:tcPr>
            <w:tcW w:w="1140" w:type="dxa"/>
          </w:tcPr>
          <w:p w:rsidR="00557A6F" w:rsidRDefault="00557A6F" w:rsidP="00557A6F">
            <w:pPr>
              <w:jc w:val="right"/>
            </w:pPr>
            <w:r>
              <w:t>2 383</w:t>
            </w:r>
          </w:p>
        </w:tc>
        <w:tc>
          <w:tcPr>
            <w:tcW w:w="1140" w:type="dxa"/>
          </w:tcPr>
          <w:p w:rsidR="00557A6F" w:rsidRDefault="00557A6F" w:rsidP="00557A6F">
            <w:pPr>
              <w:jc w:val="right"/>
            </w:pPr>
            <w:r>
              <w:t>2 447</w:t>
            </w:r>
          </w:p>
        </w:tc>
      </w:tr>
    </w:tbl>
    <w:p w:rsidR="00557A6F" w:rsidRDefault="00557A6F" w:rsidP="00557A6F">
      <w:pPr>
        <w:pStyle w:val="b-post"/>
      </w:pPr>
      <w:r>
        <w:t>Post 02 Diverse inntekter</w:t>
      </w:r>
    </w:p>
    <w:p w:rsidR="00557A6F" w:rsidRDefault="00557A6F" w:rsidP="00557A6F">
      <w:r>
        <w:t>Bevilgningen gjelder i hovedsak inntekter fra parkering ved Bygdø kongsgård. Det foreslås en b</w:t>
      </w:r>
      <w:r>
        <w:t>e</w:t>
      </w:r>
      <w:r>
        <w:t>vilgning på 2,4 mill. kroner.</w:t>
      </w:r>
    </w:p>
    <w:p w:rsidR="00557A6F" w:rsidRDefault="00557A6F" w:rsidP="00557A6F">
      <w:pPr>
        <w:pStyle w:val="b-budkaptit"/>
      </w:pPr>
      <w:r>
        <w:t>Kap. 2445 Statsbygg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7A6F" w:rsidTr="00557A6F">
        <w:trPr>
          <w:trHeight w:val="640"/>
        </w:trPr>
        <w:tc>
          <w:tcPr>
            <w:tcW w:w="1140" w:type="dxa"/>
            <w:shd w:val="clear" w:color="auto" w:fill="FFFFFF"/>
          </w:tcPr>
          <w:p w:rsidR="00557A6F" w:rsidRDefault="00557A6F" w:rsidP="00557A6F">
            <w:pPr>
              <w:pStyle w:val="Tabellnavn"/>
            </w:pPr>
            <w:r>
              <w:t>KPAL</w:t>
            </w:r>
          </w:p>
        </w:tc>
        <w:tc>
          <w:tcPr>
            <w:tcW w:w="4560" w:type="dxa"/>
          </w:tcPr>
          <w:p w:rsidR="00557A6F" w:rsidRDefault="00557A6F" w:rsidP="00557A6F"/>
        </w:tc>
        <w:tc>
          <w:tcPr>
            <w:tcW w:w="1140" w:type="dxa"/>
          </w:tcPr>
          <w:p w:rsidR="00557A6F" w:rsidRDefault="00557A6F" w:rsidP="00557A6F">
            <w:pPr>
              <w:pStyle w:val="Tabellnavn"/>
              <w:jc w:val="right"/>
            </w:pPr>
          </w:p>
        </w:tc>
        <w:tc>
          <w:tcPr>
            <w:tcW w:w="1140" w:type="dxa"/>
          </w:tcPr>
          <w:p w:rsidR="00557A6F" w:rsidRDefault="00557A6F" w:rsidP="00557A6F">
            <w:pPr>
              <w:pStyle w:val="Tabellnavn"/>
              <w:jc w:val="right"/>
            </w:pPr>
          </w:p>
        </w:tc>
        <w:tc>
          <w:tcPr>
            <w:tcW w:w="1140" w:type="dxa"/>
          </w:tcPr>
          <w:p w:rsidR="00557A6F" w:rsidRDefault="00557A6F" w:rsidP="00557A6F">
            <w:pPr>
              <w:jc w:val="right"/>
            </w:pPr>
            <w:r>
              <w:t>(i 1 000 kr)</w:t>
            </w:r>
          </w:p>
        </w:tc>
      </w:tr>
      <w:tr w:rsidR="00557A6F" w:rsidTr="00557A6F">
        <w:trPr>
          <w:trHeight w:val="600"/>
        </w:trPr>
        <w:tc>
          <w:tcPr>
            <w:tcW w:w="1140" w:type="dxa"/>
          </w:tcPr>
          <w:p w:rsidR="00557A6F" w:rsidRDefault="00557A6F" w:rsidP="00557A6F">
            <w:r>
              <w:t>Post</w:t>
            </w:r>
          </w:p>
        </w:tc>
        <w:tc>
          <w:tcPr>
            <w:tcW w:w="4560" w:type="dxa"/>
          </w:tcPr>
          <w:p w:rsidR="00557A6F" w:rsidRDefault="00557A6F" w:rsidP="00557A6F">
            <w:r>
              <w:t>Betegnelse</w:t>
            </w:r>
          </w:p>
        </w:tc>
        <w:tc>
          <w:tcPr>
            <w:tcW w:w="1140" w:type="dxa"/>
          </w:tcPr>
          <w:p w:rsidR="00557A6F" w:rsidRDefault="00557A6F" w:rsidP="00557A6F">
            <w:pPr>
              <w:jc w:val="right"/>
            </w:pPr>
            <w:r>
              <w:t>Regnskap 2018</w:t>
            </w:r>
          </w:p>
        </w:tc>
        <w:tc>
          <w:tcPr>
            <w:tcW w:w="1140" w:type="dxa"/>
          </w:tcPr>
          <w:p w:rsidR="00557A6F" w:rsidRDefault="00557A6F" w:rsidP="00557A6F">
            <w:pPr>
              <w:jc w:val="right"/>
            </w:pPr>
            <w:r>
              <w:t xml:space="preserve">Saldert </w:t>
            </w:r>
            <w:r>
              <w:br/>
              <w:t>budsjett 2019</w:t>
            </w:r>
          </w:p>
        </w:tc>
        <w:tc>
          <w:tcPr>
            <w:tcW w:w="1140" w:type="dxa"/>
          </w:tcPr>
          <w:p w:rsidR="00557A6F" w:rsidRDefault="00557A6F" w:rsidP="00557A6F">
            <w:pPr>
              <w:jc w:val="right"/>
            </w:pPr>
            <w:r>
              <w:t xml:space="preserve">Forslag </w:t>
            </w:r>
            <w:r>
              <w:br/>
              <w:t>2020</w:t>
            </w:r>
          </w:p>
        </w:tc>
      </w:tr>
      <w:tr w:rsidR="00557A6F" w:rsidTr="00557A6F">
        <w:trPr>
          <w:trHeight w:val="380"/>
        </w:trPr>
        <w:tc>
          <w:tcPr>
            <w:tcW w:w="1140" w:type="dxa"/>
          </w:tcPr>
          <w:p w:rsidR="00557A6F" w:rsidRDefault="00557A6F" w:rsidP="00557A6F">
            <w:r>
              <w:t>24</w:t>
            </w:r>
          </w:p>
        </w:tc>
        <w:tc>
          <w:tcPr>
            <w:tcW w:w="4560" w:type="dxa"/>
          </w:tcPr>
          <w:p w:rsidR="00557A6F" w:rsidRDefault="00557A6F" w:rsidP="00557A6F">
            <w:r>
              <w:t xml:space="preserve">Driftsresultat </w:t>
            </w:r>
          </w:p>
        </w:tc>
        <w:tc>
          <w:tcPr>
            <w:tcW w:w="1140" w:type="dxa"/>
          </w:tcPr>
          <w:p w:rsidR="00557A6F" w:rsidRDefault="00557A6F" w:rsidP="00557A6F">
            <w:pPr>
              <w:jc w:val="right"/>
            </w:pPr>
            <w:r>
              <w:t>-405 141</w:t>
            </w:r>
          </w:p>
        </w:tc>
        <w:tc>
          <w:tcPr>
            <w:tcW w:w="1140" w:type="dxa"/>
          </w:tcPr>
          <w:p w:rsidR="00557A6F" w:rsidRDefault="00557A6F" w:rsidP="00557A6F">
            <w:pPr>
              <w:jc w:val="right"/>
            </w:pPr>
            <w:r>
              <w:t>-346 141</w:t>
            </w:r>
          </w:p>
        </w:tc>
        <w:tc>
          <w:tcPr>
            <w:tcW w:w="1140" w:type="dxa"/>
          </w:tcPr>
          <w:p w:rsidR="00557A6F" w:rsidRDefault="00557A6F" w:rsidP="00557A6F">
            <w:pPr>
              <w:jc w:val="right"/>
            </w:pPr>
            <w:r>
              <w:t>-651 141</w:t>
            </w:r>
          </w:p>
        </w:tc>
      </w:tr>
      <w:tr w:rsidR="00557A6F" w:rsidTr="00557A6F">
        <w:trPr>
          <w:trHeight w:val="380"/>
        </w:trPr>
        <w:tc>
          <w:tcPr>
            <w:tcW w:w="1140" w:type="dxa"/>
          </w:tcPr>
          <w:p w:rsidR="00557A6F" w:rsidRDefault="00557A6F" w:rsidP="00557A6F">
            <w:r>
              <w:t>30</w:t>
            </w:r>
          </w:p>
        </w:tc>
        <w:tc>
          <w:tcPr>
            <w:tcW w:w="4560" w:type="dxa"/>
          </w:tcPr>
          <w:p w:rsidR="00557A6F" w:rsidRDefault="00557A6F" w:rsidP="00557A6F">
            <w:r>
              <w:t>Prosjektering av bygg</w:t>
            </w:r>
            <w:r>
              <w:rPr>
                <w:rStyle w:val="kursiv"/>
                <w:sz w:val="21"/>
                <w:szCs w:val="21"/>
              </w:rPr>
              <w:t xml:space="preserve">, kan overføres </w:t>
            </w:r>
          </w:p>
        </w:tc>
        <w:tc>
          <w:tcPr>
            <w:tcW w:w="1140" w:type="dxa"/>
          </w:tcPr>
          <w:p w:rsidR="00557A6F" w:rsidRDefault="00557A6F" w:rsidP="00557A6F">
            <w:pPr>
              <w:jc w:val="right"/>
            </w:pPr>
            <w:r>
              <w:t>269 237</w:t>
            </w:r>
          </w:p>
        </w:tc>
        <w:tc>
          <w:tcPr>
            <w:tcW w:w="1140" w:type="dxa"/>
          </w:tcPr>
          <w:p w:rsidR="00557A6F" w:rsidRDefault="00557A6F" w:rsidP="00557A6F">
            <w:pPr>
              <w:jc w:val="right"/>
            </w:pPr>
            <w:r>
              <w:t>648 401</w:t>
            </w:r>
          </w:p>
        </w:tc>
        <w:tc>
          <w:tcPr>
            <w:tcW w:w="1140" w:type="dxa"/>
          </w:tcPr>
          <w:p w:rsidR="00557A6F" w:rsidRDefault="00557A6F" w:rsidP="00557A6F">
            <w:pPr>
              <w:jc w:val="right"/>
            </w:pPr>
            <w:r>
              <w:t>515 000</w:t>
            </w:r>
          </w:p>
        </w:tc>
      </w:tr>
      <w:tr w:rsidR="00557A6F" w:rsidTr="00557A6F">
        <w:trPr>
          <w:trHeight w:val="640"/>
        </w:trPr>
        <w:tc>
          <w:tcPr>
            <w:tcW w:w="1140" w:type="dxa"/>
          </w:tcPr>
          <w:p w:rsidR="00557A6F" w:rsidRDefault="00557A6F" w:rsidP="00557A6F">
            <w:r>
              <w:t>31</w:t>
            </w:r>
          </w:p>
        </w:tc>
        <w:tc>
          <w:tcPr>
            <w:tcW w:w="4560" w:type="dxa"/>
          </w:tcPr>
          <w:p w:rsidR="00557A6F" w:rsidRDefault="00557A6F" w:rsidP="00557A6F">
            <w:r>
              <w:t>Igangsetting av ordinære byggeprosjekter</w:t>
            </w:r>
            <w:r>
              <w:rPr>
                <w:rStyle w:val="kursiv"/>
                <w:sz w:val="21"/>
                <w:szCs w:val="21"/>
              </w:rPr>
              <w:t xml:space="preserve">, kan overføres </w:t>
            </w:r>
          </w:p>
        </w:tc>
        <w:tc>
          <w:tcPr>
            <w:tcW w:w="1140" w:type="dxa"/>
          </w:tcPr>
          <w:p w:rsidR="00557A6F" w:rsidRDefault="00557A6F" w:rsidP="00557A6F">
            <w:pPr>
              <w:jc w:val="right"/>
            </w:pPr>
            <w:r>
              <w:t>49 818</w:t>
            </w:r>
          </w:p>
        </w:tc>
        <w:tc>
          <w:tcPr>
            <w:tcW w:w="1140" w:type="dxa"/>
          </w:tcPr>
          <w:p w:rsidR="00557A6F" w:rsidRDefault="00557A6F" w:rsidP="00557A6F">
            <w:pPr>
              <w:jc w:val="right"/>
            </w:pPr>
            <w:r>
              <w:t>76 800</w:t>
            </w:r>
          </w:p>
        </w:tc>
        <w:tc>
          <w:tcPr>
            <w:tcW w:w="1140" w:type="dxa"/>
          </w:tcPr>
          <w:p w:rsidR="00557A6F" w:rsidRDefault="00557A6F" w:rsidP="00557A6F">
            <w:pPr>
              <w:jc w:val="right"/>
            </w:pPr>
            <w:r>
              <w:t>187 000</w:t>
            </w:r>
          </w:p>
        </w:tc>
      </w:tr>
      <w:tr w:rsidR="00557A6F" w:rsidTr="00557A6F">
        <w:trPr>
          <w:trHeight w:val="640"/>
        </w:trPr>
        <w:tc>
          <w:tcPr>
            <w:tcW w:w="1140" w:type="dxa"/>
          </w:tcPr>
          <w:p w:rsidR="00557A6F" w:rsidRDefault="00557A6F" w:rsidP="00557A6F">
            <w:r>
              <w:t>32</w:t>
            </w:r>
          </w:p>
        </w:tc>
        <w:tc>
          <w:tcPr>
            <w:tcW w:w="4560" w:type="dxa"/>
          </w:tcPr>
          <w:p w:rsidR="00557A6F" w:rsidRDefault="00557A6F" w:rsidP="00557A6F">
            <w:r>
              <w:t>Prosjektering og igangsetting av brukerfinans</w:t>
            </w:r>
            <w:r>
              <w:t>i</w:t>
            </w:r>
            <w:r>
              <w:t>erte byggeprosjekter</w:t>
            </w:r>
            <w:r>
              <w:rPr>
                <w:rStyle w:val="kursiv"/>
                <w:sz w:val="21"/>
                <w:szCs w:val="21"/>
              </w:rPr>
              <w:t xml:space="preserve">, kan overføres </w:t>
            </w:r>
          </w:p>
        </w:tc>
        <w:tc>
          <w:tcPr>
            <w:tcW w:w="1140" w:type="dxa"/>
          </w:tcPr>
          <w:p w:rsidR="00557A6F" w:rsidRDefault="00557A6F" w:rsidP="00557A6F">
            <w:pPr>
              <w:jc w:val="right"/>
            </w:pPr>
            <w:r>
              <w:t>493 834</w:t>
            </w:r>
          </w:p>
        </w:tc>
        <w:tc>
          <w:tcPr>
            <w:tcW w:w="1140" w:type="dxa"/>
          </w:tcPr>
          <w:p w:rsidR="00557A6F" w:rsidRDefault="00557A6F" w:rsidP="00557A6F">
            <w:pPr>
              <w:jc w:val="right"/>
            </w:pPr>
            <w:r>
              <w:t>350 000</w:t>
            </w:r>
          </w:p>
        </w:tc>
        <w:tc>
          <w:tcPr>
            <w:tcW w:w="1140" w:type="dxa"/>
          </w:tcPr>
          <w:p w:rsidR="00557A6F" w:rsidRDefault="00557A6F" w:rsidP="00557A6F">
            <w:pPr>
              <w:jc w:val="right"/>
            </w:pPr>
            <w:r>
              <w:t>327 000</w:t>
            </w:r>
          </w:p>
        </w:tc>
      </w:tr>
      <w:tr w:rsidR="00557A6F" w:rsidTr="00557A6F">
        <w:trPr>
          <w:trHeight w:val="640"/>
        </w:trPr>
        <w:tc>
          <w:tcPr>
            <w:tcW w:w="1140" w:type="dxa"/>
          </w:tcPr>
          <w:p w:rsidR="00557A6F" w:rsidRDefault="00557A6F" w:rsidP="00557A6F">
            <w:r>
              <w:t>33</w:t>
            </w:r>
          </w:p>
        </w:tc>
        <w:tc>
          <w:tcPr>
            <w:tcW w:w="4560" w:type="dxa"/>
          </w:tcPr>
          <w:p w:rsidR="00557A6F" w:rsidRDefault="00557A6F" w:rsidP="00557A6F">
            <w:r>
              <w:t>Videreføring av ordinære byggeprosjekter</w:t>
            </w:r>
            <w:r>
              <w:rPr>
                <w:rStyle w:val="kursiv"/>
                <w:sz w:val="21"/>
                <w:szCs w:val="21"/>
              </w:rPr>
              <w:t xml:space="preserve">, kan overføres </w:t>
            </w:r>
          </w:p>
        </w:tc>
        <w:tc>
          <w:tcPr>
            <w:tcW w:w="1140" w:type="dxa"/>
          </w:tcPr>
          <w:p w:rsidR="00557A6F" w:rsidRDefault="00557A6F" w:rsidP="00557A6F">
            <w:pPr>
              <w:jc w:val="right"/>
            </w:pPr>
            <w:r>
              <w:t>2 548 580</w:t>
            </w:r>
          </w:p>
        </w:tc>
        <w:tc>
          <w:tcPr>
            <w:tcW w:w="1140" w:type="dxa"/>
          </w:tcPr>
          <w:p w:rsidR="00557A6F" w:rsidRDefault="00557A6F" w:rsidP="00557A6F">
            <w:pPr>
              <w:jc w:val="right"/>
            </w:pPr>
            <w:r>
              <w:t>2 237 450</w:t>
            </w:r>
          </w:p>
        </w:tc>
        <w:tc>
          <w:tcPr>
            <w:tcW w:w="1140" w:type="dxa"/>
          </w:tcPr>
          <w:p w:rsidR="00557A6F" w:rsidRDefault="00557A6F" w:rsidP="00557A6F">
            <w:pPr>
              <w:jc w:val="right"/>
            </w:pPr>
            <w:r>
              <w:t>799 745</w:t>
            </w:r>
          </w:p>
        </w:tc>
      </w:tr>
      <w:tr w:rsidR="00557A6F" w:rsidTr="00557A6F">
        <w:trPr>
          <w:trHeight w:val="640"/>
        </w:trPr>
        <w:tc>
          <w:tcPr>
            <w:tcW w:w="1140" w:type="dxa"/>
          </w:tcPr>
          <w:p w:rsidR="00557A6F" w:rsidRDefault="00557A6F" w:rsidP="00557A6F">
            <w:r>
              <w:lastRenderedPageBreak/>
              <w:t>34</w:t>
            </w:r>
          </w:p>
        </w:tc>
        <w:tc>
          <w:tcPr>
            <w:tcW w:w="4560" w:type="dxa"/>
          </w:tcPr>
          <w:p w:rsidR="00557A6F" w:rsidRDefault="00557A6F" w:rsidP="00557A6F">
            <w:r>
              <w:t>Videreføring av brukerfinansierte byggeprosje</w:t>
            </w:r>
            <w:r>
              <w:t>k</w:t>
            </w:r>
            <w:r>
              <w:t>ter</w:t>
            </w:r>
            <w:r>
              <w:rPr>
                <w:rStyle w:val="kursiv"/>
                <w:sz w:val="21"/>
                <w:szCs w:val="21"/>
              </w:rPr>
              <w:t xml:space="preserve">, kan overføres </w:t>
            </w:r>
          </w:p>
        </w:tc>
        <w:tc>
          <w:tcPr>
            <w:tcW w:w="1140" w:type="dxa"/>
          </w:tcPr>
          <w:p w:rsidR="00557A6F" w:rsidRDefault="00557A6F" w:rsidP="00557A6F">
            <w:pPr>
              <w:jc w:val="right"/>
            </w:pPr>
            <w:r>
              <w:t>511 417</w:t>
            </w:r>
          </w:p>
        </w:tc>
        <w:tc>
          <w:tcPr>
            <w:tcW w:w="1140" w:type="dxa"/>
          </w:tcPr>
          <w:p w:rsidR="00557A6F" w:rsidRDefault="00557A6F" w:rsidP="00557A6F">
            <w:pPr>
              <w:jc w:val="right"/>
            </w:pPr>
            <w:r>
              <w:t>713 000</w:t>
            </w:r>
          </w:p>
        </w:tc>
        <w:tc>
          <w:tcPr>
            <w:tcW w:w="1140" w:type="dxa"/>
          </w:tcPr>
          <w:p w:rsidR="00557A6F" w:rsidRDefault="00557A6F" w:rsidP="00557A6F">
            <w:pPr>
              <w:jc w:val="right"/>
            </w:pPr>
            <w:r>
              <w:t>800 000</w:t>
            </w:r>
          </w:p>
        </w:tc>
      </w:tr>
      <w:tr w:rsidR="00557A6F" w:rsidTr="00557A6F">
        <w:trPr>
          <w:trHeight w:val="640"/>
        </w:trPr>
        <w:tc>
          <w:tcPr>
            <w:tcW w:w="1140" w:type="dxa"/>
          </w:tcPr>
          <w:p w:rsidR="00557A6F" w:rsidRDefault="00557A6F" w:rsidP="00557A6F">
            <w:r>
              <w:t>45</w:t>
            </w:r>
          </w:p>
        </w:tc>
        <w:tc>
          <w:tcPr>
            <w:tcW w:w="4560" w:type="dxa"/>
          </w:tcPr>
          <w:p w:rsidR="00557A6F" w:rsidRDefault="00557A6F" w:rsidP="00557A6F">
            <w:r>
              <w:t>Større utstyrsanskaffelser og vedlikehold</w:t>
            </w:r>
            <w:r>
              <w:rPr>
                <w:rStyle w:val="kursiv"/>
                <w:sz w:val="21"/>
                <w:szCs w:val="21"/>
              </w:rPr>
              <w:t xml:space="preserve">, kan </w:t>
            </w:r>
            <w:r>
              <w:rPr>
                <w:rStyle w:val="kursiv"/>
                <w:sz w:val="21"/>
                <w:szCs w:val="21"/>
              </w:rPr>
              <w:br/>
              <w:t xml:space="preserve">overføres </w:t>
            </w:r>
          </w:p>
        </w:tc>
        <w:tc>
          <w:tcPr>
            <w:tcW w:w="1140" w:type="dxa"/>
          </w:tcPr>
          <w:p w:rsidR="00557A6F" w:rsidRDefault="00557A6F" w:rsidP="00557A6F">
            <w:pPr>
              <w:jc w:val="right"/>
            </w:pPr>
            <w:r>
              <w:t>273 866</w:t>
            </w:r>
          </w:p>
        </w:tc>
        <w:tc>
          <w:tcPr>
            <w:tcW w:w="1140" w:type="dxa"/>
          </w:tcPr>
          <w:p w:rsidR="00557A6F" w:rsidRDefault="00557A6F" w:rsidP="00557A6F">
            <w:pPr>
              <w:jc w:val="right"/>
            </w:pPr>
            <w:r>
              <w:t>296 453</w:t>
            </w:r>
          </w:p>
        </w:tc>
        <w:tc>
          <w:tcPr>
            <w:tcW w:w="1140" w:type="dxa"/>
          </w:tcPr>
          <w:p w:rsidR="00557A6F" w:rsidRDefault="00557A6F" w:rsidP="00557A6F">
            <w:pPr>
              <w:jc w:val="right"/>
            </w:pPr>
            <w:r>
              <w:t>303 864</w:t>
            </w:r>
          </w:p>
        </w:tc>
      </w:tr>
      <w:tr w:rsidR="00557A6F" w:rsidTr="00557A6F">
        <w:trPr>
          <w:trHeight w:val="380"/>
        </w:trPr>
        <w:tc>
          <w:tcPr>
            <w:tcW w:w="1140" w:type="dxa"/>
          </w:tcPr>
          <w:p w:rsidR="00557A6F" w:rsidRDefault="00557A6F" w:rsidP="00557A6F">
            <w:r>
              <w:t>49</w:t>
            </w:r>
          </w:p>
        </w:tc>
        <w:tc>
          <w:tcPr>
            <w:tcW w:w="4560" w:type="dxa"/>
          </w:tcPr>
          <w:p w:rsidR="00557A6F" w:rsidRDefault="00557A6F" w:rsidP="00557A6F">
            <w:r>
              <w:t>Kjøp av eiendommer</w:t>
            </w:r>
            <w:r>
              <w:rPr>
                <w:rStyle w:val="kursiv"/>
                <w:sz w:val="21"/>
                <w:szCs w:val="21"/>
              </w:rPr>
              <w:t xml:space="preserve">, kan overføres </w:t>
            </w:r>
          </w:p>
        </w:tc>
        <w:tc>
          <w:tcPr>
            <w:tcW w:w="1140" w:type="dxa"/>
          </w:tcPr>
          <w:p w:rsidR="00557A6F" w:rsidRDefault="00557A6F" w:rsidP="00557A6F">
            <w:pPr>
              <w:jc w:val="right"/>
            </w:pPr>
            <w:r>
              <w:t>244 300</w:t>
            </w:r>
          </w:p>
        </w:tc>
        <w:tc>
          <w:tcPr>
            <w:tcW w:w="1140" w:type="dxa"/>
          </w:tcPr>
          <w:p w:rsidR="00557A6F" w:rsidRDefault="00557A6F" w:rsidP="00557A6F">
            <w:pPr>
              <w:jc w:val="right"/>
            </w:pPr>
            <w:r>
              <w:t>120 964</w:t>
            </w:r>
          </w:p>
        </w:tc>
        <w:tc>
          <w:tcPr>
            <w:tcW w:w="1140" w:type="dxa"/>
          </w:tcPr>
          <w:p w:rsidR="00557A6F" w:rsidRDefault="00557A6F" w:rsidP="00557A6F">
            <w:pPr>
              <w:jc w:val="right"/>
            </w:pPr>
            <w:r>
              <w:t>103 763</w:t>
            </w:r>
          </w:p>
        </w:tc>
      </w:tr>
      <w:tr w:rsidR="00557A6F" w:rsidTr="00557A6F">
        <w:trPr>
          <w:trHeight w:val="380"/>
        </w:trPr>
        <w:tc>
          <w:tcPr>
            <w:tcW w:w="1140" w:type="dxa"/>
          </w:tcPr>
          <w:p w:rsidR="00557A6F" w:rsidRDefault="00557A6F" w:rsidP="00557A6F"/>
        </w:tc>
        <w:tc>
          <w:tcPr>
            <w:tcW w:w="4560" w:type="dxa"/>
          </w:tcPr>
          <w:p w:rsidR="00557A6F" w:rsidRDefault="00557A6F" w:rsidP="00557A6F">
            <w:r>
              <w:t>Sum kap. 2445</w:t>
            </w:r>
          </w:p>
        </w:tc>
        <w:tc>
          <w:tcPr>
            <w:tcW w:w="1140" w:type="dxa"/>
          </w:tcPr>
          <w:p w:rsidR="00557A6F" w:rsidRDefault="00557A6F" w:rsidP="00557A6F">
            <w:pPr>
              <w:jc w:val="right"/>
            </w:pPr>
            <w:r>
              <w:t>3 985 911</w:t>
            </w:r>
          </w:p>
        </w:tc>
        <w:tc>
          <w:tcPr>
            <w:tcW w:w="1140" w:type="dxa"/>
          </w:tcPr>
          <w:p w:rsidR="00557A6F" w:rsidRDefault="00557A6F" w:rsidP="00557A6F">
            <w:pPr>
              <w:jc w:val="right"/>
            </w:pPr>
            <w:r>
              <w:t>4 096 927</w:t>
            </w:r>
          </w:p>
        </w:tc>
        <w:tc>
          <w:tcPr>
            <w:tcW w:w="1140" w:type="dxa"/>
          </w:tcPr>
          <w:p w:rsidR="00557A6F" w:rsidRDefault="00557A6F" w:rsidP="00557A6F">
            <w:pPr>
              <w:jc w:val="right"/>
            </w:pPr>
            <w:r>
              <w:t>2 385 231</w:t>
            </w:r>
          </w:p>
        </w:tc>
      </w:tr>
    </w:tbl>
    <w:p w:rsidR="00557A6F" w:rsidRDefault="00557A6F" w:rsidP="00557A6F">
      <w:pPr>
        <w:pStyle w:val="tabell-noter"/>
      </w:pPr>
      <w:r>
        <w:t xml:space="preserve">Vedrørende 2019: Ved Stortingets vedtak av 21. juni 2019 ble post 30 økt med 22 mill. kroner til 626,4 mill. kroner, post 33 økt med 200 mill. kroner til 2 437,45 mill. kroner og post 34 økt med 100 mill. kroner til 813 mill. kroner, jf. Prop. 114 S og Innst. 391 S (2018–2019). </w:t>
      </w:r>
    </w:p>
    <w:p w:rsidR="00557A6F" w:rsidRDefault="00557A6F" w:rsidP="00557A6F">
      <w:r>
        <w:t>Statsbygg er organisert som forvaltningsbedrift og forvalter 2,9 mill. kvm bygningsmasse, fordelt på 2 286 bygninger. Virksomheten har 856 årsverk, fordelt på hovedkontoret i Oslo, fem lokalko</w:t>
      </w:r>
      <w:r>
        <w:t>n</w:t>
      </w:r>
      <w:r>
        <w:t>torer og driftspersonale på eiendommene.</w:t>
      </w:r>
    </w:p>
    <w:p w:rsidR="00557A6F" w:rsidRDefault="00557A6F" w:rsidP="00557A6F">
      <w:r>
        <w:t>Kap. 2445 Statsbygg inneholder både drifts- og investeringsbudsjett. Post 24 Driftsresultat er driftsinntekter fra</w:t>
      </w:r>
      <w:r>
        <w:t>t</w:t>
      </w:r>
      <w:r>
        <w:t>rukket driftskostnader, kapitalkostnader og avsetninger til investeringsformål og reguleringsfond. Investering</w:t>
      </w:r>
      <w:r>
        <w:t>s</w:t>
      </w:r>
      <w:r>
        <w:t xml:space="preserve">budsjettet, postene 30 til 49, inneholder bevilgninger til prosjektering og bygging, samt kjøp av eiendom. </w:t>
      </w:r>
    </w:p>
    <w:p w:rsidR="00557A6F" w:rsidRDefault="00557A6F" w:rsidP="00557A6F">
      <w:r>
        <w:t>Byggeprosjektene blir finansiert etter to ulike modeller, ordinære byggeprosjekter og brukerfina</w:t>
      </w:r>
      <w:r>
        <w:t>n</w:t>
      </w:r>
      <w:r>
        <w:t>sierte byggeprosjekter. Ordinære byggeprosjekter fremmes for Stortinget med forslag til kostnad</w:t>
      </w:r>
      <w:r>
        <w:t>s</w:t>
      </w:r>
      <w:r>
        <w:t>ramme for hvert enkelt prosjekt og mulighet for hel eller delvis husleiekompensasjon for leietak</w:t>
      </w:r>
      <w:r>
        <w:t>e</w:t>
      </w:r>
      <w:r>
        <w:t>ren. Kostnadsrammene for prosjektene blir beregnet med basis i gjennomført forprosjekt, og fas</w:t>
      </w:r>
      <w:r>
        <w:t>t</w:t>
      </w:r>
      <w:r>
        <w:t xml:space="preserve">satt på et nivå som innebærer at man med 85 pst. sannsynlighet skal klare å holde dem. </w:t>
      </w:r>
    </w:p>
    <w:p w:rsidR="00557A6F" w:rsidRDefault="00557A6F" w:rsidP="00557A6F">
      <w:r>
        <w:t>I brukerfinansierte byggeprosjekter finansieres investeringen gjennom økt husleie som dekkes i</w:t>
      </w:r>
      <w:r>
        <w:t>n</w:t>
      </w:r>
      <w:r>
        <w:t>nenfor leietakerens eksisterende økonomiske ramme. Disse prosjektene blir behandlet etter foren</w:t>
      </w:r>
      <w:r>
        <w:t>k</w:t>
      </w:r>
      <w:r>
        <w:t xml:space="preserve">lede prosedyrer i tråd med egen fullmakt fra Stortinget, jf. forslag til romertallsvedtak. </w:t>
      </w:r>
    </w:p>
    <w:p w:rsidR="00557A6F" w:rsidRDefault="00557A6F" w:rsidP="00557A6F">
      <w:r>
        <w:t>Statsbygg har ansvaret for forvaltning, drift og vedlikehold av alle byggeprosjekter under kap. 2445 Statsbygg etter at de er ferdigstilt.</w:t>
      </w:r>
    </w:p>
    <w:p w:rsidR="00557A6F" w:rsidRDefault="00557A6F" w:rsidP="00557A6F">
      <w:pPr>
        <w:pStyle w:val="b-post"/>
      </w:pPr>
      <w:r>
        <w:t>Post 24 Driftsresultat</w:t>
      </w:r>
    </w:p>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557A6F" w:rsidTr="00557A6F">
        <w:trPr>
          <w:trHeight w:val="380"/>
        </w:trPr>
        <w:tc>
          <w:tcPr>
            <w:tcW w:w="1140" w:type="dxa"/>
            <w:shd w:val="clear" w:color="auto" w:fill="FFFFFF"/>
          </w:tcPr>
          <w:p w:rsidR="00557A6F" w:rsidRDefault="00557A6F" w:rsidP="00557A6F">
            <w:pPr>
              <w:pStyle w:val="Tabellnavn"/>
            </w:pPr>
            <w:r>
              <w:t>KPEN</w:t>
            </w:r>
          </w:p>
        </w:tc>
        <w:tc>
          <w:tcPr>
            <w:tcW w:w="4560" w:type="dxa"/>
          </w:tcPr>
          <w:p w:rsidR="00557A6F" w:rsidRDefault="00557A6F" w:rsidP="00557A6F"/>
        </w:tc>
        <w:tc>
          <w:tcPr>
            <w:tcW w:w="1140" w:type="dxa"/>
          </w:tcPr>
          <w:p w:rsidR="00557A6F" w:rsidRDefault="00557A6F" w:rsidP="00557A6F">
            <w:pPr>
              <w:pStyle w:val="Tabellnavn"/>
              <w:jc w:val="right"/>
            </w:pPr>
          </w:p>
        </w:tc>
        <w:tc>
          <w:tcPr>
            <w:tcW w:w="1140" w:type="dxa"/>
          </w:tcPr>
          <w:p w:rsidR="00557A6F" w:rsidRDefault="00557A6F" w:rsidP="00557A6F">
            <w:pPr>
              <w:pStyle w:val="Tabellnavn"/>
              <w:jc w:val="right"/>
            </w:pPr>
          </w:p>
        </w:tc>
        <w:tc>
          <w:tcPr>
            <w:tcW w:w="1140" w:type="dxa"/>
          </w:tcPr>
          <w:p w:rsidR="00557A6F" w:rsidRDefault="00557A6F" w:rsidP="00557A6F">
            <w:pPr>
              <w:jc w:val="right"/>
            </w:pPr>
            <w:r>
              <w:t>(i 1 000 kr)</w:t>
            </w:r>
          </w:p>
        </w:tc>
      </w:tr>
      <w:tr w:rsidR="00557A6F" w:rsidTr="00557A6F">
        <w:trPr>
          <w:trHeight w:val="600"/>
        </w:trPr>
        <w:tc>
          <w:tcPr>
            <w:tcW w:w="1140" w:type="dxa"/>
          </w:tcPr>
          <w:p w:rsidR="00557A6F" w:rsidRDefault="00557A6F" w:rsidP="00557A6F">
            <w:r>
              <w:t>Underpost</w:t>
            </w:r>
          </w:p>
        </w:tc>
        <w:tc>
          <w:tcPr>
            <w:tcW w:w="4560" w:type="dxa"/>
          </w:tcPr>
          <w:p w:rsidR="00557A6F" w:rsidRDefault="00557A6F" w:rsidP="00557A6F">
            <w:r>
              <w:t>Betegnelse</w:t>
            </w:r>
          </w:p>
        </w:tc>
        <w:tc>
          <w:tcPr>
            <w:tcW w:w="1140" w:type="dxa"/>
          </w:tcPr>
          <w:p w:rsidR="00557A6F" w:rsidRDefault="00557A6F" w:rsidP="00557A6F">
            <w:pPr>
              <w:jc w:val="right"/>
            </w:pPr>
            <w:r>
              <w:t>Regnskap 2018</w:t>
            </w:r>
          </w:p>
        </w:tc>
        <w:tc>
          <w:tcPr>
            <w:tcW w:w="1140" w:type="dxa"/>
          </w:tcPr>
          <w:p w:rsidR="00557A6F" w:rsidRDefault="00557A6F" w:rsidP="00557A6F">
            <w:pPr>
              <w:jc w:val="right"/>
            </w:pPr>
            <w:r>
              <w:t xml:space="preserve">Saldert </w:t>
            </w:r>
            <w:r>
              <w:br/>
              <w:t>budsjett 2019</w:t>
            </w:r>
          </w:p>
        </w:tc>
        <w:tc>
          <w:tcPr>
            <w:tcW w:w="1140" w:type="dxa"/>
          </w:tcPr>
          <w:p w:rsidR="00557A6F" w:rsidRDefault="00557A6F" w:rsidP="00557A6F">
            <w:pPr>
              <w:jc w:val="right"/>
            </w:pPr>
            <w:r>
              <w:t xml:space="preserve">Forslag </w:t>
            </w:r>
            <w:r>
              <w:br/>
              <w:t>2020</w:t>
            </w:r>
          </w:p>
        </w:tc>
      </w:tr>
      <w:tr w:rsidR="00557A6F" w:rsidTr="00557A6F">
        <w:trPr>
          <w:trHeight w:val="380"/>
        </w:trPr>
        <w:tc>
          <w:tcPr>
            <w:tcW w:w="1140" w:type="dxa"/>
          </w:tcPr>
          <w:p w:rsidR="00557A6F" w:rsidRDefault="00557A6F" w:rsidP="00557A6F">
            <w:r>
              <w:t>24.1</w:t>
            </w:r>
          </w:p>
        </w:tc>
        <w:tc>
          <w:tcPr>
            <w:tcW w:w="4560" w:type="dxa"/>
          </w:tcPr>
          <w:p w:rsidR="00557A6F" w:rsidRDefault="00557A6F" w:rsidP="00557A6F">
            <w:r>
              <w:t xml:space="preserve">Driftsinntekter </w:t>
            </w:r>
          </w:p>
        </w:tc>
        <w:tc>
          <w:tcPr>
            <w:tcW w:w="1140" w:type="dxa"/>
          </w:tcPr>
          <w:p w:rsidR="00557A6F" w:rsidRDefault="00557A6F" w:rsidP="00557A6F">
            <w:pPr>
              <w:jc w:val="right"/>
            </w:pPr>
            <w:r>
              <w:t>-5 102 031</w:t>
            </w:r>
          </w:p>
        </w:tc>
        <w:tc>
          <w:tcPr>
            <w:tcW w:w="1140" w:type="dxa"/>
          </w:tcPr>
          <w:p w:rsidR="00557A6F" w:rsidRDefault="00557A6F" w:rsidP="00557A6F">
            <w:pPr>
              <w:jc w:val="right"/>
            </w:pPr>
            <w:r>
              <w:t>-5 177 400</w:t>
            </w:r>
          </w:p>
        </w:tc>
        <w:tc>
          <w:tcPr>
            <w:tcW w:w="1140" w:type="dxa"/>
          </w:tcPr>
          <w:p w:rsidR="00557A6F" w:rsidRDefault="00557A6F" w:rsidP="00557A6F">
            <w:pPr>
              <w:jc w:val="right"/>
            </w:pPr>
            <w:r>
              <w:t>-5 322 749</w:t>
            </w:r>
          </w:p>
        </w:tc>
      </w:tr>
      <w:tr w:rsidR="00557A6F" w:rsidTr="00557A6F">
        <w:trPr>
          <w:trHeight w:val="380"/>
        </w:trPr>
        <w:tc>
          <w:tcPr>
            <w:tcW w:w="1140" w:type="dxa"/>
          </w:tcPr>
          <w:p w:rsidR="00557A6F" w:rsidRDefault="00557A6F" w:rsidP="00557A6F">
            <w:r>
              <w:t>24.2</w:t>
            </w:r>
          </w:p>
        </w:tc>
        <w:tc>
          <w:tcPr>
            <w:tcW w:w="4560" w:type="dxa"/>
          </w:tcPr>
          <w:p w:rsidR="00557A6F" w:rsidRDefault="00557A6F" w:rsidP="00557A6F">
            <w:r>
              <w:t xml:space="preserve">Driftsutgifter </w:t>
            </w:r>
          </w:p>
        </w:tc>
        <w:tc>
          <w:tcPr>
            <w:tcW w:w="1140" w:type="dxa"/>
          </w:tcPr>
          <w:p w:rsidR="00557A6F" w:rsidRDefault="00557A6F" w:rsidP="00557A6F">
            <w:pPr>
              <w:jc w:val="right"/>
            </w:pPr>
            <w:r>
              <w:t>2 126 105</w:t>
            </w:r>
          </w:p>
        </w:tc>
        <w:tc>
          <w:tcPr>
            <w:tcW w:w="1140" w:type="dxa"/>
          </w:tcPr>
          <w:p w:rsidR="00557A6F" w:rsidRDefault="00557A6F" w:rsidP="00557A6F">
            <w:pPr>
              <w:jc w:val="right"/>
            </w:pPr>
            <w:r>
              <w:t>2 165 483</w:t>
            </w:r>
          </w:p>
        </w:tc>
        <w:tc>
          <w:tcPr>
            <w:tcW w:w="1140" w:type="dxa"/>
          </w:tcPr>
          <w:p w:rsidR="00557A6F" w:rsidRDefault="00557A6F" w:rsidP="00557A6F">
            <w:pPr>
              <w:jc w:val="right"/>
            </w:pPr>
            <w:r>
              <w:t>1 974 228</w:t>
            </w:r>
          </w:p>
        </w:tc>
      </w:tr>
      <w:tr w:rsidR="00557A6F" w:rsidTr="00557A6F">
        <w:trPr>
          <w:trHeight w:val="380"/>
        </w:trPr>
        <w:tc>
          <w:tcPr>
            <w:tcW w:w="1140" w:type="dxa"/>
          </w:tcPr>
          <w:p w:rsidR="00557A6F" w:rsidRDefault="00557A6F" w:rsidP="00557A6F">
            <w:r>
              <w:t>24.3</w:t>
            </w:r>
          </w:p>
        </w:tc>
        <w:tc>
          <w:tcPr>
            <w:tcW w:w="4560" w:type="dxa"/>
          </w:tcPr>
          <w:p w:rsidR="00557A6F" w:rsidRDefault="00557A6F" w:rsidP="00557A6F">
            <w:r>
              <w:t xml:space="preserve">Avskrivninger </w:t>
            </w:r>
          </w:p>
        </w:tc>
        <w:tc>
          <w:tcPr>
            <w:tcW w:w="1140" w:type="dxa"/>
          </w:tcPr>
          <w:p w:rsidR="00557A6F" w:rsidRDefault="00557A6F" w:rsidP="00557A6F">
            <w:pPr>
              <w:jc w:val="right"/>
            </w:pPr>
            <w:r>
              <w:t>1 386 809</w:t>
            </w:r>
          </w:p>
        </w:tc>
        <w:tc>
          <w:tcPr>
            <w:tcW w:w="1140" w:type="dxa"/>
          </w:tcPr>
          <w:p w:rsidR="00557A6F" w:rsidRDefault="00557A6F" w:rsidP="00557A6F">
            <w:pPr>
              <w:jc w:val="right"/>
            </w:pPr>
            <w:r>
              <w:t>1 442 800</w:t>
            </w:r>
          </w:p>
        </w:tc>
        <w:tc>
          <w:tcPr>
            <w:tcW w:w="1140" w:type="dxa"/>
          </w:tcPr>
          <w:p w:rsidR="00557A6F" w:rsidRDefault="00557A6F" w:rsidP="00557A6F">
            <w:pPr>
              <w:jc w:val="right"/>
            </w:pPr>
            <w:r>
              <w:t>1 464 300</w:t>
            </w:r>
          </w:p>
        </w:tc>
      </w:tr>
      <w:tr w:rsidR="00557A6F" w:rsidTr="00557A6F">
        <w:trPr>
          <w:trHeight w:val="380"/>
        </w:trPr>
        <w:tc>
          <w:tcPr>
            <w:tcW w:w="1140" w:type="dxa"/>
          </w:tcPr>
          <w:p w:rsidR="00557A6F" w:rsidRDefault="00557A6F" w:rsidP="00557A6F">
            <w:r>
              <w:t>24.4</w:t>
            </w:r>
          </w:p>
        </w:tc>
        <w:tc>
          <w:tcPr>
            <w:tcW w:w="4560" w:type="dxa"/>
          </w:tcPr>
          <w:p w:rsidR="00557A6F" w:rsidRDefault="00557A6F" w:rsidP="00557A6F">
            <w:r>
              <w:t xml:space="preserve">Renter av statens kapital </w:t>
            </w:r>
          </w:p>
        </w:tc>
        <w:tc>
          <w:tcPr>
            <w:tcW w:w="1140" w:type="dxa"/>
          </w:tcPr>
          <w:p w:rsidR="00557A6F" w:rsidRDefault="00557A6F" w:rsidP="00557A6F">
            <w:pPr>
              <w:jc w:val="right"/>
            </w:pPr>
            <w:r>
              <w:t>72 102</w:t>
            </w:r>
          </w:p>
        </w:tc>
        <w:tc>
          <w:tcPr>
            <w:tcW w:w="1140" w:type="dxa"/>
          </w:tcPr>
          <w:p w:rsidR="00557A6F" w:rsidRDefault="00557A6F" w:rsidP="00557A6F">
            <w:pPr>
              <w:jc w:val="right"/>
            </w:pPr>
            <w:r>
              <w:t>93 000</w:t>
            </w:r>
          </w:p>
        </w:tc>
        <w:tc>
          <w:tcPr>
            <w:tcW w:w="1140" w:type="dxa"/>
          </w:tcPr>
          <w:p w:rsidR="00557A6F" w:rsidRDefault="00557A6F" w:rsidP="00557A6F">
            <w:pPr>
              <w:jc w:val="right"/>
            </w:pPr>
            <w:r>
              <w:t>100 808</w:t>
            </w:r>
          </w:p>
        </w:tc>
      </w:tr>
      <w:tr w:rsidR="00557A6F" w:rsidTr="00557A6F">
        <w:trPr>
          <w:trHeight w:val="380"/>
        </w:trPr>
        <w:tc>
          <w:tcPr>
            <w:tcW w:w="1140" w:type="dxa"/>
          </w:tcPr>
          <w:p w:rsidR="00557A6F" w:rsidRDefault="00557A6F" w:rsidP="00557A6F">
            <w:r>
              <w:t>24.5</w:t>
            </w:r>
          </w:p>
        </w:tc>
        <w:tc>
          <w:tcPr>
            <w:tcW w:w="4560" w:type="dxa"/>
          </w:tcPr>
          <w:p w:rsidR="00557A6F" w:rsidRDefault="00557A6F" w:rsidP="00557A6F">
            <w:r>
              <w:t xml:space="preserve">Til investeringsformål </w:t>
            </w:r>
          </w:p>
        </w:tc>
        <w:tc>
          <w:tcPr>
            <w:tcW w:w="1140" w:type="dxa"/>
          </w:tcPr>
          <w:p w:rsidR="00557A6F" w:rsidRDefault="00557A6F" w:rsidP="00557A6F">
            <w:pPr>
              <w:jc w:val="right"/>
            </w:pPr>
            <w:r>
              <w:t>1 381 218</w:t>
            </w:r>
          </w:p>
        </w:tc>
        <w:tc>
          <w:tcPr>
            <w:tcW w:w="1140" w:type="dxa"/>
          </w:tcPr>
          <w:p w:rsidR="00557A6F" w:rsidRDefault="00557A6F" w:rsidP="00557A6F">
            <w:pPr>
              <w:jc w:val="right"/>
            </w:pPr>
            <w:r>
              <w:t>1 242 976</w:t>
            </w:r>
          </w:p>
        </w:tc>
        <w:tc>
          <w:tcPr>
            <w:tcW w:w="1140" w:type="dxa"/>
          </w:tcPr>
          <w:p w:rsidR="00557A6F" w:rsidRDefault="00557A6F" w:rsidP="00557A6F">
            <w:pPr>
              <w:jc w:val="right"/>
            </w:pPr>
            <w:r>
              <w:t>1 132 272</w:t>
            </w:r>
          </w:p>
        </w:tc>
      </w:tr>
      <w:tr w:rsidR="00557A6F" w:rsidTr="00557A6F">
        <w:trPr>
          <w:trHeight w:val="380"/>
        </w:trPr>
        <w:tc>
          <w:tcPr>
            <w:tcW w:w="1140" w:type="dxa"/>
          </w:tcPr>
          <w:p w:rsidR="00557A6F" w:rsidRDefault="00557A6F" w:rsidP="00557A6F">
            <w:r>
              <w:t>24.6</w:t>
            </w:r>
          </w:p>
        </w:tc>
        <w:tc>
          <w:tcPr>
            <w:tcW w:w="4560" w:type="dxa"/>
          </w:tcPr>
          <w:p w:rsidR="00557A6F" w:rsidRDefault="00557A6F" w:rsidP="00557A6F">
            <w:r>
              <w:t xml:space="preserve">Til reguleringsfondet </w:t>
            </w:r>
          </w:p>
        </w:tc>
        <w:tc>
          <w:tcPr>
            <w:tcW w:w="1140" w:type="dxa"/>
          </w:tcPr>
          <w:p w:rsidR="00557A6F" w:rsidRDefault="00557A6F" w:rsidP="00557A6F">
            <w:pPr>
              <w:jc w:val="right"/>
            </w:pPr>
            <w:r>
              <w:t>-269 344</w:t>
            </w:r>
          </w:p>
        </w:tc>
        <w:tc>
          <w:tcPr>
            <w:tcW w:w="1140" w:type="dxa"/>
          </w:tcPr>
          <w:p w:rsidR="00557A6F" w:rsidRDefault="00557A6F" w:rsidP="00557A6F">
            <w:pPr>
              <w:jc w:val="right"/>
            </w:pPr>
            <w:r>
              <w:t>-113 000</w:t>
            </w:r>
          </w:p>
        </w:tc>
        <w:tc>
          <w:tcPr>
            <w:tcW w:w="1140" w:type="dxa"/>
          </w:tcPr>
          <w:p w:rsidR="00557A6F" w:rsidRDefault="00557A6F" w:rsidP="00557A6F">
            <w:pPr>
              <w:jc w:val="right"/>
            </w:pPr>
          </w:p>
        </w:tc>
      </w:tr>
      <w:tr w:rsidR="00557A6F" w:rsidTr="00557A6F">
        <w:trPr>
          <w:trHeight w:val="380"/>
        </w:trPr>
        <w:tc>
          <w:tcPr>
            <w:tcW w:w="1140" w:type="dxa"/>
          </w:tcPr>
          <w:p w:rsidR="00557A6F" w:rsidRDefault="00557A6F" w:rsidP="00557A6F"/>
        </w:tc>
        <w:tc>
          <w:tcPr>
            <w:tcW w:w="4560" w:type="dxa"/>
          </w:tcPr>
          <w:p w:rsidR="00557A6F" w:rsidRDefault="00557A6F" w:rsidP="00557A6F">
            <w:r>
              <w:t>Sum post 24</w:t>
            </w:r>
          </w:p>
        </w:tc>
        <w:tc>
          <w:tcPr>
            <w:tcW w:w="1140" w:type="dxa"/>
          </w:tcPr>
          <w:p w:rsidR="00557A6F" w:rsidRDefault="00557A6F" w:rsidP="00557A6F">
            <w:pPr>
              <w:jc w:val="right"/>
            </w:pPr>
            <w:r>
              <w:t>-405 141</w:t>
            </w:r>
          </w:p>
        </w:tc>
        <w:tc>
          <w:tcPr>
            <w:tcW w:w="1140" w:type="dxa"/>
          </w:tcPr>
          <w:p w:rsidR="00557A6F" w:rsidRDefault="00557A6F" w:rsidP="00557A6F">
            <w:pPr>
              <w:jc w:val="right"/>
            </w:pPr>
            <w:r>
              <w:t>-346 141</w:t>
            </w:r>
          </w:p>
        </w:tc>
        <w:tc>
          <w:tcPr>
            <w:tcW w:w="1140" w:type="dxa"/>
          </w:tcPr>
          <w:p w:rsidR="00557A6F" w:rsidRDefault="00557A6F" w:rsidP="00557A6F">
            <w:pPr>
              <w:jc w:val="right"/>
            </w:pPr>
            <w:r>
              <w:t>-651 141</w:t>
            </w:r>
          </w:p>
        </w:tc>
      </w:tr>
    </w:tbl>
    <w:p w:rsidR="00557A6F" w:rsidRDefault="00557A6F" w:rsidP="00557A6F">
      <w:r>
        <w:t>Statsbygg skal over driftsbudsjettet dekke alle utgifter til forvaltning, drift og vedlikehold av eie</w:t>
      </w:r>
      <w:r>
        <w:t>n</w:t>
      </w:r>
      <w:r>
        <w:t>dommene, avskrivninger og renter, og i tillegg avsette midler til nye investeringer. I 2020 vil Statsbygg over driftsbudsjettet dekke 1,13 mrd. kroner av de samlede investeringene på kap. 2445 på om lag 3 mrd. kroner, jf. post 24.5 Til investeringsformål.</w:t>
      </w:r>
    </w:p>
    <w:p w:rsidR="00557A6F" w:rsidRDefault="00557A6F" w:rsidP="00557A6F">
      <w:pPr>
        <w:pStyle w:val="b-underpost"/>
      </w:pPr>
      <w:r>
        <w:t>Underpost 24.1 Driftsinntekter</w:t>
      </w:r>
    </w:p>
    <w:p w:rsidR="00557A6F" w:rsidRDefault="00557A6F" w:rsidP="00557A6F">
      <w:r>
        <w:t>Inntektene består i det alt vesentlige av husleie fra leietakerne. Husleiene dekker forvaltning, drift, verdibevarende vedlikehold av eiendommene, avskrivninger og avkastning på investert kapital. I tillegg i</w:t>
      </w:r>
      <w:r>
        <w:t>n</w:t>
      </w:r>
      <w:r>
        <w:t>neholder posten netto inntekter fra salg av eiendom, fakturerte rådgivningstjenester og inntekter fra andre oppdrag.</w:t>
      </w:r>
    </w:p>
    <w:p w:rsidR="00557A6F" w:rsidRDefault="00557A6F" w:rsidP="00557A6F">
      <w:pPr>
        <w:pStyle w:val="b-underpost"/>
      </w:pPr>
      <w:r>
        <w:t>Underpost 24.2 Driftsutgifter</w:t>
      </w:r>
    </w:p>
    <w:p w:rsidR="00557A6F" w:rsidRDefault="00557A6F" w:rsidP="00557A6F">
      <w:r>
        <w:t>Driftsutgiftene består i hovedsak av forvaltning, drift og vedlikehold av eiendomsmassen samt a</w:t>
      </w:r>
      <w:r>
        <w:t>d</w:t>
      </w:r>
      <w:r>
        <w:t>ministrasjon og lønn.</w:t>
      </w:r>
    </w:p>
    <w:p w:rsidR="00557A6F" w:rsidRDefault="00557A6F" w:rsidP="00557A6F">
      <w:pPr>
        <w:pStyle w:val="b-underpost"/>
      </w:pPr>
      <w:r>
        <w:t>Underpost 24.3 Avskrivninger</w:t>
      </w:r>
    </w:p>
    <w:p w:rsidR="00557A6F" w:rsidRDefault="00557A6F" w:rsidP="00557A6F">
      <w:r>
        <w:t>Alle eiendeler blir avskrevet lineært. Normal avskrivningstid for nybygg er 60 år. Tekniske anlegg og andre særskilte bygningskomponenter har kortere avskrivningstid. Avskrivningene føres som en driftsutgift i Statsbygg og motsvares av en tilsvarende inntekt på kap. 5491 Avskrivninger på st</w:t>
      </w:r>
      <w:r>
        <w:t>a</w:t>
      </w:r>
      <w:r>
        <w:t>tens kapital i st</w:t>
      </w:r>
      <w:r>
        <w:t>a</w:t>
      </w:r>
      <w:r>
        <w:t>tens forretningsdrift, post 30 Avskrivninger.</w:t>
      </w:r>
    </w:p>
    <w:p w:rsidR="00557A6F" w:rsidRDefault="00557A6F" w:rsidP="00557A6F">
      <w:pPr>
        <w:pStyle w:val="b-underpost"/>
      </w:pPr>
      <w:r>
        <w:t>Underpost 24.4 Renter av statens kapital</w:t>
      </w:r>
    </w:p>
    <w:p w:rsidR="00557A6F" w:rsidRDefault="00557A6F" w:rsidP="00557A6F">
      <w:r>
        <w:t>Forslaget til bevilgning er i samsvar med retningslinjer for utregning av renter i statlige forval</w:t>
      </w:r>
      <w:r>
        <w:t>t</w:t>
      </w:r>
      <w:r>
        <w:t>ningsbedrifter. Rentene føres som en driftsutgift i Statsbygg og motsvares av en tilsvarende inntekt på kap. 5603 Renter av statens kapital i statens forretningsdrift, post 80 Renter av statens faste k</w:t>
      </w:r>
      <w:r>
        <w:t>a</w:t>
      </w:r>
      <w:r>
        <w:t>pital.</w:t>
      </w:r>
    </w:p>
    <w:p w:rsidR="00557A6F" w:rsidRDefault="00557A6F" w:rsidP="00557A6F">
      <w:pPr>
        <w:pStyle w:val="b-underpost"/>
      </w:pPr>
      <w:r>
        <w:t>Underpost 24.5 Til investeringsformål</w:t>
      </w:r>
    </w:p>
    <w:p w:rsidR="00557A6F" w:rsidRDefault="00557A6F" w:rsidP="00557A6F">
      <w:r>
        <w:t>Posten gjelder avsetning til investeringsformål. Avsetningen føres til inntekt under kap. 5445 Statsbygg, post 39 Avsetning til investeringsformål, og kan ses på som en delfinansiering av byggeprosjektene på kap. 2445 Statsbygg. Det er imidlertid ikke en direkte sammenheng mellom størrelsen på underpost 24.5 og de samlede investeringsbevilgningene på kap. 2445 Statsbygg, postene 30–49. Gevinst ved salg av eiendom som reinvesteres blir også ført på denne posten. I</w:t>
      </w:r>
      <w:r>
        <w:t>n</w:t>
      </w:r>
      <w:r>
        <w:t>vesteringene blir senere avskrevet, jf. omtale under underpost 24.3.</w:t>
      </w:r>
    </w:p>
    <w:p w:rsidR="00557A6F" w:rsidRDefault="00557A6F" w:rsidP="00557A6F">
      <w:pPr>
        <w:pStyle w:val="b-underpost"/>
      </w:pPr>
      <w:r>
        <w:t>Underpost 24.6 Til reguleringsfondet</w:t>
      </w:r>
    </w:p>
    <w:p w:rsidR="00557A6F" w:rsidRDefault="00557A6F" w:rsidP="00557A6F">
      <w:r>
        <w:t>Reguleringsfondet brukes til å dekke eventuelle avvik i driftsinntekter og driftsutgifter. Fondet skal også dekke utgifter ved skadetilfeller på eiendommene, til sammen 2 286 bygninger i inn- og u</w:t>
      </w:r>
      <w:r>
        <w:t>t</w:t>
      </w:r>
      <w:r>
        <w:t>land. For at fondet skal virke etter hensikten, er det viktig å holde det på et tilstrekkelig nivå. I Prop. 1 S (2016–2017) for Ko</w:t>
      </w:r>
      <w:r>
        <w:t>m</w:t>
      </w:r>
      <w:r>
        <w:t>munal- og moderniseringsdepartementet er dette nivået anslått til minimum 300 mill. kroner. Ved utgangen av 2018 var beholdningen på reguleringsfondet 321 mill. kroner.</w:t>
      </w:r>
    </w:p>
    <w:p w:rsidR="00557A6F" w:rsidRDefault="00557A6F" w:rsidP="00557A6F">
      <w:r>
        <w:t>Departementet kan overskride årlige bevilgninger på investeringspostene ved bruk av midler fra fondet. Det gjelder både tilførsel av likviditet for å holde optimal framdrift i byggeprosjekter under arbeid, og kjøp av eiendom på kap. 2445 Statsbygg, jf. forslag til romertallsvedtak.</w:t>
      </w:r>
    </w:p>
    <w:p w:rsidR="00557A6F" w:rsidRDefault="00557A6F" w:rsidP="00557A6F">
      <w:pPr>
        <w:pStyle w:val="avsnitt-tittel"/>
      </w:pPr>
      <w:r>
        <w:t>Rapport</w:t>
      </w:r>
    </w:p>
    <w:p w:rsidR="00557A6F" w:rsidRDefault="00557A6F" w:rsidP="00557A6F">
      <w:r>
        <w:t>Fra kap. 2445 Statsbygg ble det i 2018 inntektsført nær 3,2 mrd. kroner til statskassen i form av driftsr</w:t>
      </w:r>
      <w:r>
        <w:t>e</w:t>
      </w:r>
      <w:r>
        <w:t>sultat, avskrivninger, renter og avsetning til investeringsformål.</w:t>
      </w:r>
    </w:p>
    <w:p w:rsidR="00557A6F" w:rsidRDefault="00557A6F" w:rsidP="00557A6F">
      <w:r>
        <w:t xml:space="preserve">Statsbygg videreførte i 2018 sitt effektiviseringsprogram, som startet ved årsskiftet 2015/2016. Programmet har hatt som mål å effektivisere med ti prosent i løpet av tre år, enten ved direkte kostnadskutt </w:t>
      </w:r>
      <w:r>
        <w:lastRenderedPageBreak/>
        <w:t>eller vekst i produ</w:t>
      </w:r>
      <w:r>
        <w:t>k</w:t>
      </w:r>
      <w:r>
        <w:t>sjonen uten tilsvarende vekst i kostnader. Det er vurdert at 75 pst. av gevinstpotensi</w:t>
      </w:r>
      <w:r>
        <w:t>a</w:t>
      </w:r>
      <w:r>
        <w:t xml:space="preserve">let er realisert ved utgangen av 2018. </w:t>
      </w:r>
    </w:p>
    <w:p w:rsidR="00557A6F" w:rsidRDefault="00557A6F" w:rsidP="00557A6F">
      <w:r>
        <w:t>Statsbygg følger en fastsatt strategi for verdibevarende og forebyggende vedlikehold. I 2018 ble det brukt om lag 226 mill. kroner til vedlikehold av fengsler. Det vises til rapport under mål 2.</w:t>
      </w:r>
    </w:p>
    <w:p w:rsidR="00557A6F" w:rsidRDefault="00557A6F" w:rsidP="00557A6F">
      <w:pPr>
        <w:pStyle w:val="avsnitt-tittel"/>
      </w:pPr>
      <w:r>
        <w:t>Budsjettforslag</w:t>
      </w:r>
    </w:p>
    <w:p w:rsidR="00557A6F" w:rsidRDefault="00557A6F" w:rsidP="00557A6F">
      <w:r>
        <w:t>Bevilgningen til riving av Y-blokken og R4/Møllergata 17 i regjeringskvartalet i 2019 på 190 mill. kroner videreføres ikke i 2020. Driftsresultatet økes derfor tilsvarende.</w:t>
      </w:r>
    </w:p>
    <w:p w:rsidR="00557A6F" w:rsidRDefault="00557A6F" w:rsidP="00557A6F">
      <w:r>
        <w:t>Det foreslås at kravet til driftsresultatet økes med 100 mill. kroner som følge av økte husleiein</w:t>
      </w:r>
      <w:r>
        <w:t>n</w:t>
      </w:r>
      <w:r>
        <w:t xml:space="preserve">tekter og økt rente i statens husleieordning. </w:t>
      </w:r>
    </w:p>
    <w:p w:rsidR="00557A6F" w:rsidRDefault="00557A6F" w:rsidP="00557A6F">
      <w:r>
        <w:t>Det foreslås å omdisponere 15 mill. kroner til kap. 533 Eiendommer utenfor husleieordningen, post 45, for å styrke vedlikeholdet av kulturhistoriske eiendommer. Dette medfører at kravet til drift</w:t>
      </w:r>
      <w:r>
        <w:t>s</w:t>
      </w:r>
      <w:r>
        <w:t>resultat økes tilsvarende.</w:t>
      </w:r>
    </w:p>
    <w:p w:rsidR="00557A6F" w:rsidRDefault="00557A6F" w:rsidP="00557A6F">
      <w:r>
        <w:t xml:space="preserve">Dette gir et samlet forslag til driftsresultat på 651,1 mill. kroner, en økning på 305 mill. kroner. </w:t>
      </w:r>
    </w:p>
    <w:p w:rsidR="00557A6F" w:rsidRDefault="00557A6F" w:rsidP="00557A6F">
      <w:pPr>
        <w:pStyle w:val="b-post"/>
      </w:pPr>
      <w:r>
        <w:t>Post 30 Prosjektering av bygg, kan overføres</w:t>
      </w:r>
    </w:p>
    <w:p w:rsidR="00557A6F" w:rsidRDefault="00557A6F" w:rsidP="00557A6F">
      <w:r>
        <w:t>Bevilgningen dekker utgifter til prosjektering av ordinære byggeprosjekter fram til fullført forpr</w:t>
      </w:r>
      <w:r>
        <w:t>o</w:t>
      </w:r>
      <w:r>
        <w:t>sjekt.</w:t>
      </w:r>
    </w:p>
    <w:p w:rsidR="00557A6F" w:rsidRDefault="00557A6F" w:rsidP="00557A6F">
      <w:r>
        <w:t>I 2018 ble midlene blant annet brukt til prosjektering av nytt regjeringskvartal, forprosjekt for ny ene</w:t>
      </w:r>
      <w:r>
        <w:t>r</w:t>
      </w:r>
      <w:r>
        <w:t>giløsning i regjeringskvartalet basert på sjøvann, samt prosjektering av nye arealer for helse- og sosialv</w:t>
      </w:r>
      <w:r>
        <w:t>i</w:t>
      </w:r>
      <w:r>
        <w:t>tenskap ved Norges teknisk-naturvitenskapelige universitet (NTNU).</w:t>
      </w:r>
    </w:p>
    <w:p w:rsidR="00557A6F" w:rsidRDefault="00557A6F" w:rsidP="00557A6F">
      <w:pPr>
        <w:pStyle w:val="avsnitt-tittel"/>
      </w:pPr>
      <w:r>
        <w:t>Budsjettforslag</w:t>
      </w:r>
    </w:p>
    <w:p w:rsidR="00557A6F" w:rsidRDefault="00557A6F" w:rsidP="00557A6F">
      <w:r>
        <w:t>Det foreslås bevilget 500 mill. kroner i 2020 til arbeidet med forprosjekt nytt regjeringskvartal, for å kunne ferdigstille forprosjektet for byggetrinn 1 i 2020. Det vises til programkategori 13.00 A</w:t>
      </w:r>
      <w:r>
        <w:t>d</w:t>
      </w:r>
      <w:r>
        <w:t>ministrasjon, mål 3 Et nytt, effektivt regjeringskvartal for en nærmere omtale av arbeidet med fo</w:t>
      </w:r>
      <w:r>
        <w:t>r</w:t>
      </w:r>
      <w:r>
        <w:t xml:space="preserve">prosjektet, og til Meld. St. 21 (2018–2019) </w:t>
      </w:r>
      <w:r>
        <w:rPr>
          <w:rStyle w:val="kursiv"/>
          <w:sz w:val="21"/>
          <w:szCs w:val="21"/>
        </w:rPr>
        <w:t xml:space="preserve">Nytt regjeringskvartal. </w:t>
      </w:r>
      <w:r>
        <w:t>I tillegg foreslås det 15 mill. kroner til prosjektering av nytt fengsel i Oslo.</w:t>
      </w:r>
    </w:p>
    <w:p w:rsidR="00557A6F" w:rsidRDefault="00557A6F" w:rsidP="00557A6F">
      <w:r>
        <w:t>Samlet foreslås det en bevilgning på 515 mill. kroner.</w:t>
      </w:r>
    </w:p>
    <w:p w:rsidR="00557A6F" w:rsidRDefault="00557A6F" w:rsidP="00557A6F">
      <w:pPr>
        <w:pStyle w:val="b-post"/>
      </w:pPr>
      <w:r>
        <w:t>Post 31 Igangsetting av ordinære byggeprosjekter, kan overføres</w:t>
      </w:r>
    </w:p>
    <w:p w:rsidR="00557A6F" w:rsidRDefault="00557A6F" w:rsidP="00557A6F">
      <w:r>
        <w:t>Posten dekker utgifter til oppstart av nye byggeprosjekter innenfor husleieordningen.</w:t>
      </w:r>
    </w:p>
    <w:p w:rsidR="00557A6F" w:rsidRDefault="00557A6F" w:rsidP="00557A6F">
      <w:r>
        <w:t>I 2018 ble det bevilget midler til oppstart av Svalbard Globale Frøhvelv, ny adkomsttunnel. I 2019 ble det bevilget midler til oppstart av nytt museumsbygg for Saemien Sijte i Snåsa, ny energilø</w:t>
      </w:r>
      <w:r>
        <w:t>s</w:t>
      </w:r>
      <w:r>
        <w:t>ning i regjeringskvartalet og fo</w:t>
      </w:r>
      <w:r>
        <w:t>r</w:t>
      </w:r>
      <w:r>
        <w:t>sterket fellesskapsavdeling ved Ila fengsel og forvaringsanstalt.</w:t>
      </w:r>
    </w:p>
    <w:p w:rsidR="00557A6F" w:rsidRDefault="00557A6F" w:rsidP="00557A6F">
      <w:r>
        <w:t xml:space="preserve">For 2020 foreslås det en bevilgning på 170 mill. kroner til forberedende sikkerhetsrelaterte arbeider i prosjekt nytt regjeringskvartal. </w:t>
      </w:r>
    </w:p>
    <w:p w:rsidR="00557A6F" w:rsidRDefault="00557A6F" w:rsidP="00557A6F">
      <w:r>
        <w:t>Videre foreslås det 17 mill. kroner til rehabilitering av Ila fengsel. Kostnadsrammen foreslås satt til 353 mill. kroner (prisnivå per 1. juli 2020). Prosjektet forventes ferdigstilt andre halvår 2022.</w:t>
      </w:r>
    </w:p>
    <w:p w:rsidR="00557A6F" w:rsidRDefault="00557A6F" w:rsidP="00557A6F">
      <w:r>
        <w:t>Samlet foreslås det en bevilgning på 187 mill. kroner.</w:t>
      </w:r>
    </w:p>
    <w:p w:rsidR="00557A6F" w:rsidRDefault="00557A6F" w:rsidP="00557A6F">
      <w:pPr>
        <w:pStyle w:val="b-post"/>
      </w:pPr>
      <w:r>
        <w:t>Post 32 Prosjektering og igangsetting av brukerfinansierte byggeprosjekter, kan overføres</w:t>
      </w:r>
    </w:p>
    <w:p w:rsidR="00557A6F" w:rsidRDefault="00557A6F" w:rsidP="00557A6F">
      <w:r>
        <w:t>Bevilgningen omfatter midler til prosjektering og igangsetting av brukerfinansierte byggeprosjekter på oppdrag fra departementene. Departementet har i eget rundskriv utarbeidet retningslinjer for gjennomf</w:t>
      </w:r>
      <w:r>
        <w:t>ø</w:t>
      </w:r>
      <w:r>
        <w:t>ring av brukerfinansierte byggeprosjekter.</w:t>
      </w:r>
    </w:p>
    <w:p w:rsidR="00557A6F" w:rsidRDefault="00557A6F" w:rsidP="00557A6F">
      <w:r>
        <w:t xml:space="preserve">Det foreslås en bevilgning til prosjektering og igangsetting av nye prosjekter på 327 mill. kroner. </w:t>
      </w:r>
    </w:p>
    <w:p w:rsidR="00557A6F" w:rsidRDefault="00557A6F" w:rsidP="00557A6F">
      <w:pPr>
        <w:pStyle w:val="b-post"/>
      </w:pPr>
      <w:r>
        <w:t>Post 33 Videreføring av ordinære byggeprosjekter, kan overføres</w:t>
      </w:r>
    </w:p>
    <w:p w:rsidR="00557A6F" w:rsidRDefault="00557A6F" w:rsidP="00557A6F">
      <w:r>
        <w:t>Posten omfatter midler til videreføring av byggeprosjekter som Stortinget tidligere har vedtatt å starte opp. Midlene skal sikre optimal framdrift i de prosjektene som pågår.</w:t>
      </w:r>
    </w:p>
    <w:p w:rsidR="00557A6F" w:rsidRDefault="00557A6F" w:rsidP="00557A6F">
      <w:pPr>
        <w:pStyle w:val="avsnitt-tittel"/>
      </w:pPr>
      <w:r>
        <w:lastRenderedPageBreak/>
        <w:t>Budsjettforslag</w:t>
      </w:r>
    </w:p>
    <w:p w:rsidR="00557A6F" w:rsidRDefault="00557A6F" w:rsidP="00557A6F">
      <w:r>
        <w:t>Tabellen nedenfor viser prosjekter på kap. 2445 Statsbygg som er under bygging i 2020:</w:t>
      </w:r>
    </w:p>
    <w:p w:rsidR="007F3140" w:rsidRDefault="007F3140" w:rsidP="007F3140">
      <w:pPr>
        <w:pStyle w:val="tabell-tittel"/>
      </w:pPr>
      <w:r>
        <w:t>Ordinære byggeprosjekter – videreføring</w:t>
      </w:r>
    </w:p>
    <w:p w:rsidR="00557A6F" w:rsidRDefault="00557A6F" w:rsidP="00557A6F">
      <w:pPr>
        <w:pStyle w:val="Tabellnavn"/>
      </w:pPr>
      <w:r>
        <w:t>05J1xt2</w:t>
      </w:r>
    </w:p>
    <w:tbl>
      <w:tblPr>
        <w:tblStyle w:val="StandardTabell"/>
        <w:tblW w:w="0" w:type="auto"/>
        <w:tblLayout w:type="fixed"/>
        <w:tblLook w:val="04A0" w:firstRow="1" w:lastRow="0" w:firstColumn="1" w:lastColumn="0" w:noHBand="0" w:noVBand="1"/>
      </w:tblPr>
      <w:tblGrid>
        <w:gridCol w:w="3900"/>
        <w:gridCol w:w="1400"/>
        <w:gridCol w:w="1460"/>
        <w:gridCol w:w="1680"/>
        <w:gridCol w:w="1080"/>
      </w:tblGrid>
      <w:tr w:rsidR="00557A6F" w:rsidTr="007F3140">
        <w:trPr>
          <w:trHeight w:val="600"/>
        </w:trPr>
        <w:tc>
          <w:tcPr>
            <w:tcW w:w="3900" w:type="dxa"/>
            <w:shd w:val="clear" w:color="auto" w:fill="FFFFFF"/>
          </w:tcPr>
          <w:p w:rsidR="00557A6F" w:rsidRDefault="00557A6F" w:rsidP="00557A6F"/>
        </w:tc>
        <w:tc>
          <w:tcPr>
            <w:tcW w:w="1400" w:type="dxa"/>
          </w:tcPr>
          <w:p w:rsidR="00557A6F" w:rsidRDefault="00557A6F" w:rsidP="007F3140">
            <w:pPr>
              <w:jc w:val="right"/>
            </w:pPr>
            <w:r>
              <w:t>Oppstart</w:t>
            </w:r>
          </w:p>
        </w:tc>
        <w:tc>
          <w:tcPr>
            <w:tcW w:w="1460" w:type="dxa"/>
          </w:tcPr>
          <w:p w:rsidR="00557A6F" w:rsidRDefault="00557A6F" w:rsidP="007F3140">
            <w:pPr>
              <w:jc w:val="right"/>
            </w:pPr>
            <w:r>
              <w:t>Avtalt</w:t>
            </w:r>
            <w:r>
              <w:br/>
              <w:t xml:space="preserve"> ferdigsti</w:t>
            </w:r>
            <w:r>
              <w:t>l</w:t>
            </w:r>
            <w:r>
              <w:t>lelse</w:t>
            </w:r>
          </w:p>
        </w:tc>
        <w:tc>
          <w:tcPr>
            <w:tcW w:w="1680" w:type="dxa"/>
          </w:tcPr>
          <w:p w:rsidR="00557A6F" w:rsidRDefault="00557A6F" w:rsidP="007F3140">
            <w:pPr>
              <w:jc w:val="right"/>
            </w:pPr>
            <w:r>
              <w:t>Kostnadsramme per 1.7.2020</w:t>
            </w:r>
          </w:p>
        </w:tc>
        <w:tc>
          <w:tcPr>
            <w:tcW w:w="1080" w:type="dxa"/>
          </w:tcPr>
          <w:p w:rsidR="00557A6F" w:rsidRDefault="00557A6F" w:rsidP="007F3140">
            <w:pPr>
              <w:jc w:val="right"/>
            </w:pPr>
            <w:r>
              <w:t xml:space="preserve">Forslag </w:t>
            </w:r>
            <w:r>
              <w:br/>
              <w:t>2020</w:t>
            </w:r>
          </w:p>
        </w:tc>
      </w:tr>
      <w:tr w:rsidR="00557A6F" w:rsidTr="007F3140">
        <w:trPr>
          <w:trHeight w:val="380"/>
        </w:trPr>
        <w:tc>
          <w:tcPr>
            <w:tcW w:w="9520" w:type="dxa"/>
            <w:gridSpan w:val="5"/>
          </w:tcPr>
          <w:p w:rsidR="00557A6F" w:rsidRDefault="00557A6F" w:rsidP="00557A6F">
            <w:r>
              <w:rPr>
                <w:rStyle w:val="kursiv"/>
                <w:sz w:val="21"/>
                <w:szCs w:val="21"/>
              </w:rPr>
              <w:t>Bygg under Kommunal- og moderniseringsdepartementet</w:t>
            </w:r>
          </w:p>
        </w:tc>
      </w:tr>
      <w:tr w:rsidR="00557A6F" w:rsidTr="007F3140">
        <w:trPr>
          <w:trHeight w:val="380"/>
        </w:trPr>
        <w:tc>
          <w:tcPr>
            <w:tcW w:w="3900" w:type="dxa"/>
          </w:tcPr>
          <w:p w:rsidR="00557A6F" w:rsidRDefault="00557A6F" w:rsidP="00557A6F">
            <w:r>
              <w:t>Energiløsning for nytt regjeringskva</w:t>
            </w:r>
            <w:r>
              <w:t>r</w:t>
            </w:r>
            <w:r>
              <w:t>tal</w:t>
            </w:r>
          </w:p>
        </w:tc>
        <w:tc>
          <w:tcPr>
            <w:tcW w:w="1400" w:type="dxa"/>
          </w:tcPr>
          <w:p w:rsidR="00557A6F" w:rsidRDefault="00557A6F" w:rsidP="007F3140">
            <w:pPr>
              <w:jc w:val="right"/>
            </w:pPr>
            <w:r>
              <w:t>2019</w:t>
            </w:r>
          </w:p>
        </w:tc>
        <w:tc>
          <w:tcPr>
            <w:tcW w:w="1460" w:type="dxa"/>
          </w:tcPr>
          <w:p w:rsidR="00557A6F" w:rsidRDefault="00557A6F" w:rsidP="007F3140">
            <w:pPr>
              <w:jc w:val="right"/>
            </w:pPr>
            <w:r>
              <w:t>2024</w:t>
            </w:r>
          </w:p>
        </w:tc>
        <w:tc>
          <w:tcPr>
            <w:tcW w:w="1680" w:type="dxa"/>
          </w:tcPr>
          <w:p w:rsidR="00557A6F" w:rsidRDefault="00557A6F" w:rsidP="007F3140">
            <w:pPr>
              <w:jc w:val="right"/>
            </w:pPr>
            <w:r>
              <w:t>1 454,0</w:t>
            </w:r>
          </w:p>
        </w:tc>
        <w:tc>
          <w:tcPr>
            <w:tcW w:w="1080" w:type="dxa"/>
          </w:tcPr>
          <w:p w:rsidR="00557A6F" w:rsidRDefault="00557A6F" w:rsidP="007F3140">
            <w:pPr>
              <w:jc w:val="right"/>
            </w:pPr>
            <w:r>
              <w:t>170,0</w:t>
            </w:r>
          </w:p>
        </w:tc>
      </w:tr>
      <w:tr w:rsidR="00557A6F" w:rsidTr="007F3140">
        <w:trPr>
          <w:trHeight w:val="380"/>
        </w:trPr>
        <w:tc>
          <w:tcPr>
            <w:tcW w:w="3900" w:type="dxa"/>
          </w:tcPr>
          <w:p w:rsidR="00557A6F" w:rsidRDefault="00557A6F" w:rsidP="00557A6F">
            <w:r>
              <w:rPr>
                <w:rStyle w:val="kursiv"/>
                <w:sz w:val="21"/>
                <w:szCs w:val="21"/>
              </w:rPr>
              <w:t>Bygg under Kulturdepartementet</w:t>
            </w:r>
          </w:p>
        </w:tc>
        <w:tc>
          <w:tcPr>
            <w:tcW w:w="1400" w:type="dxa"/>
          </w:tcPr>
          <w:p w:rsidR="00557A6F" w:rsidRDefault="00557A6F" w:rsidP="007F3140">
            <w:pPr>
              <w:jc w:val="right"/>
            </w:pPr>
          </w:p>
        </w:tc>
        <w:tc>
          <w:tcPr>
            <w:tcW w:w="1460" w:type="dxa"/>
          </w:tcPr>
          <w:p w:rsidR="00557A6F" w:rsidRDefault="00557A6F" w:rsidP="007F3140">
            <w:pPr>
              <w:jc w:val="right"/>
            </w:pPr>
          </w:p>
        </w:tc>
        <w:tc>
          <w:tcPr>
            <w:tcW w:w="1680" w:type="dxa"/>
          </w:tcPr>
          <w:p w:rsidR="00557A6F" w:rsidRDefault="00557A6F" w:rsidP="007F3140">
            <w:pPr>
              <w:jc w:val="right"/>
            </w:pPr>
          </w:p>
        </w:tc>
        <w:tc>
          <w:tcPr>
            <w:tcW w:w="1080" w:type="dxa"/>
          </w:tcPr>
          <w:p w:rsidR="00557A6F" w:rsidRDefault="00557A6F" w:rsidP="007F3140">
            <w:pPr>
              <w:jc w:val="right"/>
            </w:pPr>
          </w:p>
        </w:tc>
      </w:tr>
      <w:tr w:rsidR="00557A6F" w:rsidTr="007F3140">
        <w:trPr>
          <w:trHeight w:val="880"/>
        </w:trPr>
        <w:tc>
          <w:tcPr>
            <w:tcW w:w="3900" w:type="dxa"/>
          </w:tcPr>
          <w:p w:rsidR="00557A6F" w:rsidRDefault="00557A6F" w:rsidP="00557A6F">
            <w:r>
              <w:t>Nytt sikringsmagasin for Nasjonalbibli</w:t>
            </w:r>
            <w:r>
              <w:t>o</w:t>
            </w:r>
            <w:r>
              <w:t>teket og arkivmagasin i fjellet i Rana (NB Fjellanlegget)</w:t>
            </w:r>
          </w:p>
        </w:tc>
        <w:tc>
          <w:tcPr>
            <w:tcW w:w="1400" w:type="dxa"/>
          </w:tcPr>
          <w:p w:rsidR="00557A6F" w:rsidRDefault="00557A6F" w:rsidP="007F3140">
            <w:pPr>
              <w:jc w:val="right"/>
            </w:pPr>
            <w:r>
              <w:t>2017</w:t>
            </w:r>
          </w:p>
        </w:tc>
        <w:tc>
          <w:tcPr>
            <w:tcW w:w="1460" w:type="dxa"/>
          </w:tcPr>
          <w:p w:rsidR="00557A6F" w:rsidRDefault="00557A6F" w:rsidP="007F3140">
            <w:pPr>
              <w:jc w:val="right"/>
            </w:pPr>
            <w:r>
              <w:t>2021</w:t>
            </w:r>
          </w:p>
        </w:tc>
        <w:tc>
          <w:tcPr>
            <w:tcW w:w="1680" w:type="dxa"/>
          </w:tcPr>
          <w:p w:rsidR="00557A6F" w:rsidRDefault="00557A6F" w:rsidP="007F3140">
            <w:pPr>
              <w:jc w:val="right"/>
            </w:pPr>
            <w:r>
              <w:t>840,9</w:t>
            </w:r>
          </w:p>
        </w:tc>
        <w:tc>
          <w:tcPr>
            <w:tcW w:w="1080" w:type="dxa"/>
          </w:tcPr>
          <w:p w:rsidR="00557A6F" w:rsidRDefault="00557A6F" w:rsidP="007F3140">
            <w:pPr>
              <w:jc w:val="right"/>
            </w:pPr>
            <w:r>
              <w:t>220,0</w:t>
            </w:r>
          </w:p>
        </w:tc>
      </w:tr>
      <w:tr w:rsidR="00557A6F" w:rsidTr="007F3140">
        <w:trPr>
          <w:trHeight w:val="640"/>
        </w:trPr>
        <w:tc>
          <w:tcPr>
            <w:tcW w:w="3900" w:type="dxa"/>
          </w:tcPr>
          <w:p w:rsidR="00557A6F" w:rsidRDefault="00557A6F" w:rsidP="00557A6F">
            <w:r>
              <w:t>Nytt museumsbygg for Saemien Sijte på Snåsa</w:t>
            </w:r>
          </w:p>
        </w:tc>
        <w:tc>
          <w:tcPr>
            <w:tcW w:w="1400" w:type="dxa"/>
          </w:tcPr>
          <w:p w:rsidR="00557A6F" w:rsidRDefault="00557A6F" w:rsidP="007F3140">
            <w:pPr>
              <w:jc w:val="right"/>
            </w:pPr>
            <w:r>
              <w:t>2019</w:t>
            </w:r>
          </w:p>
        </w:tc>
        <w:tc>
          <w:tcPr>
            <w:tcW w:w="1460" w:type="dxa"/>
          </w:tcPr>
          <w:p w:rsidR="00557A6F" w:rsidRDefault="00557A6F" w:rsidP="007F3140">
            <w:pPr>
              <w:jc w:val="right"/>
            </w:pPr>
            <w:r>
              <w:t>2021</w:t>
            </w:r>
          </w:p>
        </w:tc>
        <w:tc>
          <w:tcPr>
            <w:tcW w:w="1680" w:type="dxa"/>
          </w:tcPr>
          <w:p w:rsidR="00557A6F" w:rsidRDefault="00557A6F" w:rsidP="007F3140">
            <w:pPr>
              <w:jc w:val="right"/>
            </w:pPr>
            <w:r>
              <w:t>126,2</w:t>
            </w:r>
          </w:p>
        </w:tc>
        <w:tc>
          <w:tcPr>
            <w:tcW w:w="1080" w:type="dxa"/>
          </w:tcPr>
          <w:p w:rsidR="00557A6F" w:rsidRDefault="00557A6F" w:rsidP="007F3140">
            <w:pPr>
              <w:jc w:val="right"/>
            </w:pPr>
            <w:r>
              <w:t>29,8</w:t>
            </w:r>
          </w:p>
        </w:tc>
      </w:tr>
      <w:tr w:rsidR="00557A6F" w:rsidTr="007F3140">
        <w:trPr>
          <w:trHeight w:val="380"/>
        </w:trPr>
        <w:tc>
          <w:tcPr>
            <w:tcW w:w="9520" w:type="dxa"/>
            <w:gridSpan w:val="5"/>
          </w:tcPr>
          <w:p w:rsidR="00557A6F" w:rsidRDefault="00557A6F" w:rsidP="00557A6F">
            <w:r>
              <w:rPr>
                <w:rStyle w:val="kursiv"/>
                <w:sz w:val="21"/>
                <w:szCs w:val="21"/>
              </w:rPr>
              <w:t>Bygg under Justis- og beredskapsdepartementet</w:t>
            </w:r>
          </w:p>
        </w:tc>
      </w:tr>
      <w:tr w:rsidR="00557A6F" w:rsidTr="007F3140">
        <w:trPr>
          <w:trHeight w:val="380"/>
        </w:trPr>
        <w:tc>
          <w:tcPr>
            <w:tcW w:w="3900" w:type="dxa"/>
          </w:tcPr>
          <w:p w:rsidR="00557A6F" w:rsidRDefault="00557A6F" w:rsidP="00557A6F">
            <w:r>
              <w:t>Agder fengsel, Froland</w:t>
            </w:r>
          </w:p>
        </w:tc>
        <w:tc>
          <w:tcPr>
            <w:tcW w:w="1400" w:type="dxa"/>
          </w:tcPr>
          <w:p w:rsidR="00557A6F" w:rsidRDefault="00557A6F" w:rsidP="007F3140">
            <w:pPr>
              <w:jc w:val="right"/>
            </w:pPr>
            <w:r>
              <w:t>2017</w:t>
            </w:r>
          </w:p>
        </w:tc>
        <w:tc>
          <w:tcPr>
            <w:tcW w:w="1460" w:type="dxa"/>
          </w:tcPr>
          <w:p w:rsidR="00557A6F" w:rsidRDefault="00557A6F" w:rsidP="007F3140">
            <w:pPr>
              <w:jc w:val="right"/>
            </w:pPr>
            <w:r>
              <w:t>2020</w:t>
            </w:r>
          </w:p>
        </w:tc>
        <w:tc>
          <w:tcPr>
            <w:tcW w:w="1680" w:type="dxa"/>
          </w:tcPr>
          <w:p w:rsidR="00557A6F" w:rsidRDefault="00557A6F" w:rsidP="007F3140">
            <w:pPr>
              <w:jc w:val="right"/>
            </w:pPr>
            <w:r>
              <w:t>1 225,4</w:t>
            </w:r>
          </w:p>
        </w:tc>
        <w:tc>
          <w:tcPr>
            <w:tcW w:w="1080" w:type="dxa"/>
          </w:tcPr>
          <w:p w:rsidR="00557A6F" w:rsidRDefault="00557A6F" w:rsidP="007F3140">
            <w:pPr>
              <w:jc w:val="right"/>
            </w:pPr>
            <w:r>
              <w:t>73,4</w:t>
            </w:r>
          </w:p>
        </w:tc>
      </w:tr>
      <w:tr w:rsidR="00557A6F" w:rsidTr="007F3140">
        <w:trPr>
          <w:trHeight w:val="380"/>
        </w:trPr>
        <w:tc>
          <w:tcPr>
            <w:tcW w:w="3900" w:type="dxa"/>
          </w:tcPr>
          <w:p w:rsidR="00557A6F" w:rsidRDefault="00557A6F" w:rsidP="00557A6F">
            <w:r>
              <w:t>Agder fengsel, Mandal</w:t>
            </w:r>
          </w:p>
        </w:tc>
        <w:tc>
          <w:tcPr>
            <w:tcW w:w="1400" w:type="dxa"/>
          </w:tcPr>
          <w:p w:rsidR="00557A6F" w:rsidRDefault="00557A6F" w:rsidP="007F3140">
            <w:pPr>
              <w:jc w:val="right"/>
            </w:pPr>
            <w:r>
              <w:t>2017</w:t>
            </w:r>
          </w:p>
        </w:tc>
        <w:tc>
          <w:tcPr>
            <w:tcW w:w="1460" w:type="dxa"/>
          </w:tcPr>
          <w:p w:rsidR="00557A6F" w:rsidRDefault="00557A6F" w:rsidP="007F3140">
            <w:pPr>
              <w:jc w:val="right"/>
            </w:pPr>
            <w:r>
              <w:t>2020</w:t>
            </w:r>
          </w:p>
        </w:tc>
        <w:tc>
          <w:tcPr>
            <w:tcW w:w="1680" w:type="dxa"/>
          </w:tcPr>
          <w:p w:rsidR="00557A6F" w:rsidRDefault="00557A6F" w:rsidP="007F3140">
            <w:pPr>
              <w:jc w:val="right"/>
            </w:pPr>
            <w:r>
              <w:t>778,9</w:t>
            </w:r>
          </w:p>
        </w:tc>
        <w:tc>
          <w:tcPr>
            <w:tcW w:w="1080" w:type="dxa"/>
          </w:tcPr>
          <w:p w:rsidR="00557A6F" w:rsidRDefault="00557A6F" w:rsidP="007F3140">
            <w:pPr>
              <w:jc w:val="right"/>
            </w:pPr>
            <w:r>
              <w:t>41,7</w:t>
            </w:r>
          </w:p>
        </w:tc>
      </w:tr>
      <w:tr w:rsidR="00557A6F" w:rsidTr="007F3140">
        <w:trPr>
          <w:trHeight w:val="380"/>
        </w:trPr>
        <w:tc>
          <w:tcPr>
            <w:tcW w:w="3900" w:type="dxa"/>
          </w:tcPr>
          <w:p w:rsidR="00557A6F" w:rsidRDefault="00557A6F" w:rsidP="00557A6F">
            <w:r>
              <w:rPr>
                <w:rStyle w:val="kursiv"/>
                <w:sz w:val="21"/>
                <w:szCs w:val="21"/>
              </w:rPr>
              <w:t>Prosjekter i reklamasjonsfasen</w:t>
            </w:r>
          </w:p>
        </w:tc>
        <w:tc>
          <w:tcPr>
            <w:tcW w:w="1400" w:type="dxa"/>
          </w:tcPr>
          <w:p w:rsidR="00557A6F" w:rsidRDefault="00557A6F" w:rsidP="007F3140">
            <w:pPr>
              <w:jc w:val="right"/>
            </w:pPr>
          </w:p>
        </w:tc>
        <w:tc>
          <w:tcPr>
            <w:tcW w:w="1460" w:type="dxa"/>
          </w:tcPr>
          <w:p w:rsidR="00557A6F" w:rsidRDefault="00557A6F" w:rsidP="007F3140">
            <w:pPr>
              <w:jc w:val="right"/>
            </w:pPr>
          </w:p>
        </w:tc>
        <w:tc>
          <w:tcPr>
            <w:tcW w:w="1680" w:type="dxa"/>
          </w:tcPr>
          <w:p w:rsidR="00557A6F" w:rsidRDefault="00557A6F" w:rsidP="007F3140">
            <w:pPr>
              <w:jc w:val="right"/>
            </w:pPr>
          </w:p>
        </w:tc>
        <w:tc>
          <w:tcPr>
            <w:tcW w:w="1080" w:type="dxa"/>
          </w:tcPr>
          <w:p w:rsidR="00557A6F" w:rsidRDefault="00557A6F" w:rsidP="007F3140">
            <w:pPr>
              <w:jc w:val="right"/>
            </w:pPr>
            <w:r>
              <w:t>264,9</w:t>
            </w:r>
          </w:p>
        </w:tc>
      </w:tr>
      <w:tr w:rsidR="00557A6F" w:rsidTr="007F3140">
        <w:trPr>
          <w:trHeight w:val="380"/>
        </w:trPr>
        <w:tc>
          <w:tcPr>
            <w:tcW w:w="3900" w:type="dxa"/>
          </w:tcPr>
          <w:p w:rsidR="00557A6F" w:rsidRDefault="00557A6F" w:rsidP="00557A6F">
            <w:r>
              <w:t>Samlet forslag post 33</w:t>
            </w:r>
          </w:p>
        </w:tc>
        <w:tc>
          <w:tcPr>
            <w:tcW w:w="1400" w:type="dxa"/>
          </w:tcPr>
          <w:p w:rsidR="00557A6F" w:rsidRDefault="00557A6F" w:rsidP="007F3140">
            <w:pPr>
              <w:jc w:val="right"/>
            </w:pPr>
          </w:p>
        </w:tc>
        <w:tc>
          <w:tcPr>
            <w:tcW w:w="1460" w:type="dxa"/>
          </w:tcPr>
          <w:p w:rsidR="00557A6F" w:rsidRDefault="00557A6F" w:rsidP="007F3140">
            <w:pPr>
              <w:jc w:val="right"/>
            </w:pPr>
          </w:p>
        </w:tc>
        <w:tc>
          <w:tcPr>
            <w:tcW w:w="1680" w:type="dxa"/>
          </w:tcPr>
          <w:p w:rsidR="00557A6F" w:rsidRDefault="00557A6F" w:rsidP="007F3140">
            <w:pPr>
              <w:jc w:val="right"/>
            </w:pPr>
          </w:p>
        </w:tc>
        <w:tc>
          <w:tcPr>
            <w:tcW w:w="1080" w:type="dxa"/>
          </w:tcPr>
          <w:p w:rsidR="00557A6F" w:rsidRDefault="00557A6F" w:rsidP="007F3140">
            <w:pPr>
              <w:jc w:val="right"/>
            </w:pPr>
            <w:r>
              <w:t>799,7</w:t>
            </w:r>
          </w:p>
        </w:tc>
      </w:tr>
    </w:tbl>
    <w:p w:rsidR="00557A6F" w:rsidRDefault="00557A6F" w:rsidP="00557A6F">
      <w:pPr>
        <w:pStyle w:val="tabell-noter"/>
      </w:pPr>
      <w:r>
        <w:t>Kostnadsrammene er eksklusive midler til kunstnerisk utsmykking, jf. kap. 530, post 36.</w:t>
      </w:r>
    </w:p>
    <w:p w:rsidR="00557A6F" w:rsidRDefault="00557A6F" w:rsidP="00557A6F">
      <w:r>
        <w:t>Statsbygg kan fordele midlene på posten mellom de ulike prosjektene, avhengig av framdrift og likvid</w:t>
      </w:r>
      <w:r>
        <w:t>i</w:t>
      </w:r>
      <w:r>
        <w:t>tetsbehov for det enkelte prosjekt i 2020.</w:t>
      </w:r>
      <w:r>
        <w:rPr>
          <w:rStyle w:val="halvfet0"/>
          <w:sz w:val="21"/>
          <w:szCs w:val="21"/>
        </w:rPr>
        <w:t xml:space="preserve"> </w:t>
      </w:r>
    </w:p>
    <w:p w:rsidR="00557A6F" w:rsidRDefault="00557A6F" w:rsidP="00557A6F">
      <w:r>
        <w:t xml:space="preserve">Ved Stortingets behandling av Prop. 114 S </w:t>
      </w:r>
      <w:r>
        <w:rPr>
          <w:rStyle w:val="kursiv"/>
          <w:sz w:val="21"/>
          <w:szCs w:val="21"/>
        </w:rPr>
        <w:t>Tilleggsbevilgninger og omprioriteringer i statsbudsjettet 2019</w:t>
      </w:r>
      <w:r>
        <w:t>, jf. Innst. 391 S (2018–2019), ble det vedtatt kostnadsramme for energiløsning for nytt regjering</w:t>
      </w:r>
      <w:r>
        <w:t>s</w:t>
      </w:r>
      <w:r>
        <w:t xml:space="preserve">kvartal. </w:t>
      </w:r>
    </w:p>
    <w:p w:rsidR="00557A6F" w:rsidRDefault="00557A6F" w:rsidP="00557A6F">
      <w:r>
        <w:t>Ved Stortingets behandling av Prop. 1 S (2016–2017) for Kommunal- og moderniseringsdepart</w:t>
      </w:r>
      <w:r>
        <w:t>e</w:t>
      </w:r>
      <w:r>
        <w:t>mentet ble det vedtatt en samlet kostnadsramme for nye bygg for Arkivverket. Prosjektet omfatter et nybygg for Norsk helsearkiv på Tynset, som ble ferdigstilt i 2019, og et depotmagasin for A</w:t>
      </w:r>
      <w:r>
        <w:t>r</w:t>
      </w:r>
      <w:r>
        <w:t>kivverket i Nasjonalbibliotekets fjellanlegg i Rana. Det ble også vedtatt en kostnadsramme for bygging av nye sikringsmagas</w:t>
      </w:r>
      <w:r>
        <w:t>i</w:t>
      </w:r>
      <w:r>
        <w:t>ner for Nasjonalbiblioteket i fjellanlegget i Rana. Depotmagasinet for Arkivverket gjennomføres samtidig med sikringsmagasinprosjektet for å utnytte synergieffe</w:t>
      </w:r>
      <w:r>
        <w:t>k</w:t>
      </w:r>
      <w:r>
        <w:t>tene med en felles prosjektorganisasjon og for å redusere kostnadene. For 2020 er det til sammen planlagt å bruke 220 mill. kroner til videreføring av prosjektene.</w:t>
      </w:r>
    </w:p>
    <w:p w:rsidR="00557A6F" w:rsidRDefault="00557A6F" w:rsidP="00557A6F">
      <w:r>
        <w:t xml:space="preserve">Ved Stortingets behandling av Prop. 129 S </w:t>
      </w:r>
      <w:r>
        <w:rPr>
          <w:rStyle w:val="kursiv"/>
          <w:sz w:val="21"/>
          <w:szCs w:val="21"/>
        </w:rPr>
        <w:t>Tilleggsbevilgninger og omprioriteringer i statsbudsjettet 2017,</w:t>
      </w:r>
      <w:r>
        <w:t xml:space="preserve"> jf. Innst. 401 S (2016–2017), ble det vedtatt kostnadsrammer for nytt fengsel i Agder, avdeling Fr</w:t>
      </w:r>
      <w:r>
        <w:t>o</w:t>
      </w:r>
      <w:r>
        <w:t xml:space="preserve">land og avdeling Mandal. For 2020 foreslås det en bevilgning på 73,4 mill. kroner til avdeling Froland og 41,7 mill. kroner til avdeling Mandal. </w:t>
      </w:r>
    </w:p>
    <w:p w:rsidR="00557A6F" w:rsidRDefault="00557A6F" w:rsidP="00557A6F">
      <w:r>
        <w:lastRenderedPageBreak/>
        <w:t>Ved Stortingets behandling av Prop. 1S (2018–2019) for Kommunal- og moderniseringsdepart</w:t>
      </w:r>
      <w:r>
        <w:t>e</w:t>
      </w:r>
      <w:r>
        <w:t>mentet ble det vedtatt kostnadsramme for nytt museumsbygg for Saemien Sijte i Snåsa. For 2020 foreslås det en bevilgning på 29,8 mill. kroner til videreføring av nytt museumsbygg.</w:t>
      </w:r>
    </w:p>
    <w:p w:rsidR="00557A6F" w:rsidRDefault="00557A6F" w:rsidP="00557A6F">
      <w:r>
        <w:t>Samlet foreslås det en bevilgning på 799,7 mill. kroner.</w:t>
      </w:r>
    </w:p>
    <w:p w:rsidR="00557A6F" w:rsidRDefault="00557A6F" w:rsidP="00557A6F">
      <w:pPr>
        <w:pStyle w:val="b-post"/>
      </w:pPr>
      <w:r>
        <w:t>Post 34 Videreføring av brukerfinansierte byggeprosjekter, kan overføres</w:t>
      </w:r>
    </w:p>
    <w:p w:rsidR="00557A6F" w:rsidRDefault="00557A6F" w:rsidP="00557A6F">
      <w:r>
        <w:t xml:space="preserve">Bevilgningen dekker utgifter til videreføring av brukerfinansierte byggeprosjekter. </w:t>
      </w:r>
    </w:p>
    <w:p w:rsidR="00557A6F" w:rsidRDefault="00557A6F" w:rsidP="00557A6F">
      <w:r>
        <w:t>I 2018 var 30 prosjekter i byggefase. Av disse ble ni prosjekter ferdigstilt i 2018. Alle disse pr</w:t>
      </w:r>
      <w:r>
        <w:t>o</w:t>
      </w:r>
      <w:r>
        <w:t>sjektene ble ferdigstilt til avtalt tid innenfor styringsrammen, med unntak av Bragebygget ved Høgskulen på Ves</w:t>
      </w:r>
      <w:r>
        <w:t>t</w:t>
      </w:r>
      <w:r>
        <w:t>landet.</w:t>
      </w:r>
    </w:p>
    <w:p w:rsidR="00557A6F" w:rsidRDefault="00557A6F" w:rsidP="00557A6F">
      <w:pPr>
        <w:pStyle w:val="avsnitt-tittel"/>
      </w:pPr>
      <w:r>
        <w:t>Budsjettforslag</w:t>
      </w:r>
    </w:p>
    <w:p w:rsidR="00557A6F" w:rsidRDefault="00557A6F" w:rsidP="00557A6F">
      <w:r>
        <w:t>De største prosjektene i 2020 er nybygg for lærerutdanningen ved Universitetet i Tromsø – Norges arktiske universitet, nybygg på nordtomt ved Høgskulen på Vestlandet i Bergen, Norges Handel</w:t>
      </w:r>
      <w:r>
        <w:t>s</w:t>
      </w:r>
      <w:r>
        <w:t>høyskole, oppgradering og utvikling ved Universitetet i Tromsø – Norges arktiske universitet i Narvik.</w:t>
      </w:r>
    </w:p>
    <w:p w:rsidR="00557A6F" w:rsidRDefault="00557A6F" w:rsidP="00557A6F">
      <w:r>
        <w:t xml:space="preserve">Det foreslås en bevilgning på 800 mill. kroner. </w:t>
      </w:r>
    </w:p>
    <w:p w:rsidR="00557A6F" w:rsidRDefault="00557A6F" w:rsidP="00557A6F">
      <w:pPr>
        <w:pStyle w:val="b-post"/>
      </w:pPr>
      <w:r>
        <w:t>Post 45 Større utstyrsanskaffelser og vedlikehold, kan overføres</w:t>
      </w:r>
    </w:p>
    <w:p w:rsidR="00557A6F" w:rsidRDefault="00557A6F" w:rsidP="00557A6F">
      <w:r>
        <w:t>Bevilgningen skal dekke utstyr på eiendommene Statsbygg forvalter, inkludert påkostninger, u</w:t>
      </w:r>
      <w:r>
        <w:t>t</w:t>
      </w:r>
      <w:r>
        <w:t>skiftinger og installering av tekniske anlegg.</w:t>
      </w:r>
    </w:p>
    <w:p w:rsidR="00557A6F" w:rsidRDefault="00557A6F" w:rsidP="00557A6F">
      <w:r>
        <w:t>Bevilgningen for 2018 ble brukt til innkjøp som skal aktiveres i balansen og avskrives. Dette gje</w:t>
      </w:r>
      <w:r>
        <w:t>l</w:t>
      </w:r>
      <w:r>
        <w:t>der invest</w:t>
      </w:r>
      <w:r>
        <w:t>e</w:t>
      </w:r>
      <w:r>
        <w:t>ringer i IKT og større utstyr til Statsbyggs administrasjon og til drift av eiendommene. I tillegg ble det brukt midler til bygningsmessige utskiftninger og påkostninger. Videre ble midlene brukt til perimetersikring i regj</w:t>
      </w:r>
      <w:r>
        <w:t>e</w:t>
      </w:r>
      <w:r>
        <w:t>ringskvartalet.</w:t>
      </w:r>
    </w:p>
    <w:p w:rsidR="00557A6F" w:rsidRDefault="00557A6F" w:rsidP="00557A6F">
      <w:pPr>
        <w:pStyle w:val="avsnitt-tittel"/>
      </w:pPr>
      <w:r>
        <w:t>Budsjettforslag</w:t>
      </w:r>
    </w:p>
    <w:p w:rsidR="00557A6F" w:rsidRDefault="00557A6F" w:rsidP="00557A6F">
      <w:r>
        <w:t>I 2020 foreslås det å avsette 103,9 mill. kroner til innkjøp av utstyr og installering av tekniske a</w:t>
      </w:r>
      <w:r>
        <w:t>n</w:t>
      </w:r>
      <w:r>
        <w:t>legg på eiendommer som Statsbygg forvalter. I tillegg foreslås det 200 mill. kroner til bygning</w:t>
      </w:r>
      <w:r>
        <w:t>s</w:t>
      </w:r>
      <w:r>
        <w:t>messige utski</w:t>
      </w:r>
      <w:r>
        <w:t>f</w:t>
      </w:r>
      <w:r>
        <w:t>tinger og påkostninger.</w:t>
      </w:r>
    </w:p>
    <w:p w:rsidR="00557A6F" w:rsidRDefault="00557A6F" w:rsidP="00557A6F">
      <w:r>
        <w:t>Samlet foreslås det en bevilgning på 303,9 mill. kroner.</w:t>
      </w:r>
    </w:p>
    <w:p w:rsidR="00557A6F" w:rsidRDefault="00557A6F" w:rsidP="00557A6F">
      <w:pPr>
        <w:pStyle w:val="b-post"/>
      </w:pPr>
      <w:r>
        <w:t>Post 49 Kjøp av eiendommer, kan overføres</w:t>
      </w:r>
    </w:p>
    <w:p w:rsidR="00557A6F" w:rsidRDefault="00557A6F" w:rsidP="00557A6F">
      <w:r>
        <w:t>Bevilgningen skal dekke kjøp av eiendommer og tomter til bruk i aktuelle byggeprosjekter.</w:t>
      </w:r>
    </w:p>
    <w:p w:rsidR="00557A6F" w:rsidRDefault="00557A6F" w:rsidP="00557A6F">
      <w:r>
        <w:t>I 2018 ble det blant annet kjøpt tomter til bygging av Agder fengsel i Mandal og Froland, leilighet til generalkonsulatet i New York, leilighet til Sysselmannen på Svalbard, Longyearbyen og bygg for len</w:t>
      </w:r>
      <w:r>
        <w:t>s</w:t>
      </w:r>
      <w:r>
        <w:t xml:space="preserve">mannskontor i Mehamn. Samlet kjøpesum var 244 mill. kroner. Dette inkluderer 46 mill. kroner fra Statsbyggs driftsregnskap (reguleringsfond) som ble tilført kjøpsbevilgningen på 198 mill. kroner, jf. fullmakt gitt i romertallsvedtak. </w:t>
      </w:r>
    </w:p>
    <w:p w:rsidR="00557A6F" w:rsidRDefault="00557A6F" w:rsidP="00557A6F">
      <w:r>
        <w:t>Det foreslås en bevilgning på 103,8 mill. kroner, hvor 75,1 mill. kroner gjelder kjøp av eiendom til nytt regj</w:t>
      </w:r>
      <w:r>
        <w:t>e</w:t>
      </w:r>
      <w:r>
        <w:t xml:space="preserve">ringskvartal. </w:t>
      </w:r>
    </w:p>
    <w:p w:rsidR="007F3140" w:rsidRDefault="007F3140" w:rsidP="007F3140">
      <w:pPr>
        <w:pStyle w:val="tabell-tittel"/>
      </w:pPr>
      <w:r>
        <w:t>Statsbyggs balanse</w:t>
      </w:r>
    </w:p>
    <w:p w:rsidR="00557A6F" w:rsidRDefault="00557A6F" w:rsidP="00557A6F">
      <w:pPr>
        <w:pStyle w:val="Tabellnavn"/>
      </w:pPr>
      <w:r>
        <w:t>05J2xt2</w:t>
      </w:r>
    </w:p>
    <w:tbl>
      <w:tblPr>
        <w:tblStyle w:val="StandardTabell"/>
        <w:tblW w:w="0" w:type="auto"/>
        <w:tblLayout w:type="fixed"/>
        <w:tblLook w:val="04A0" w:firstRow="1" w:lastRow="0" w:firstColumn="1" w:lastColumn="0" w:noHBand="0" w:noVBand="1"/>
      </w:tblPr>
      <w:tblGrid>
        <w:gridCol w:w="3900"/>
        <w:gridCol w:w="1400"/>
        <w:gridCol w:w="1400"/>
        <w:gridCol w:w="1400"/>
        <w:gridCol w:w="1400"/>
      </w:tblGrid>
      <w:tr w:rsidR="00557A6F" w:rsidTr="007F3140">
        <w:trPr>
          <w:trHeight w:val="360"/>
        </w:trPr>
        <w:tc>
          <w:tcPr>
            <w:tcW w:w="3900" w:type="dxa"/>
            <w:shd w:val="clear" w:color="auto" w:fill="FFFFFF"/>
          </w:tcPr>
          <w:p w:rsidR="00557A6F" w:rsidRDefault="00557A6F" w:rsidP="00557A6F"/>
        </w:tc>
        <w:tc>
          <w:tcPr>
            <w:tcW w:w="1400" w:type="dxa"/>
          </w:tcPr>
          <w:p w:rsidR="00557A6F" w:rsidRDefault="00557A6F" w:rsidP="007F3140">
            <w:pPr>
              <w:jc w:val="right"/>
            </w:pPr>
          </w:p>
        </w:tc>
        <w:tc>
          <w:tcPr>
            <w:tcW w:w="1400" w:type="dxa"/>
          </w:tcPr>
          <w:p w:rsidR="00557A6F" w:rsidRDefault="00557A6F" w:rsidP="007F3140">
            <w:pPr>
              <w:jc w:val="right"/>
            </w:pPr>
          </w:p>
        </w:tc>
        <w:tc>
          <w:tcPr>
            <w:tcW w:w="2800" w:type="dxa"/>
            <w:gridSpan w:val="2"/>
          </w:tcPr>
          <w:p w:rsidR="00557A6F" w:rsidRDefault="00557A6F" w:rsidP="007F3140">
            <w:pPr>
              <w:jc w:val="right"/>
            </w:pPr>
            <w:r>
              <w:t>(i 1000 kroner)</w:t>
            </w:r>
          </w:p>
        </w:tc>
      </w:tr>
      <w:tr w:rsidR="00557A6F" w:rsidTr="007F3140">
        <w:trPr>
          <w:trHeight w:val="360"/>
        </w:trPr>
        <w:tc>
          <w:tcPr>
            <w:tcW w:w="3900" w:type="dxa"/>
          </w:tcPr>
          <w:p w:rsidR="00557A6F" w:rsidRDefault="00557A6F" w:rsidP="00557A6F"/>
        </w:tc>
        <w:tc>
          <w:tcPr>
            <w:tcW w:w="1400" w:type="dxa"/>
          </w:tcPr>
          <w:p w:rsidR="00557A6F" w:rsidRDefault="00557A6F" w:rsidP="007F3140">
            <w:pPr>
              <w:jc w:val="right"/>
            </w:pPr>
            <w:r>
              <w:t>Regnskap 2017</w:t>
            </w:r>
          </w:p>
        </w:tc>
        <w:tc>
          <w:tcPr>
            <w:tcW w:w="1400" w:type="dxa"/>
          </w:tcPr>
          <w:p w:rsidR="00557A6F" w:rsidRDefault="00557A6F" w:rsidP="007F3140">
            <w:pPr>
              <w:jc w:val="right"/>
            </w:pPr>
            <w:r>
              <w:t>Regnskap 2018</w:t>
            </w:r>
          </w:p>
        </w:tc>
        <w:tc>
          <w:tcPr>
            <w:tcW w:w="1400" w:type="dxa"/>
          </w:tcPr>
          <w:p w:rsidR="00557A6F" w:rsidRDefault="00557A6F" w:rsidP="007F3140">
            <w:pPr>
              <w:jc w:val="right"/>
            </w:pPr>
            <w:r>
              <w:t>Overslag 2019</w:t>
            </w:r>
          </w:p>
        </w:tc>
        <w:tc>
          <w:tcPr>
            <w:tcW w:w="1400" w:type="dxa"/>
          </w:tcPr>
          <w:p w:rsidR="00557A6F" w:rsidRDefault="00557A6F" w:rsidP="007F3140">
            <w:pPr>
              <w:jc w:val="right"/>
            </w:pPr>
            <w:r>
              <w:t>Overslag 2020</w:t>
            </w:r>
          </w:p>
        </w:tc>
      </w:tr>
      <w:tr w:rsidR="00557A6F" w:rsidTr="007F3140">
        <w:trPr>
          <w:trHeight w:val="380"/>
        </w:trPr>
        <w:tc>
          <w:tcPr>
            <w:tcW w:w="3900" w:type="dxa"/>
          </w:tcPr>
          <w:p w:rsidR="00557A6F" w:rsidRDefault="00557A6F" w:rsidP="00557A6F">
            <w:r>
              <w:rPr>
                <w:rStyle w:val="halvfet0"/>
                <w:sz w:val="21"/>
                <w:szCs w:val="21"/>
              </w:rPr>
              <w:t>Eiendeler:</w:t>
            </w:r>
          </w:p>
        </w:tc>
        <w:tc>
          <w:tcPr>
            <w:tcW w:w="1400" w:type="dxa"/>
          </w:tcPr>
          <w:p w:rsidR="00557A6F" w:rsidRDefault="00557A6F" w:rsidP="00557A6F"/>
        </w:tc>
        <w:tc>
          <w:tcPr>
            <w:tcW w:w="1400" w:type="dxa"/>
          </w:tcPr>
          <w:p w:rsidR="00557A6F" w:rsidRDefault="00557A6F" w:rsidP="00557A6F"/>
        </w:tc>
        <w:tc>
          <w:tcPr>
            <w:tcW w:w="1400" w:type="dxa"/>
          </w:tcPr>
          <w:p w:rsidR="00557A6F" w:rsidRDefault="00557A6F" w:rsidP="00557A6F"/>
        </w:tc>
        <w:tc>
          <w:tcPr>
            <w:tcW w:w="1400" w:type="dxa"/>
          </w:tcPr>
          <w:p w:rsidR="00557A6F" w:rsidRDefault="00557A6F" w:rsidP="00557A6F"/>
        </w:tc>
      </w:tr>
      <w:tr w:rsidR="00557A6F" w:rsidTr="007F3140">
        <w:trPr>
          <w:trHeight w:val="380"/>
        </w:trPr>
        <w:tc>
          <w:tcPr>
            <w:tcW w:w="3900" w:type="dxa"/>
          </w:tcPr>
          <w:p w:rsidR="00557A6F" w:rsidRDefault="00557A6F" w:rsidP="00557A6F">
            <w:r>
              <w:rPr>
                <w:rStyle w:val="kursiv"/>
                <w:sz w:val="21"/>
                <w:szCs w:val="21"/>
              </w:rPr>
              <w:t>Anleggsmidler</w:t>
            </w:r>
          </w:p>
        </w:tc>
        <w:tc>
          <w:tcPr>
            <w:tcW w:w="1400" w:type="dxa"/>
          </w:tcPr>
          <w:p w:rsidR="00557A6F" w:rsidRDefault="00557A6F" w:rsidP="00557A6F"/>
        </w:tc>
        <w:tc>
          <w:tcPr>
            <w:tcW w:w="1400" w:type="dxa"/>
          </w:tcPr>
          <w:p w:rsidR="00557A6F" w:rsidRDefault="00557A6F" w:rsidP="00557A6F"/>
        </w:tc>
        <w:tc>
          <w:tcPr>
            <w:tcW w:w="1400" w:type="dxa"/>
          </w:tcPr>
          <w:p w:rsidR="00557A6F" w:rsidRDefault="00557A6F" w:rsidP="00557A6F"/>
        </w:tc>
        <w:tc>
          <w:tcPr>
            <w:tcW w:w="1400" w:type="dxa"/>
          </w:tcPr>
          <w:p w:rsidR="00557A6F" w:rsidRDefault="00557A6F" w:rsidP="00557A6F"/>
        </w:tc>
      </w:tr>
      <w:tr w:rsidR="00557A6F" w:rsidTr="007F3140">
        <w:trPr>
          <w:trHeight w:val="380"/>
        </w:trPr>
        <w:tc>
          <w:tcPr>
            <w:tcW w:w="3900" w:type="dxa"/>
          </w:tcPr>
          <w:p w:rsidR="00557A6F" w:rsidRDefault="00557A6F" w:rsidP="00557A6F">
            <w:r>
              <w:lastRenderedPageBreak/>
              <w:t>Driftsmidler, eiendommer</w:t>
            </w:r>
          </w:p>
        </w:tc>
        <w:tc>
          <w:tcPr>
            <w:tcW w:w="1400" w:type="dxa"/>
          </w:tcPr>
          <w:p w:rsidR="00557A6F" w:rsidRDefault="00557A6F" w:rsidP="007F3140">
            <w:pPr>
              <w:jc w:val="right"/>
            </w:pPr>
            <w:r>
              <w:t>42 519 418</w:t>
            </w:r>
          </w:p>
        </w:tc>
        <w:tc>
          <w:tcPr>
            <w:tcW w:w="1400" w:type="dxa"/>
          </w:tcPr>
          <w:p w:rsidR="00557A6F" w:rsidRDefault="00557A6F" w:rsidP="007F3140">
            <w:pPr>
              <w:jc w:val="right"/>
            </w:pPr>
            <w:r>
              <w:t>45 538 662</w:t>
            </w:r>
          </w:p>
        </w:tc>
        <w:tc>
          <w:tcPr>
            <w:tcW w:w="1400" w:type="dxa"/>
          </w:tcPr>
          <w:p w:rsidR="00557A6F" w:rsidRDefault="00557A6F" w:rsidP="007F3140">
            <w:pPr>
              <w:jc w:val="right"/>
            </w:pPr>
            <w:r>
              <w:t>49 195 024</w:t>
            </w:r>
          </w:p>
        </w:tc>
        <w:tc>
          <w:tcPr>
            <w:tcW w:w="1400" w:type="dxa"/>
          </w:tcPr>
          <w:p w:rsidR="00557A6F" w:rsidRDefault="00557A6F" w:rsidP="007F3140">
            <w:pPr>
              <w:jc w:val="right"/>
            </w:pPr>
            <w:r>
              <w:t>50 423 834</w:t>
            </w:r>
          </w:p>
        </w:tc>
      </w:tr>
      <w:tr w:rsidR="00557A6F" w:rsidTr="007F3140">
        <w:trPr>
          <w:trHeight w:val="380"/>
        </w:trPr>
        <w:tc>
          <w:tcPr>
            <w:tcW w:w="3900" w:type="dxa"/>
          </w:tcPr>
          <w:p w:rsidR="00557A6F" w:rsidRDefault="00557A6F" w:rsidP="00557A6F">
            <w:r>
              <w:t>Aksjer, andeler</w:t>
            </w:r>
          </w:p>
        </w:tc>
        <w:tc>
          <w:tcPr>
            <w:tcW w:w="1400" w:type="dxa"/>
          </w:tcPr>
          <w:p w:rsidR="00557A6F" w:rsidRDefault="00557A6F" w:rsidP="007F3140">
            <w:pPr>
              <w:jc w:val="right"/>
            </w:pPr>
            <w:r>
              <w:t>30</w:t>
            </w:r>
          </w:p>
        </w:tc>
        <w:tc>
          <w:tcPr>
            <w:tcW w:w="1400" w:type="dxa"/>
          </w:tcPr>
          <w:p w:rsidR="00557A6F" w:rsidRDefault="00557A6F" w:rsidP="007F3140">
            <w:pPr>
              <w:jc w:val="right"/>
            </w:pPr>
            <w:r>
              <w:t>30</w:t>
            </w:r>
          </w:p>
        </w:tc>
        <w:tc>
          <w:tcPr>
            <w:tcW w:w="1400" w:type="dxa"/>
          </w:tcPr>
          <w:p w:rsidR="00557A6F" w:rsidRDefault="00557A6F" w:rsidP="007F3140">
            <w:pPr>
              <w:jc w:val="right"/>
            </w:pPr>
            <w:r>
              <w:t>30</w:t>
            </w:r>
          </w:p>
        </w:tc>
        <w:tc>
          <w:tcPr>
            <w:tcW w:w="1400" w:type="dxa"/>
          </w:tcPr>
          <w:p w:rsidR="00557A6F" w:rsidRDefault="00557A6F" w:rsidP="007F3140">
            <w:pPr>
              <w:jc w:val="right"/>
            </w:pPr>
            <w:r>
              <w:t>30</w:t>
            </w:r>
          </w:p>
        </w:tc>
      </w:tr>
      <w:tr w:rsidR="00557A6F" w:rsidTr="007F3140">
        <w:trPr>
          <w:trHeight w:val="380"/>
        </w:trPr>
        <w:tc>
          <w:tcPr>
            <w:tcW w:w="3900" w:type="dxa"/>
          </w:tcPr>
          <w:p w:rsidR="00557A6F" w:rsidRDefault="00557A6F" w:rsidP="00557A6F">
            <w:r>
              <w:t>Utlån og obligasjoner</w:t>
            </w:r>
          </w:p>
        </w:tc>
        <w:tc>
          <w:tcPr>
            <w:tcW w:w="1400" w:type="dxa"/>
          </w:tcPr>
          <w:p w:rsidR="00557A6F" w:rsidRDefault="00557A6F" w:rsidP="007F3140">
            <w:pPr>
              <w:jc w:val="right"/>
            </w:pPr>
            <w:r>
              <w:t>17 329</w:t>
            </w:r>
          </w:p>
        </w:tc>
        <w:tc>
          <w:tcPr>
            <w:tcW w:w="1400" w:type="dxa"/>
          </w:tcPr>
          <w:p w:rsidR="00557A6F" w:rsidRDefault="00557A6F" w:rsidP="007F3140">
            <w:pPr>
              <w:jc w:val="right"/>
            </w:pPr>
            <w:r>
              <w:t>2 329</w:t>
            </w:r>
          </w:p>
        </w:tc>
        <w:tc>
          <w:tcPr>
            <w:tcW w:w="1400" w:type="dxa"/>
          </w:tcPr>
          <w:p w:rsidR="00557A6F" w:rsidRDefault="00557A6F" w:rsidP="007F3140">
            <w:pPr>
              <w:jc w:val="right"/>
            </w:pPr>
            <w:r>
              <w:t>2 329</w:t>
            </w:r>
          </w:p>
        </w:tc>
        <w:tc>
          <w:tcPr>
            <w:tcW w:w="1400" w:type="dxa"/>
          </w:tcPr>
          <w:p w:rsidR="00557A6F" w:rsidRDefault="00557A6F" w:rsidP="007F3140">
            <w:pPr>
              <w:jc w:val="right"/>
            </w:pPr>
            <w:r>
              <w:t>2 329</w:t>
            </w:r>
          </w:p>
        </w:tc>
      </w:tr>
      <w:tr w:rsidR="00557A6F" w:rsidTr="007F3140">
        <w:trPr>
          <w:trHeight w:val="380"/>
        </w:trPr>
        <w:tc>
          <w:tcPr>
            <w:tcW w:w="3900" w:type="dxa"/>
          </w:tcPr>
          <w:p w:rsidR="00557A6F" w:rsidRDefault="00557A6F" w:rsidP="00557A6F">
            <w:r>
              <w:rPr>
                <w:rStyle w:val="kursiv"/>
                <w:sz w:val="21"/>
                <w:szCs w:val="21"/>
              </w:rPr>
              <w:t>Sum anleggsmidler</w:t>
            </w:r>
          </w:p>
        </w:tc>
        <w:tc>
          <w:tcPr>
            <w:tcW w:w="1400" w:type="dxa"/>
          </w:tcPr>
          <w:p w:rsidR="00557A6F" w:rsidRDefault="00557A6F" w:rsidP="007F3140">
            <w:pPr>
              <w:jc w:val="right"/>
            </w:pPr>
            <w:r>
              <w:rPr>
                <w:rStyle w:val="kursiv"/>
                <w:sz w:val="21"/>
                <w:szCs w:val="21"/>
              </w:rPr>
              <w:t>42 536 777</w:t>
            </w:r>
          </w:p>
        </w:tc>
        <w:tc>
          <w:tcPr>
            <w:tcW w:w="1400" w:type="dxa"/>
          </w:tcPr>
          <w:p w:rsidR="00557A6F" w:rsidRDefault="00557A6F" w:rsidP="007F3140">
            <w:pPr>
              <w:jc w:val="right"/>
            </w:pPr>
            <w:r>
              <w:rPr>
                <w:rStyle w:val="kursiv"/>
                <w:sz w:val="21"/>
                <w:szCs w:val="21"/>
              </w:rPr>
              <w:t>45 451 021</w:t>
            </w:r>
          </w:p>
        </w:tc>
        <w:tc>
          <w:tcPr>
            <w:tcW w:w="1400" w:type="dxa"/>
          </w:tcPr>
          <w:p w:rsidR="00557A6F" w:rsidRDefault="00557A6F" w:rsidP="007F3140">
            <w:pPr>
              <w:jc w:val="right"/>
            </w:pPr>
            <w:r>
              <w:rPr>
                <w:rStyle w:val="kursiv"/>
                <w:sz w:val="21"/>
                <w:szCs w:val="21"/>
              </w:rPr>
              <w:t>49 197 383</w:t>
            </w:r>
          </w:p>
        </w:tc>
        <w:tc>
          <w:tcPr>
            <w:tcW w:w="1400" w:type="dxa"/>
          </w:tcPr>
          <w:p w:rsidR="00557A6F" w:rsidRDefault="00557A6F" w:rsidP="007F3140">
            <w:pPr>
              <w:jc w:val="right"/>
            </w:pPr>
            <w:r>
              <w:rPr>
                <w:rStyle w:val="kursiv"/>
                <w:sz w:val="21"/>
                <w:szCs w:val="21"/>
              </w:rPr>
              <w:t>50 426 193</w:t>
            </w:r>
          </w:p>
        </w:tc>
      </w:tr>
      <w:tr w:rsidR="00557A6F" w:rsidTr="007F3140">
        <w:trPr>
          <w:trHeight w:val="380"/>
        </w:trPr>
        <w:tc>
          <w:tcPr>
            <w:tcW w:w="3900" w:type="dxa"/>
          </w:tcPr>
          <w:p w:rsidR="00557A6F" w:rsidRDefault="00557A6F" w:rsidP="00557A6F">
            <w:r>
              <w:rPr>
                <w:rStyle w:val="kursiv"/>
                <w:sz w:val="21"/>
                <w:szCs w:val="21"/>
              </w:rPr>
              <w:t>Omløpsmidler</w:t>
            </w:r>
          </w:p>
        </w:tc>
        <w:tc>
          <w:tcPr>
            <w:tcW w:w="1400" w:type="dxa"/>
          </w:tcPr>
          <w:p w:rsidR="00557A6F" w:rsidRDefault="00557A6F" w:rsidP="007F3140">
            <w:pPr>
              <w:jc w:val="right"/>
            </w:pPr>
          </w:p>
        </w:tc>
        <w:tc>
          <w:tcPr>
            <w:tcW w:w="1400" w:type="dxa"/>
          </w:tcPr>
          <w:p w:rsidR="00557A6F" w:rsidRDefault="00557A6F" w:rsidP="007F3140">
            <w:pPr>
              <w:jc w:val="right"/>
            </w:pPr>
          </w:p>
        </w:tc>
        <w:tc>
          <w:tcPr>
            <w:tcW w:w="1400" w:type="dxa"/>
          </w:tcPr>
          <w:p w:rsidR="00557A6F" w:rsidRDefault="00557A6F" w:rsidP="007F3140">
            <w:pPr>
              <w:jc w:val="right"/>
            </w:pPr>
          </w:p>
        </w:tc>
        <w:tc>
          <w:tcPr>
            <w:tcW w:w="1400" w:type="dxa"/>
          </w:tcPr>
          <w:p w:rsidR="00557A6F" w:rsidRDefault="00557A6F" w:rsidP="007F3140">
            <w:pPr>
              <w:jc w:val="right"/>
            </w:pPr>
          </w:p>
        </w:tc>
      </w:tr>
      <w:tr w:rsidR="00557A6F" w:rsidTr="007F3140">
        <w:trPr>
          <w:trHeight w:val="380"/>
        </w:trPr>
        <w:tc>
          <w:tcPr>
            <w:tcW w:w="3900" w:type="dxa"/>
          </w:tcPr>
          <w:p w:rsidR="00557A6F" w:rsidRDefault="00557A6F" w:rsidP="00557A6F">
            <w:r>
              <w:t>Kortsiktige fordringer</w:t>
            </w:r>
          </w:p>
        </w:tc>
        <w:tc>
          <w:tcPr>
            <w:tcW w:w="1400" w:type="dxa"/>
          </w:tcPr>
          <w:p w:rsidR="00557A6F" w:rsidRDefault="00557A6F" w:rsidP="007F3140">
            <w:pPr>
              <w:jc w:val="right"/>
            </w:pPr>
            <w:r>
              <w:t>62 413</w:t>
            </w:r>
          </w:p>
        </w:tc>
        <w:tc>
          <w:tcPr>
            <w:tcW w:w="1400" w:type="dxa"/>
          </w:tcPr>
          <w:p w:rsidR="00557A6F" w:rsidRDefault="00557A6F" w:rsidP="007F3140">
            <w:pPr>
              <w:jc w:val="right"/>
            </w:pPr>
            <w:r>
              <w:t>72 352</w:t>
            </w:r>
          </w:p>
        </w:tc>
        <w:tc>
          <w:tcPr>
            <w:tcW w:w="1400" w:type="dxa"/>
          </w:tcPr>
          <w:p w:rsidR="00557A6F" w:rsidRDefault="00557A6F" w:rsidP="007F3140">
            <w:pPr>
              <w:jc w:val="right"/>
            </w:pPr>
            <w:r>
              <w:t>67 383</w:t>
            </w:r>
          </w:p>
        </w:tc>
        <w:tc>
          <w:tcPr>
            <w:tcW w:w="1400" w:type="dxa"/>
          </w:tcPr>
          <w:p w:rsidR="00557A6F" w:rsidRDefault="00557A6F" w:rsidP="007F3140">
            <w:pPr>
              <w:jc w:val="right"/>
            </w:pPr>
            <w:r>
              <w:t>69 867</w:t>
            </w:r>
          </w:p>
        </w:tc>
      </w:tr>
      <w:tr w:rsidR="00557A6F" w:rsidTr="007F3140">
        <w:trPr>
          <w:trHeight w:val="380"/>
        </w:trPr>
        <w:tc>
          <w:tcPr>
            <w:tcW w:w="3900" w:type="dxa"/>
          </w:tcPr>
          <w:p w:rsidR="00557A6F" w:rsidRDefault="00557A6F" w:rsidP="00557A6F">
            <w:r>
              <w:rPr>
                <w:rStyle w:val="kursiv"/>
                <w:sz w:val="21"/>
                <w:szCs w:val="21"/>
              </w:rPr>
              <w:t>Sum omløpsmidler</w:t>
            </w:r>
          </w:p>
        </w:tc>
        <w:tc>
          <w:tcPr>
            <w:tcW w:w="1400" w:type="dxa"/>
          </w:tcPr>
          <w:p w:rsidR="00557A6F" w:rsidRDefault="00557A6F" w:rsidP="007F3140">
            <w:pPr>
              <w:jc w:val="right"/>
            </w:pPr>
            <w:r>
              <w:rPr>
                <w:rStyle w:val="kursiv"/>
                <w:sz w:val="21"/>
                <w:szCs w:val="21"/>
              </w:rPr>
              <w:t>62 413</w:t>
            </w:r>
          </w:p>
        </w:tc>
        <w:tc>
          <w:tcPr>
            <w:tcW w:w="1400" w:type="dxa"/>
          </w:tcPr>
          <w:p w:rsidR="00557A6F" w:rsidRDefault="00557A6F" w:rsidP="007F3140">
            <w:pPr>
              <w:jc w:val="right"/>
            </w:pPr>
            <w:r>
              <w:rPr>
                <w:rStyle w:val="kursiv"/>
                <w:sz w:val="21"/>
                <w:szCs w:val="21"/>
              </w:rPr>
              <w:t>72 352</w:t>
            </w:r>
          </w:p>
        </w:tc>
        <w:tc>
          <w:tcPr>
            <w:tcW w:w="1400" w:type="dxa"/>
          </w:tcPr>
          <w:p w:rsidR="00557A6F" w:rsidRDefault="00557A6F" w:rsidP="007F3140">
            <w:pPr>
              <w:jc w:val="right"/>
            </w:pPr>
            <w:r>
              <w:rPr>
                <w:rStyle w:val="kursiv"/>
                <w:sz w:val="21"/>
                <w:szCs w:val="21"/>
              </w:rPr>
              <w:t>67 383</w:t>
            </w:r>
          </w:p>
        </w:tc>
        <w:tc>
          <w:tcPr>
            <w:tcW w:w="1400" w:type="dxa"/>
          </w:tcPr>
          <w:p w:rsidR="00557A6F" w:rsidRDefault="00557A6F" w:rsidP="007F3140">
            <w:pPr>
              <w:jc w:val="right"/>
            </w:pPr>
            <w:r>
              <w:rPr>
                <w:rStyle w:val="kursiv"/>
                <w:sz w:val="21"/>
                <w:szCs w:val="21"/>
              </w:rPr>
              <w:t>69 867</w:t>
            </w:r>
          </w:p>
        </w:tc>
      </w:tr>
      <w:tr w:rsidR="00557A6F" w:rsidTr="007F3140">
        <w:trPr>
          <w:trHeight w:val="380"/>
        </w:trPr>
        <w:tc>
          <w:tcPr>
            <w:tcW w:w="3900" w:type="dxa"/>
          </w:tcPr>
          <w:p w:rsidR="00557A6F" w:rsidRDefault="00557A6F" w:rsidP="00557A6F">
            <w:r>
              <w:rPr>
                <w:rStyle w:val="kursiv"/>
                <w:sz w:val="21"/>
                <w:szCs w:val="21"/>
              </w:rPr>
              <w:t>Sum eiendeler</w:t>
            </w:r>
          </w:p>
        </w:tc>
        <w:tc>
          <w:tcPr>
            <w:tcW w:w="1400" w:type="dxa"/>
          </w:tcPr>
          <w:p w:rsidR="00557A6F" w:rsidRDefault="00557A6F" w:rsidP="007F3140">
            <w:pPr>
              <w:jc w:val="right"/>
            </w:pPr>
            <w:r>
              <w:rPr>
                <w:rStyle w:val="kursiv"/>
                <w:sz w:val="21"/>
                <w:szCs w:val="21"/>
              </w:rPr>
              <w:t>42 599 189</w:t>
            </w:r>
          </w:p>
        </w:tc>
        <w:tc>
          <w:tcPr>
            <w:tcW w:w="1400" w:type="dxa"/>
          </w:tcPr>
          <w:p w:rsidR="00557A6F" w:rsidRDefault="00557A6F" w:rsidP="007F3140">
            <w:pPr>
              <w:jc w:val="right"/>
            </w:pPr>
            <w:r>
              <w:rPr>
                <w:rStyle w:val="kursiv"/>
                <w:sz w:val="21"/>
                <w:szCs w:val="21"/>
              </w:rPr>
              <w:t>45 613 373</w:t>
            </w:r>
          </w:p>
        </w:tc>
        <w:tc>
          <w:tcPr>
            <w:tcW w:w="1400" w:type="dxa"/>
          </w:tcPr>
          <w:p w:rsidR="00557A6F" w:rsidRDefault="00557A6F" w:rsidP="007F3140">
            <w:pPr>
              <w:jc w:val="right"/>
            </w:pPr>
            <w:r>
              <w:rPr>
                <w:rStyle w:val="kursiv"/>
                <w:sz w:val="21"/>
                <w:szCs w:val="21"/>
              </w:rPr>
              <w:t>49 264 766</w:t>
            </w:r>
          </w:p>
        </w:tc>
        <w:tc>
          <w:tcPr>
            <w:tcW w:w="1400" w:type="dxa"/>
          </w:tcPr>
          <w:p w:rsidR="00557A6F" w:rsidRDefault="00557A6F" w:rsidP="007F3140">
            <w:pPr>
              <w:jc w:val="right"/>
            </w:pPr>
            <w:r>
              <w:rPr>
                <w:rStyle w:val="kursiv"/>
                <w:sz w:val="21"/>
                <w:szCs w:val="21"/>
              </w:rPr>
              <w:t>50 496 060</w:t>
            </w:r>
          </w:p>
        </w:tc>
      </w:tr>
      <w:tr w:rsidR="00557A6F" w:rsidTr="007F3140">
        <w:trPr>
          <w:trHeight w:val="380"/>
        </w:trPr>
        <w:tc>
          <w:tcPr>
            <w:tcW w:w="3900" w:type="dxa"/>
          </w:tcPr>
          <w:p w:rsidR="00557A6F" w:rsidRDefault="00557A6F" w:rsidP="00557A6F"/>
        </w:tc>
        <w:tc>
          <w:tcPr>
            <w:tcW w:w="1400" w:type="dxa"/>
          </w:tcPr>
          <w:p w:rsidR="00557A6F" w:rsidRDefault="00557A6F" w:rsidP="007F3140">
            <w:pPr>
              <w:jc w:val="right"/>
            </w:pPr>
          </w:p>
        </w:tc>
        <w:tc>
          <w:tcPr>
            <w:tcW w:w="1400" w:type="dxa"/>
          </w:tcPr>
          <w:p w:rsidR="00557A6F" w:rsidRDefault="00557A6F" w:rsidP="007F3140">
            <w:pPr>
              <w:jc w:val="right"/>
            </w:pPr>
          </w:p>
        </w:tc>
        <w:tc>
          <w:tcPr>
            <w:tcW w:w="1400" w:type="dxa"/>
          </w:tcPr>
          <w:p w:rsidR="00557A6F" w:rsidRDefault="00557A6F" w:rsidP="007F3140">
            <w:pPr>
              <w:jc w:val="right"/>
            </w:pPr>
          </w:p>
        </w:tc>
        <w:tc>
          <w:tcPr>
            <w:tcW w:w="1400" w:type="dxa"/>
          </w:tcPr>
          <w:p w:rsidR="00557A6F" w:rsidRDefault="00557A6F" w:rsidP="007F3140">
            <w:pPr>
              <w:jc w:val="right"/>
            </w:pPr>
          </w:p>
        </w:tc>
      </w:tr>
      <w:tr w:rsidR="00557A6F" w:rsidTr="007F3140">
        <w:trPr>
          <w:trHeight w:val="380"/>
        </w:trPr>
        <w:tc>
          <w:tcPr>
            <w:tcW w:w="3900" w:type="dxa"/>
          </w:tcPr>
          <w:p w:rsidR="00557A6F" w:rsidRDefault="00557A6F" w:rsidP="00557A6F">
            <w:r>
              <w:rPr>
                <w:rStyle w:val="halvfet0"/>
                <w:sz w:val="21"/>
                <w:szCs w:val="21"/>
              </w:rPr>
              <w:t>Egenkapital og gjeld:</w:t>
            </w:r>
          </w:p>
        </w:tc>
        <w:tc>
          <w:tcPr>
            <w:tcW w:w="1400" w:type="dxa"/>
          </w:tcPr>
          <w:p w:rsidR="00557A6F" w:rsidRDefault="00557A6F" w:rsidP="007F3140">
            <w:pPr>
              <w:jc w:val="right"/>
            </w:pPr>
          </w:p>
        </w:tc>
        <w:tc>
          <w:tcPr>
            <w:tcW w:w="1400" w:type="dxa"/>
          </w:tcPr>
          <w:p w:rsidR="00557A6F" w:rsidRDefault="00557A6F" w:rsidP="007F3140">
            <w:pPr>
              <w:jc w:val="right"/>
            </w:pPr>
          </w:p>
        </w:tc>
        <w:tc>
          <w:tcPr>
            <w:tcW w:w="1400" w:type="dxa"/>
          </w:tcPr>
          <w:p w:rsidR="00557A6F" w:rsidRDefault="00557A6F" w:rsidP="007F3140">
            <w:pPr>
              <w:jc w:val="right"/>
            </w:pPr>
          </w:p>
        </w:tc>
        <w:tc>
          <w:tcPr>
            <w:tcW w:w="1400" w:type="dxa"/>
          </w:tcPr>
          <w:p w:rsidR="00557A6F" w:rsidRDefault="00557A6F" w:rsidP="007F3140">
            <w:pPr>
              <w:jc w:val="right"/>
            </w:pPr>
          </w:p>
        </w:tc>
      </w:tr>
      <w:tr w:rsidR="00557A6F" w:rsidTr="007F3140">
        <w:trPr>
          <w:trHeight w:val="380"/>
        </w:trPr>
        <w:tc>
          <w:tcPr>
            <w:tcW w:w="3900" w:type="dxa"/>
          </w:tcPr>
          <w:p w:rsidR="00557A6F" w:rsidRDefault="00557A6F" w:rsidP="00557A6F">
            <w:r>
              <w:rPr>
                <w:rStyle w:val="kursiv"/>
                <w:sz w:val="21"/>
                <w:szCs w:val="21"/>
              </w:rPr>
              <w:t>Egenkapital</w:t>
            </w:r>
          </w:p>
        </w:tc>
        <w:tc>
          <w:tcPr>
            <w:tcW w:w="1400" w:type="dxa"/>
          </w:tcPr>
          <w:p w:rsidR="00557A6F" w:rsidRDefault="00557A6F" w:rsidP="007F3140">
            <w:pPr>
              <w:jc w:val="right"/>
            </w:pPr>
          </w:p>
        </w:tc>
        <w:tc>
          <w:tcPr>
            <w:tcW w:w="1400" w:type="dxa"/>
          </w:tcPr>
          <w:p w:rsidR="00557A6F" w:rsidRDefault="00557A6F" w:rsidP="007F3140">
            <w:pPr>
              <w:jc w:val="right"/>
            </w:pPr>
          </w:p>
        </w:tc>
        <w:tc>
          <w:tcPr>
            <w:tcW w:w="1400" w:type="dxa"/>
          </w:tcPr>
          <w:p w:rsidR="00557A6F" w:rsidRDefault="00557A6F" w:rsidP="007F3140">
            <w:pPr>
              <w:jc w:val="right"/>
            </w:pPr>
          </w:p>
        </w:tc>
        <w:tc>
          <w:tcPr>
            <w:tcW w:w="1400" w:type="dxa"/>
          </w:tcPr>
          <w:p w:rsidR="00557A6F" w:rsidRDefault="00557A6F" w:rsidP="007F3140">
            <w:pPr>
              <w:jc w:val="right"/>
            </w:pPr>
          </w:p>
        </w:tc>
      </w:tr>
      <w:tr w:rsidR="00557A6F" w:rsidTr="007F3140">
        <w:trPr>
          <w:trHeight w:val="380"/>
        </w:trPr>
        <w:tc>
          <w:tcPr>
            <w:tcW w:w="3900" w:type="dxa"/>
          </w:tcPr>
          <w:p w:rsidR="00557A6F" w:rsidRDefault="00557A6F" w:rsidP="00557A6F">
            <w:r>
              <w:t>Egenkapital, ekskl. reguleringsfond</w:t>
            </w:r>
          </w:p>
        </w:tc>
        <w:tc>
          <w:tcPr>
            <w:tcW w:w="1400" w:type="dxa"/>
          </w:tcPr>
          <w:p w:rsidR="00557A6F" w:rsidRDefault="00557A6F" w:rsidP="007F3140">
            <w:pPr>
              <w:jc w:val="right"/>
            </w:pPr>
            <w:r>
              <w:t>37 717 796</w:t>
            </w:r>
          </w:p>
        </w:tc>
        <w:tc>
          <w:tcPr>
            <w:tcW w:w="1400" w:type="dxa"/>
          </w:tcPr>
          <w:p w:rsidR="00557A6F" w:rsidRDefault="00557A6F" w:rsidP="007F3140">
            <w:pPr>
              <w:jc w:val="right"/>
            </w:pPr>
            <w:r>
              <w:t>39 099 014</w:t>
            </w:r>
          </w:p>
        </w:tc>
        <w:tc>
          <w:tcPr>
            <w:tcW w:w="1400" w:type="dxa"/>
          </w:tcPr>
          <w:p w:rsidR="00557A6F" w:rsidRDefault="00557A6F" w:rsidP="007F3140">
            <w:pPr>
              <w:jc w:val="right"/>
            </w:pPr>
            <w:r>
              <w:t>40 533 570</w:t>
            </w:r>
          </w:p>
        </w:tc>
        <w:tc>
          <w:tcPr>
            <w:tcW w:w="1400" w:type="dxa"/>
          </w:tcPr>
          <w:p w:rsidR="00557A6F" w:rsidRDefault="00557A6F" w:rsidP="007F3140">
            <w:pPr>
              <w:jc w:val="right"/>
            </w:pPr>
            <w:r>
              <w:t>42 085 748</w:t>
            </w:r>
          </w:p>
        </w:tc>
      </w:tr>
      <w:tr w:rsidR="00557A6F" w:rsidTr="007F3140">
        <w:trPr>
          <w:trHeight w:val="380"/>
        </w:trPr>
        <w:tc>
          <w:tcPr>
            <w:tcW w:w="3900" w:type="dxa"/>
          </w:tcPr>
          <w:p w:rsidR="00557A6F" w:rsidRDefault="00557A6F" w:rsidP="00557A6F">
            <w:r>
              <w:t>Reguleringsfond</w:t>
            </w:r>
          </w:p>
        </w:tc>
        <w:tc>
          <w:tcPr>
            <w:tcW w:w="1400" w:type="dxa"/>
          </w:tcPr>
          <w:p w:rsidR="00557A6F" w:rsidRDefault="00557A6F" w:rsidP="007F3140">
            <w:pPr>
              <w:jc w:val="right"/>
            </w:pPr>
            <w:r>
              <w:t>590 634</w:t>
            </w:r>
          </w:p>
        </w:tc>
        <w:tc>
          <w:tcPr>
            <w:tcW w:w="1400" w:type="dxa"/>
          </w:tcPr>
          <w:p w:rsidR="00557A6F" w:rsidRDefault="00557A6F" w:rsidP="007F3140">
            <w:pPr>
              <w:jc w:val="right"/>
            </w:pPr>
            <w:r>
              <w:t>321 290</w:t>
            </w:r>
          </w:p>
        </w:tc>
        <w:tc>
          <w:tcPr>
            <w:tcW w:w="1400" w:type="dxa"/>
          </w:tcPr>
          <w:p w:rsidR="00557A6F" w:rsidRDefault="00557A6F" w:rsidP="007F3140">
            <w:pPr>
              <w:jc w:val="right"/>
            </w:pPr>
            <w:r>
              <w:t>466 765</w:t>
            </w:r>
          </w:p>
        </w:tc>
        <w:tc>
          <w:tcPr>
            <w:tcW w:w="1400" w:type="dxa"/>
          </w:tcPr>
          <w:p w:rsidR="00557A6F" w:rsidRDefault="00557A6F" w:rsidP="007F3140">
            <w:pPr>
              <w:jc w:val="right"/>
            </w:pPr>
            <w:r>
              <w:t>366 765</w:t>
            </w:r>
          </w:p>
        </w:tc>
      </w:tr>
      <w:tr w:rsidR="00557A6F" w:rsidTr="007F3140">
        <w:trPr>
          <w:trHeight w:val="380"/>
        </w:trPr>
        <w:tc>
          <w:tcPr>
            <w:tcW w:w="3900" w:type="dxa"/>
          </w:tcPr>
          <w:p w:rsidR="00557A6F" w:rsidRDefault="00557A6F" w:rsidP="00557A6F">
            <w:r>
              <w:rPr>
                <w:rStyle w:val="kursiv"/>
                <w:sz w:val="21"/>
                <w:szCs w:val="21"/>
              </w:rPr>
              <w:t>Sum egenkapital</w:t>
            </w:r>
          </w:p>
        </w:tc>
        <w:tc>
          <w:tcPr>
            <w:tcW w:w="1400" w:type="dxa"/>
          </w:tcPr>
          <w:p w:rsidR="00557A6F" w:rsidRDefault="00557A6F" w:rsidP="007F3140">
            <w:pPr>
              <w:jc w:val="right"/>
            </w:pPr>
            <w:r>
              <w:rPr>
                <w:rStyle w:val="kursiv"/>
                <w:sz w:val="21"/>
                <w:szCs w:val="21"/>
              </w:rPr>
              <w:t>38 308 430</w:t>
            </w:r>
          </w:p>
        </w:tc>
        <w:tc>
          <w:tcPr>
            <w:tcW w:w="1400" w:type="dxa"/>
          </w:tcPr>
          <w:p w:rsidR="00557A6F" w:rsidRDefault="00557A6F" w:rsidP="007F3140">
            <w:pPr>
              <w:jc w:val="right"/>
            </w:pPr>
            <w:r>
              <w:rPr>
                <w:rStyle w:val="kursiv"/>
                <w:sz w:val="21"/>
                <w:szCs w:val="21"/>
              </w:rPr>
              <w:t>39 420 304</w:t>
            </w:r>
          </w:p>
        </w:tc>
        <w:tc>
          <w:tcPr>
            <w:tcW w:w="1400" w:type="dxa"/>
          </w:tcPr>
          <w:p w:rsidR="00557A6F" w:rsidRDefault="00557A6F" w:rsidP="007F3140">
            <w:pPr>
              <w:jc w:val="right"/>
            </w:pPr>
            <w:r>
              <w:rPr>
                <w:rStyle w:val="kursiv"/>
                <w:sz w:val="21"/>
                <w:szCs w:val="21"/>
              </w:rPr>
              <w:t>41 000 335</w:t>
            </w:r>
          </w:p>
        </w:tc>
        <w:tc>
          <w:tcPr>
            <w:tcW w:w="1400" w:type="dxa"/>
          </w:tcPr>
          <w:p w:rsidR="00557A6F" w:rsidRDefault="00557A6F" w:rsidP="007F3140">
            <w:pPr>
              <w:jc w:val="right"/>
            </w:pPr>
            <w:r>
              <w:rPr>
                <w:rStyle w:val="kursiv"/>
                <w:sz w:val="21"/>
                <w:szCs w:val="21"/>
              </w:rPr>
              <w:t>42 452 513</w:t>
            </w:r>
          </w:p>
        </w:tc>
      </w:tr>
      <w:tr w:rsidR="00557A6F" w:rsidTr="007F3140">
        <w:trPr>
          <w:trHeight w:val="380"/>
        </w:trPr>
        <w:tc>
          <w:tcPr>
            <w:tcW w:w="3900" w:type="dxa"/>
          </w:tcPr>
          <w:p w:rsidR="00557A6F" w:rsidRDefault="00557A6F" w:rsidP="00557A6F">
            <w:r>
              <w:rPr>
                <w:rStyle w:val="kursiv"/>
                <w:sz w:val="21"/>
                <w:szCs w:val="21"/>
              </w:rPr>
              <w:t>Langsiktig gjeld</w:t>
            </w:r>
          </w:p>
        </w:tc>
        <w:tc>
          <w:tcPr>
            <w:tcW w:w="1400" w:type="dxa"/>
          </w:tcPr>
          <w:p w:rsidR="00557A6F" w:rsidRDefault="00557A6F" w:rsidP="007F3140">
            <w:pPr>
              <w:jc w:val="right"/>
            </w:pPr>
          </w:p>
        </w:tc>
        <w:tc>
          <w:tcPr>
            <w:tcW w:w="1400" w:type="dxa"/>
          </w:tcPr>
          <w:p w:rsidR="00557A6F" w:rsidRDefault="00557A6F" w:rsidP="007F3140">
            <w:pPr>
              <w:jc w:val="right"/>
            </w:pPr>
          </w:p>
        </w:tc>
        <w:tc>
          <w:tcPr>
            <w:tcW w:w="1400" w:type="dxa"/>
          </w:tcPr>
          <w:p w:rsidR="00557A6F" w:rsidRDefault="00557A6F" w:rsidP="007F3140">
            <w:pPr>
              <w:jc w:val="right"/>
            </w:pPr>
          </w:p>
        </w:tc>
        <w:tc>
          <w:tcPr>
            <w:tcW w:w="1400" w:type="dxa"/>
          </w:tcPr>
          <w:p w:rsidR="00557A6F" w:rsidRDefault="00557A6F" w:rsidP="007F3140">
            <w:pPr>
              <w:jc w:val="right"/>
            </w:pPr>
          </w:p>
        </w:tc>
      </w:tr>
      <w:tr w:rsidR="00557A6F" w:rsidTr="007F3140">
        <w:trPr>
          <w:trHeight w:val="380"/>
        </w:trPr>
        <w:tc>
          <w:tcPr>
            <w:tcW w:w="3900" w:type="dxa"/>
          </w:tcPr>
          <w:p w:rsidR="00557A6F" w:rsidRDefault="00557A6F" w:rsidP="00557A6F">
            <w:r>
              <w:t>Statens rentebærende gjeld</w:t>
            </w:r>
          </w:p>
        </w:tc>
        <w:tc>
          <w:tcPr>
            <w:tcW w:w="1400" w:type="dxa"/>
          </w:tcPr>
          <w:p w:rsidR="00557A6F" w:rsidRDefault="00557A6F" w:rsidP="007F3140">
            <w:pPr>
              <w:jc w:val="right"/>
            </w:pPr>
            <w:r>
              <w:t>4 801 759</w:t>
            </w:r>
          </w:p>
        </w:tc>
        <w:tc>
          <w:tcPr>
            <w:tcW w:w="1400" w:type="dxa"/>
          </w:tcPr>
          <w:p w:rsidR="00557A6F" w:rsidRDefault="00557A6F" w:rsidP="007F3140">
            <w:pPr>
              <w:jc w:val="right"/>
            </w:pPr>
            <w:r>
              <w:t>6 439 784</w:t>
            </w:r>
          </w:p>
        </w:tc>
        <w:tc>
          <w:tcPr>
            <w:tcW w:w="1400" w:type="dxa"/>
          </w:tcPr>
          <w:p w:rsidR="00557A6F" w:rsidRDefault="00557A6F" w:rsidP="007F3140">
            <w:pPr>
              <w:jc w:val="right"/>
            </w:pPr>
            <w:r>
              <w:t>8 650 788</w:t>
            </w:r>
          </w:p>
        </w:tc>
        <w:tc>
          <w:tcPr>
            <w:tcW w:w="1400" w:type="dxa"/>
          </w:tcPr>
          <w:p w:rsidR="00557A6F" w:rsidRDefault="00557A6F" w:rsidP="007F3140">
            <w:pPr>
              <w:jc w:val="right"/>
            </w:pPr>
            <w:r>
              <w:t>8 360 084</w:t>
            </w:r>
          </w:p>
        </w:tc>
      </w:tr>
      <w:tr w:rsidR="00557A6F" w:rsidTr="007F3140">
        <w:trPr>
          <w:trHeight w:val="380"/>
        </w:trPr>
        <w:tc>
          <w:tcPr>
            <w:tcW w:w="3900" w:type="dxa"/>
          </w:tcPr>
          <w:p w:rsidR="00557A6F" w:rsidRDefault="00557A6F" w:rsidP="00557A6F">
            <w:r>
              <w:t>Annen langsiktig gjeld</w:t>
            </w:r>
          </w:p>
        </w:tc>
        <w:tc>
          <w:tcPr>
            <w:tcW w:w="1400" w:type="dxa"/>
          </w:tcPr>
          <w:p w:rsidR="00557A6F" w:rsidRDefault="00557A6F" w:rsidP="007F3140">
            <w:pPr>
              <w:jc w:val="right"/>
            </w:pPr>
            <w:r>
              <w:t>17 222</w:t>
            </w:r>
          </w:p>
        </w:tc>
        <w:tc>
          <w:tcPr>
            <w:tcW w:w="1400" w:type="dxa"/>
          </w:tcPr>
          <w:p w:rsidR="00557A6F" w:rsidRDefault="00557A6F" w:rsidP="007F3140">
            <w:pPr>
              <w:jc w:val="right"/>
            </w:pPr>
            <w:r>
              <w:t>2 222</w:t>
            </w:r>
          </w:p>
        </w:tc>
        <w:tc>
          <w:tcPr>
            <w:tcW w:w="1400" w:type="dxa"/>
          </w:tcPr>
          <w:p w:rsidR="00557A6F" w:rsidRDefault="00557A6F" w:rsidP="007F3140">
            <w:pPr>
              <w:jc w:val="right"/>
            </w:pPr>
            <w:r>
              <w:t>2 222</w:t>
            </w:r>
          </w:p>
        </w:tc>
        <w:tc>
          <w:tcPr>
            <w:tcW w:w="1400" w:type="dxa"/>
          </w:tcPr>
          <w:p w:rsidR="00557A6F" w:rsidRDefault="00557A6F" w:rsidP="007F3140">
            <w:pPr>
              <w:jc w:val="right"/>
            </w:pPr>
            <w:r>
              <w:t>2 222</w:t>
            </w:r>
          </w:p>
        </w:tc>
      </w:tr>
      <w:tr w:rsidR="00557A6F" w:rsidTr="007F3140">
        <w:trPr>
          <w:trHeight w:val="380"/>
        </w:trPr>
        <w:tc>
          <w:tcPr>
            <w:tcW w:w="3900" w:type="dxa"/>
          </w:tcPr>
          <w:p w:rsidR="00557A6F" w:rsidRDefault="00557A6F" w:rsidP="00557A6F">
            <w:r>
              <w:rPr>
                <w:rStyle w:val="kursiv"/>
                <w:sz w:val="21"/>
                <w:szCs w:val="21"/>
              </w:rPr>
              <w:t>Sum langsiktig gjeld</w:t>
            </w:r>
          </w:p>
        </w:tc>
        <w:tc>
          <w:tcPr>
            <w:tcW w:w="1400" w:type="dxa"/>
          </w:tcPr>
          <w:p w:rsidR="00557A6F" w:rsidRDefault="00557A6F" w:rsidP="007F3140">
            <w:pPr>
              <w:jc w:val="right"/>
            </w:pPr>
            <w:r>
              <w:rPr>
                <w:rStyle w:val="kursiv"/>
                <w:sz w:val="21"/>
                <w:szCs w:val="21"/>
              </w:rPr>
              <w:t>4 818 981</w:t>
            </w:r>
          </w:p>
        </w:tc>
        <w:tc>
          <w:tcPr>
            <w:tcW w:w="1400" w:type="dxa"/>
          </w:tcPr>
          <w:p w:rsidR="00557A6F" w:rsidRDefault="00557A6F" w:rsidP="007F3140">
            <w:pPr>
              <w:jc w:val="right"/>
            </w:pPr>
            <w:r>
              <w:rPr>
                <w:rStyle w:val="kursiv"/>
                <w:sz w:val="21"/>
                <w:szCs w:val="21"/>
              </w:rPr>
              <w:t>6 442 006</w:t>
            </w:r>
          </w:p>
        </w:tc>
        <w:tc>
          <w:tcPr>
            <w:tcW w:w="1400" w:type="dxa"/>
          </w:tcPr>
          <w:p w:rsidR="00557A6F" w:rsidRDefault="00557A6F" w:rsidP="007F3140">
            <w:pPr>
              <w:jc w:val="right"/>
            </w:pPr>
            <w:r>
              <w:rPr>
                <w:rStyle w:val="kursiv"/>
                <w:sz w:val="21"/>
                <w:szCs w:val="21"/>
              </w:rPr>
              <w:t>8 653 010</w:t>
            </w:r>
          </w:p>
        </w:tc>
        <w:tc>
          <w:tcPr>
            <w:tcW w:w="1400" w:type="dxa"/>
          </w:tcPr>
          <w:p w:rsidR="00557A6F" w:rsidRDefault="00557A6F" w:rsidP="007F3140">
            <w:pPr>
              <w:jc w:val="right"/>
            </w:pPr>
            <w:r>
              <w:rPr>
                <w:rStyle w:val="kursiv"/>
                <w:sz w:val="21"/>
                <w:szCs w:val="21"/>
              </w:rPr>
              <w:t>8 362 306</w:t>
            </w:r>
          </w:p>
        </w:tc>
      </w:tr>
      <w:tr w:rsidR="00557A6F" w:rsidTr="007F3140">
        <w:trPr>
          <w:trHeight w:val="380"/>
        </w:trPr>
        <w:tc>
          <w:tcPr>
            <w:tcW w:w="3900" w:type="dxa"/>
          </w:tcPr>
          <w:p w:rsidR="00557A6F" w:rsidRDefault="00557A6F" w:rsidP="00557A6F">
            <w:r>
              <w:rPr>
                <w:rStyle w:val="kursiv"/>
                <w:sz w:val="21"/>
                <w:szCs w:val="21"/>
              </w:rPr>
              <w:t>Kortsiktig gjeld</w:t>
            </w:r>
          </w:p>
        </w:tc>
        <w:tc>
          <w:tcPr>
            <w:tcW w:w="1400" w:type="dxa"/>
          </w:tcPr>
          <w:p w:rsidR="00557A6F" w:rsidRDefault="00557A6F" w:rsidP="007F3140">
            <w:pPr>
              <w:jc w:val="right"/>
            </w:pPr>
          </w:p>
        </w:tc>
        <w:tc>
          <w:tcPr>
            <w:tcW w:w="1400" w:type="dxa"/>
          </w:tcPr>
          <w:p w:rsidR="00557A6F" w:rsidRDefault="00557A6F" w:rsidP="007F3140">
            <w:pPr>
              <w:jc w:val="right"/>
            </w:pPr>
          </w:p>
        </w:tc>
        <w:tc>
          <w:tcPr>
            <w:tcW w:w="1400" w:type="dxa"/>
          </w:tcPr>
          <w:p w:rsidR="00557A6F" w:rsidRDefault="00557A6F" w:rsidP="007F3140">
            <w:pPr>
              <w:jc w:val="right"/>
            </w:pPr>
          </w:p>
        </w:tc>
        <w:tc>
          <w:tcPr>
            <w:tcW w:w="1400" w:type="dxa"/>
          </w:tcPr>
          <w:p w:rsidR="00557A6F" w:rsidRDefault="00557A6F" w:rsidP="007F3140">
            <w:pPr>
              <w:jc w:val="right"/>
            </w:pPr>
          </w:p>
        </w:tc>
      </w:tr>
      <w:tr w:rsidR="00557A6F" w:rsidTr="007F3140">
        <w:trPr>
          <w:trHeight w:val="380"/>
        </w:trPr>
        <w:tc>
          <w:tcPr>
            <w:tcW w:w="3900" w:type="dxa"/>
          </w:tcPr>
          <w:p w:rsidR="00557A6F" w:rsidRDefault="00557A6F" w:rsidP="00557A6F">
            <w:r>
              <w:t>Kortsiktig gjeld</w:t>
            </w:r>
          </w:p>
        </w:tc>
        <w:tc>
          <w:tcPr>
            <w:tcW w:w="1400" w:type="dxa"/>
          </w:tcPr>
          <w:p w:rsidR="00557A6F" w:rsidRDefault="00557A6F" w:rsidP="007F3140">
            <w:pPr>
              <w:jc w:val="right"/>
            </w:pPr>
            <w:r>
              <w:t>94 675</w:t>
            </w:r>
          </w:p>
        </w:tc>
        <w:tc>
          <w:tcPr>
            <w:tcW w:w="1400" w:type="dxa"/>
          </w:tcPr>
          <w:p w:rsidR="00557A6F" w:rsidRDefault="00557A6F" w:rsidP="007F3140">
            <w:pPr>
              <w:jc w:val="right"/>
            </w:pPr>
            <w:r>
              <w:t>82 216</w:t>
            </w:r>
          </w:p>
        </w:tc>
        <w:tc>
          <w:tcPr>
            <w:tcW w:w="1400" w:type="dxa"/>
          </w:tcPr>
          <w:p w:rsidR="00557A6F" w:rsidRDefault="00557A6F" w:rsidP="007F3140">
            <w:pPr>
              <w:jc w:val="right"/>
            </w:pPr>
            <w:r>
              <w:t>88 445</w:t>
            </w:r>
          </w:p>
        </w:tc>
        <w:tc>
          <w:tcPr>
            <w:tcW w:w="1400" w:type="dxa"/>
          </w:tcPr>
          <w:p w:rsidR="00557A6F" w:rsidRDefault="00557A6F" w:rsidP="007F3140">
            <w:pPr>
              <w:jc w:val="right"/>
            </w:pPr>
            <w:r>
              <w:t>85 331</w:t>
            </w:r>
          </w:p>
        </w:tc>
      </w:tr>
      <w:tr w:rsidR="00557A6F" w:rsidTr="007F3140">
        <w:trPr>
          <w:trHeight w:val="380"/>
        </w:trPr>
        <w:tc>
          <w:tcPr>
            <w:tcW w:w="3900" w:type="dxa"/>
          </w:tcPr>
          <w:p w:rsidR="00557A6F" w:rsidRDefault="00557A6F" w:rsidP="00557A6F">
            <w:r>
              <w:t>Mellomværende med statskassa</w:t>
            </w:r>
          </w:p>
        </w:tc>
        <w:tc>
          <w:tcPr>
            <w:tcW w:w="1400" w:type="dxa"/>
          </w:tcPr>
          <w:p w:rsidR="00557A6F" w:rsidRDefault="00557A6F" w:rsidP="007F3140">
            <w:pPr>
              <w:jc w:val="right"/>
            </w:pPr>
            <w:r>
              <w:t>-622 896</w:t>
            </w:r>
          </w:p>
        </w:tc>
        <w:tc>
          <w:tcPr>
            <w:tcW w:w="1400" w:type="dxa"/>
          </w:tcPr>
          <w:p w:rsidR="00557A6F" w:rsidRDefault="00557A6F" w:rsidP="007F3140">
            <w:pPr>
              <w:jc w:val="right"/>
            </w:pPr>
            <w:r>
              <w:t>-331 154</w:t>
            </w:r>
          </w:p>
        </w:tc>
        <w:tc>
          <w:tcPr>
            <w:tcW w:w="1400" w:type="dxa"/>
          </w:tcPr>
          <w:p w:rsidR="00557A6F" w:rsidRDefault="00557A6F" w:rsidP="007F3140">
            <w:pPr>
              <w:jc w:val="right"/>
            </w:pPr>
            <w:r>
              <w:t>-477 025</w:t>
            </w:r>
          </w:p>
        </w:tc>
        <w:tc>
          <w:tcPr>
            <w:tcW w:w="1400" w:type="dxa"/>
          </w:tcPr>
          <w:p w:rsidR="00557A6F" w:rsidRDefault="00557A6F" w:rsidP="007F3140">
            <w:pPr>
              <w:jc w:val="right"/>
            </w:pPr>
            <w:r>
              <w:t>-404 089</w:t>
            </w:r>
          </w:p>
        </w:tc>
      </w:tr>
      <w:tr w:rsidR="00557A6F" w:rsidTr="007F3140">
        <w:trPr>
          <w:trHeight w:val="380"/>
        </w:trPr>
        <w:tc>
          <w:tcPr>
            <w:tcW w:w="3900" w:type="dxa"/>
          </w:tcPr>
          <w:p w:rsidR="00557A6F" w:rsidRDefault="00557A6F" w:rsidP="00557A6F">
            <w:r>
              <w:rPr>
                <w:rStyle w:val="kursiv"/>
                <w:sz w:val="21"/>
                <w:szCs w:val="21"/>
              </w:rPr>
              <w:t>Sum kortsiktig gjeld</w:t>
            </w:r>
          </w:p>
        </w:tc>
        <w:tc>
          <w:tcPr>
            <w:tcW w:w="1400" w:type="dxa"/>
          </w:tcPr>
          <w:p w:rsidR="00557A6F" w:rsidRDefault="00557A6F" w:rsidP="007F3140">
            <w:pPr>
              <w:jc w:val="right"/>
            </w:pPr>
            <w:r>
              <w:rPr>
                <w:rStyle w:val="kursiv"/>
                <w:sz w:val="21"/>
                <w:szCs w:val="21"/>
              </w:rPr>
              <w:t>-528 221</w:t>
            </w:r>
          </w:p>
        </w:tc>
        <w:tc>
          <w:tcPr>
            <w:tcW w:w="1400" w:type="dxa"/>
          </w:tcPr>
          <w:p w:rsidR="00557A6F" w:rsidRDefault="00557A6F" w:rsidP="007F3140">
            <w:pPr>
              <w:jc w:val="right"/>
            </w:pPr>
            <w:r>
              <w:rPr>
                <w:rStyle w:val="kursiv"/>
                <w:sz w:val="21"/>
                <w:szCs w:val="21"/>
              </w:rPr>
              <w:t>-248 938</w:t>
            </w:r>
          </w:p>
        </w:tc>
        <w:tc>
          <w:tcPr>
            <w:tcW w:w="1400" w:type="dxa"/>
          </w:tcPr>
          <w:p w:rsidR="00557A6F" w:rsidRDefault="00557A6F" w:rsidP="007F3140">
            <w:pPr>
              <w:jc w:val="right"/>
            </w:pPr>
            <w:r>
              <w:rPr>
                <w:rStyle w:val="kursiv"/>
                <w:sz w:val="21"/>
                <w:szCs w:val="21"/>
              </w:rPr>
              <w:t>-388 580</w:t>
            </w:r>
          </w:p>
        </w:tc>
        <w:tc>
          <w:tcPr>
            <w:tcW w:w="1400" w:type="dxa"/>
          </w:tcPr>
          <w:p w:rsidR="00557A6F" w:rsidRDefault="00557A6F" w:rsidP="007F3140">
            <w:pPr>
              <w:jc w:val="right"/>
            </w:pPr>
            <w:r>
              <w:rPr>
                <w:rStyle w:val="kursiv"/>
                <w:sz w:val="21"/>
                <w:szCs w:val="21"/>
              </w:rPr>
              <w:t>-318 759</w:t>
            </w:r>
          </w:p>
        </w:tc>
      </w:tr>
      <w:tr w:rsidR="00557A6F" w:rsidTr="007F3140">
        <w:trPr>
          <w:trHeight w:val="380"/>
        </w:trPr>
        <w:tc>
          <w:tcPr>
            <w:tcW w:w="3900" w:type="dxa"/>
          </w:tcPr>
          <w:p w:rsidR="00557A6F" w:rsidRDefault="00557A6F" w:rsidP="00557A6F">
            <w:r>
              <w:rPr>
                <w:rStyle w:val="kursiv"/>
                <w:sz w:val="21"/>
                <w:szCs w:val="21"/>
              </w:rPr>
              <w:t>Sum egenkapital og gjeld</w:t>
            </w:r>
          </w:p>
        </w:tc>
        <w:tc>
          <w:tcPr>
            <w:tcW w:w="1400" w:type="dxa"/>
          </w:tcPr>
          <w:p w:rsidR="00557A6F" w:rsidRDefault="00557A6F" w:rsidP="007F3140">
            <w:pPr>
              <w:jc w:val="right"/>
            </w:pPr>
            <w:r>
              <w:rPr>
                <w:rStyle w:val="kursiv"/>
                <w:sz w:val="21"/>
                <w:szCs w:val="21"/>
              </w:rPr>
              <w:t>42 599 189</w:t>
            </w:r>
          </w:p>
        </w:tc>
        <w:tc>
          <w:tcPr>
            <w:tcW w:w="1400" w:type="dxa"/>
          </w:tcPr>
          <w:p w:rsidR="00557A6F" w:rsidRDefault="00557A6F" w:rsidP="007F3140">
            <w:pPr>
              <w:jc w:val="right"/>
            </w:pPr>
            <w:r>
              <w:rPr>
                <w:rStyle w:val="kursiv"/>
                <w:sz w:val="21"/>
                <w:szCs w:val="21"/>
              </w:rPr>
              <w:t>45 613 373</w:t>
            </w:r>
          </w:p>
        </w:tc>
        <w:tc>
          <w:tcPr>
            <w:tcW w:w="1400" w:type="dxa"/>
          </w:tcPr>
          <w:p w:rsidR="00557A6F" w:rsidRDefault="00557A6F" w:rsidP="007F3140">
            <w:pPr>
              <w:jc w:val="right"/>
            </w:pPr>
            <w:r>
              <w:rPr>
                <w:rStyle w:val="kursiv"/>
                <w:sz w:val="21"/>
                <w:szCs w:val="21"/>
              </w:rPr>
              <w:t>49 264 766</w:t>
            </w:r>
          </w:p>
        </w:tc>
        <w:tc>
          <w:tcPr>
            <w:tcW w:w="1400" w:type="dxa"/>
          </w:tcPr>
          <w:p w:rsidR="00557A6F" w:rsidRDefault="00557A6F" w:rsidP="007F3140">
            <w:pPr>
              <w:jc w:val="right"/>
            </w:pPr>
            <w:r>
              <w:rPr>
                <w:rStyle w:val="kursiv"/>
                <w:sz w:val="21"/>
                <w:szCs w:val="21"/>
              </w:rPr>
              <w:t>50 496 060</w:t>
            </w:r>
          </w:p>
        </w:tc>
      </w:tr>
    </w:tbl>
    <w:p w:rsidR="00557A6F" w:rsidRDefault="00557A6F" w:rsidP="00557A6F">
      <w:pPr>
        <w:pStyle w:val="b-budkaptit"/>
      </w:pPr>
      <w:r>
        <w:t>Kap. 5445 Statsbygg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7A6F" w:rsidTr="00557A6F">
        <w:trPr>
          <w:trHeight w:val="640"/>
        </w:trPr>
        <w:tc>
          <w:tcPr>
            <w:tcW w:w="1140" w:type="dxa"/>
            <w:shd w:val="clear" w:color="auto" w:fill="FFFFFF"/>
          </w:tcPr>
          <w:p w:rsidR="00557A6F" w:rsidRDefault="00557A6F" w:rsidP="00557A6F">
            <w:pPr>
              <w:pStyle w:val="Tabellnavn"/>
            </w:pPr>
            <w:r>
              <w:t>KPAL</w:t>
            </w:r>
          </w:p>
        </w:tc>
        <w:tc>
          <w:tcPr>
            <w:tcW w:w="4560" w:type="dxa"/>
          </w:tcPr>
          <w:p w:rsidR="00557A6F" w:rsidRDefault="00557A6F" w:rsidP="00557A6F"/>
        </w:tc>
        <w:tc>
          <w:tcPr>
            <w:tcW w:w="1140" w:type="dxa"/>
          </w:tcPr>
          <w:p w:rsidR="00557A6F" w:rsidRDefault="00557A6F" w:rsidP="00557A6F">
            <w:pPr>
              <w:pStyle w:val="Tabellnavn"/>
              <w:jc w:val="right"/>
            </w:pPr>
          </w:p>
        </w:tc>
        <w:tc>
          <w:tcPr>
            <w:tcW w:w="1140" w:type="dxa"/>
          </w:tcPr>
          <w:p w:rsidR="00557A6F" w:rsidRDefault="00557A6F" w:rsidP="00557A6F">
            <w:pPr>
              <w:pStyle w:val="Tabellnavn"/>
              <w:jc w:val="right"/>
            </w:pPr>
          </w:p>
        </w:tc>
        <w:tc>
          <w:tcPr>
            <w:tcW w:w="1140" w:type="dxa"/>
          </w:tcPr>
          <w:p w:rsidR="00557A6F" w:rsidRDefault="00557A6F" w:rsidP="00557A6F">
            <w:pPr>
              <w:jc w:val="right"/>
            </w:pPr>
            <w:r>
              <w:t>(i 1 000 kr)</w:t>
            </w:r>
          </w:p>
        </w:tc>
      </w:tr>
      <w:tr w:rsidR="00557A6F" w:rsidTr="00557A6F">
        <w:trPr>
          <w:trHeight w:val="600"/>
        </w:trPr>
        <w:tc>
          <w:tcPr>
            <w:tcW w:w="1140" w:type="dxa"/>
          </w:tcPr>
          <w:p w:rsidR="00557A6F" w:rsidRDefault="00557A6F" w:rsidP="00557A6F">
            <w:r>
              <w:t>Post</w:t>
            </w:r>
          </w:p>
        </w:tc>
        <w:tc>
          <w:tcPr>
            <w:tcW w:w="4560" w:type="dxa"/>
          </w:tcPr>
          <w:p w:rsidR="00557A6F" w:rsidRDefault="00557A6F" w:rsidP="00557A6F">
            <w:r>
              <w:t>Betegnelse</w:t>
            </w:r>
          </w:p>
        </w:tc>
        <w:tc>
          <w:tcPr>
            <w:tcW w:w="1140" w:type="dxa"/>
          </w:tcPr>
          <w:p w:rsidR="00557A6F" w:rsidRDefault="00557A6F" w:rsidP="00557A6F">
            <w:pPr>
              <w:jc w:val="right"/>
            </w:pPr>
            <w:r>
              <w:t>Regnskap 2018</w:t>
            </w:r>
          </w:p>
        </w:tc>
        <w:tc>
          <w:tcPr>
            <w:tcW w:w="1140" w:type="dxa"/>
          </w:tcPr>
          <w:p w:rsidR="00557A6F" w:rsidRDefault="00557A6F" w:rsidP="00557A6F">
            <w:pPr>
              <w:jc w:val="right"/>
            </w:pPr>
            <w:r>
              <w:t xml:space="preserve">Saldert </w:t>
            </w:r>
            <w:r>
              <w:br/>
              <w:t>budsjett 2019</w:t>
            </w:r>
          </w:p>
        </w:tc>
        <w:tc>
          <w:tcPr>
            <w:tcW w:w="1140" w:type="dxa"/>
          </w:tcPr>
          <w:p w:rsidR="00557A6F" w:rsidRDefault="00557A6F" w:rsidP="00557A6F">
            <w:pPr>
              <w:jc w:val="right"/>
            </w:pPr>
            <w:r>
              <w:t xml:space="preserve">Forslag </w:t>
            </w:r>
            <w:r>
              <w:br/>
              <w:t>2020</w:t>
            </w:r>
          </w:p>
        </w:tc>
      </w:tr>
      <w:tr w:rsidR="00557A6F" w:rsidTr="00557A6F">
        <w:trPr>
          <w:trHeight w:val="380"/>
        </w:trPr>
        <w:tc>
          <w:tcPr>
            <w:tcW w:w="1140" w:type="dxa"/>
          </w:tcPr>
          <w:p w:rsidR="00557A6F" w:rsidRDefault="00557A6F" w:rsidP="00557A6F">
            <w:r>
              <w:t>39</w:t>
            </w:r>
          </w:p>
        </w:tc>
        <w:tc>
          <w:tcPr>
            <w:tcW w:w="4560" w:type="dxa"/>
          </w:tcPr>
          <w:p w:rsidR="00557A6F" w:rsidRDefault="00557A6F" w:rsidP="00557A6F">
            <w:r>
              <w:t xml:space="preserve">Avsetning til investeringsformål </w:t>
            </w:r>
          </w:p>
        </w:tc>
        <w:tc>
          <w:tcPr>
            <w:tcW w:w="1140" w:type="dxa"/>
          </w:tcPr>
          <w:p w:rsidR="00557A6F" w:rsidRDefault="00557A6F" w:rsidP="00557A6F">
            <w:pPr>
              <w:jc w:val="right"/>
            </w:pPr>
            <w:r>
              <w:t>1 381 218</w:t>
            </w:r>
          </w:p>
        </w:tc>
        <w:tc>
          <w:tcPr>
            <w:tcW w:w="1140" w:type="dxa"/>
          </w:tcPr>
          <w:p w:rsidR="00557A6F" w:rsidRDefault="00557A6F" w:rsidP="00557A6F">
            <w:pPr>
              <w:jc w:val="right"/>
            </w:pPr>
            <w:r>
              <w:t>1 242 976</w:t>
            </w:r>
          </w:p>
        </w:tc>
        <w:tc>
          <w:tcPr>
            <w:tcW w:w="1140" w:type="dxa"/>
          </w:tcPr>
          <w:p w:rsidR="00557A6F" w:rsidRDefault="00557A6F" w:rsidP="00557A6F">
            <w:pPr>
              <w:jc w:val="right"/>
            </w:pPr>
            <w:r>
              <w:t>1 132 272</w:t>
            </w:r>
          </w:p>
        </w:tc>
      </w:tr>
      <w:tr w:rsidR="00557A6F" w:rsidTr="00557A6F">
        <w:trPr>
          <w:trHeight w:val="380"/>
        </w:trPr>
        <w:tc>
          <w:tcPr>
            <w:tcW w:w="1140" w:type="dxa"/>
          </w:tcPr>
          <w:p w:rsidR="00557A6F" w:rsidRDefault="00557A6F" w:rsidP="00557A6F"/>
        </w:tc>
        <w:tc>
          <w:tcPr>
            <w:tcW w:w="4560" w:type="dxa"/>
          </w:tcPr>
          <w:p w:rsidR="00557A6F" w:rsidRDefault="00557A6F" w:rsidP="00557A6F">
            <w:r>
              <w:t>Sum kap. 5445</w:t>
            </w:r>
          </w:p>
        </w:tc>
        <w:tc>
          <w:tcPr>
            <w:tcW w:w="1140" w:type="dxa"/>
          </w:tcPr>
          <w:p w:rsidR="00557A6F" w:rsidRDefault="00557A6F" w:rsidP="00557A6F">
            <w:pPr>
              <w:jc w:val="right"/>
            </w:pPr>
            <w:r>
              <w:t>1 381 218</w:t>
            </w:r>
          </w:p>
        </w:tc>
        <w:tc>
          <w:tcPr>
            <w:tcW w:w="1140" w:type="dxa"/>
          </w:tcPr>
          <w:p w:rsidR="00557A6F" w:rsidRDefault="00557A6F" w:rsidP="00557A6F">
            <w:pPr>
              <w:jc w:val="right"/>
            </w:pPr>
            <w:r>
              <w:t>1 242 976</w:t>
            </w:r>
          </w:p>
        </w:tc>
        <w:tc>
          <w:tcPr>
            <w:tcW w:w="1140" w:type="dxa"/>
          </w:tcPr>
          <w:p w:rsidR="00557A6F" w:rsidRDefault="00557A6F" w:rsidP="00557A6F">
            <w:pPr>
              <w:jc w:val="right"/>
            </w:pPr>
            <w:r>
              <w:t>1 132 272</w:t>
            </w:r>
          </w:p>
        </w:tc>
      </w:tr>
    </w:tbl>
    <w:p w:rsidR="00557A6F" w:rsidRDefault="00557A6F" w:rsidP="00557A6F">
      <w:pPr>
        <w:pStyle w:val="b-post"/>
      </w:pPr>
      <w:r>
        <w:t>Post 39 Avsetning til investeringsformål</w:t>
      </w:r>
    </w:p>
    <w:p w:rsidR="00557A6F" w:rsidRDefault="00557A6F" w:rsidP="00557A6F">
      <w:r>
        <w:t>På posten føres midler fra driftsregnskapet som avsettes til investeringsformål. Midlene blir ført til inntekt i statsregnskapet, jf. omtale under kap. 2445 Statsbygg, post 24 Driftsresultat, underpost 24.5 Til investeringsformål. Reduksjonen på posten på 110,7 mill. kroner sammenlignet med sa</w:t>
      </w:r>
      <w:r>
        <w:t>l</w:t>
      </w:r>
      <w:r>
        <w:t>dert budsjett for 2019 skyldes boligbygging på Svalbard, jf. omtale under kap. 2445, post 24.</w:t>
      </w:r>
    </w:p>
    <w:p w:rsidR="00557A6F" w:rsidRDefault="00557A6F" w:rsidP="00557A6F">
      <w:pPr>
        <w:pStyle w:val="b-budkaptit"/>
      </w:pPr>
      <w:r>
        <w:t>Kap. 5446 Salg av eiendom, Fornebu</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7A6F" w:rsidTr="00557A6F">
        <w:trPr>
          <w:trHeight w:val="640"/>
        </w:trPr>
        <w:tc>
          <w:tcPr>
            <w:tcW w:w="1140" w:type="dxa"/>
            <w:shd w:val="clear" w:color="auto" w:fill="FFFFFF"/>
          </w:tcPr>
          <w:p w:rsidR="00557A6F" w:rsidRDefault="00557A6F" w:rsidP="00557A6F">
            <w:pPr>
              <w:pStyle w:val="Tabellnavn"/>
            </w:pPr>
            <w:r>
              <w:t>KPAL</w:t>
            </w:r>
          </w:p>
        </w:tc>
        <w:tc>
          <w:tcPr>
            <w:tcW w:w="4560" w:type="dxa"/>
          </w:tcPr>
          <w:p w:rsidR="00557A6F" w:rsidRDefault="00557A6F" w:rsidP="00557A6F"/>
        </w:tc>
        <w:tc>
          <w:tcPr>
            <w:tcW w:w="1140" w:type="dxa"/>
          </w:tcPr>
          <w:p w:rsidR="00557A6F" w:rsidRDefault="00557A6F" w:rsidP="00557A6F">
            <w:pPr>
              <w:pStyle w:val="Tabellnavn"/>
              <w:jc w:val="right"/>
            </w:pPr>
          </w:p>
        </w:tc>
        <w:tc>
          <w:tcPr>
            <w:tcW w:w="1140" w:type="dxa"/>
          </w:tcPr>
          <w:p w:rsidR="00557A6F" w:rsidRDefault="00557A6F" w:rsidP="00557A6F">
            <w:pPr>
              <w:pStyle w:val="Tabellnavn"/>
              <w:jc w:val="right"/>
            </w:pPr>
          </w:p>
        </w:tc>
        <w:tc>
          <w:tcPr>
            <w:tcW w:w="1140" w:type="dxa"/>
          </w:tcPr>
          <w:p w:rsidR="00557A6F" w:rsidRDefault="00557A6F" w:rsidP="00557A6F">
            <w:pPr>
              <w:jc w:val="right"/>
            </w:pPr>
            <w:r>
              <w:t>(i 1 000 kr)</w:t>
            </w:r>
          </w:p>
        </w:tc>
      </w:tr>
      <w:tr w:rsidR="00557A6F" w:rsidTr="00557A6F">
        <w:trPr>
          <w:trHeight w:val="600"/>
        </w:trPr>
        <w:tc>
          <w:tcPr>
            <w:tcW w:w="1140" w:type="dxa"/>
          </w:tcPr>
          <w:p w:rsidR="00557A6F" w:rsidRDefault="00557A6F" w:rsidP="00557A6F">
            <w:r>
              <w:t>Post</w:t>
            </w:r>
          </w:p>
        </w:tc>
        <w:tc>
          <w:tcPr>
            <w:tcW w:w="4560" w:type="dxa"/>
          </w:tcPr>
          <w:p w:rsidR="00557A6F" w:rsidRDefault="00557A6F" w:rsidP="00557A6F">
            <w:r>
              <w:t>Betegnelse</w:t>
            </w:r>
          </w:p>
        </w:tc>
        <w:tc>
          <w:tcPr>
            <w:tcW w:w="1140" w:type="dxa"/>
          </w:tcPr>
          <w:p w:rsidR="00557A6F" w:rsidRDefault="00557A6F" w:rsidP="00557A6F">
            <w:pPr>
              <w:jc w:val="right"/>
            </w:pPr>
            <w:r>
              <w:t>Regnskap 2018</w:t>
            </w:r>
          </w:p>
        </w:tc>
        <w:tc>
          <w:tcPr>
            <w:tcW w:w="1140" w:type="dxa"/>
          </w:tcPr>
          <w:p w:rsidR="00557A6F" w:rsidRDefault="00557A6F" w:rsidP="00557A6F">
            <w:pPr>
              <w:jc w:val="right"/>
            </w:pPr>
            <w:r>
              <w:t xml:space="preserve">Saldert </w:t>
            </w:r>
            <w:r>
              <w:br/>
              <w:t>budsjett 2019</w:t>
            </w:r>
          </w:p>
        </w:tc>
        <w:tc>
          <w:tcPr>
            <w:tcW w:w="1140" w:type="dxa"/>
          </w:tcPr>
          <w:p w:rsidR="00557A6F" w:rsidRDefault="00557A6F" w:rsidP="00557A6F">
            <w:pPr>
              <w:jc w:val="right"/>
            </w:pPr>
            <w:r>
              <w:t xml:space="preserve">Forslag </w:t>
            </w:r>
            <w:r>
              <w:br/>
              <w:t>2020</w:t>
            </w:r>
          </w:p>
        </w:tc>
      </w:tr>
      <w:tr w:rsidR="00557A6F" w:rsidTr="00557A6F">
        <w:trPr>
          <w:trHeight w:val="380"/>
        </w:trPr>
        <w:tc>
          <w:tcPr>
            <w:tcW w:w="1140" w:type="dxa"/>
          </w:tcPr>
          <w:p w:rsidR="00557A6F" w:rsidRDefault="00557A6F" w:rsidP="00557A6F">
            <w:r>
              <w:t>40</w:t>
            </w:r>
          </w:p>
        </w:tc>
        <w:tc>
          <w:tcPr>
            <w:tcW w:w="4560" w:type="dxa"/>
          </w:tcPr>
          <w:p w:rsidR="00557A6F" w:rsidRDefault="00557A6F" w:rsidP="00557A6F">
            <w:r>
              <w:t xml:space="preserve">Salgsinntekter </w:t>
            </w:r>
          </w:p>
        </w:tc>
        <w:tc>
          <w:tcPr>
            <w:tcW w:w="1140" w:type="dxa"/>
          </w:tcPr>
          <w:p w:rsidR="00557A6F" w:rsidRDefault="00557A6F" w:rsidP="00557A6F">
            <w:pPr>
              <w:jc w:val="right"/>
            </w:pPr>
            <w:r>
              <w:t>323</w:t>
            </w:r>
          </w:p>
        </w:tc>
        <w:tc>
          <w:tcPr>
            <w:tcW w:w="1140" w:type="dxa"/>
          </w:tcPr>
          <w:p w:rsidR="00557A6F" w:rsidRDefault="00557A6F" w:rsidP="00557A6F">
            <w:pPr>
              <w:jc w:val="right"/>
            </w:pPr>
            <w:r>
              <w:t>200</w:t>
            </w:r>
          </w:p>
        </w:tc>
        <w:tc>
          <w:tcPr>
            <w:tcW w:w="1140" w:type="dxa"/>
          </w:tcPr>
          <w:p w:rsidR="00557A6F" w:rsidRDefault="00557A6F" w:rsidP="00557A6F">
            <w:pPr>
              <w:jc w:val="right"/>
            </w:pPr>
            <w:r>
              <w:t>200</w:t>
            </w:r>
          </w:p>
        </w:tc>
      </w:tr>
      <w:tr w:rsidR="00557A6F" w:rsidTr="00557A6F">
        <w:trPr>
          <w:trHeight w:val="380"/>
        </w:trPr>
        <w:tc>
          <w:tcPr>
            <w:tcW w:w="1140" w:type="dxa"/>
          </w:tcPr>
          <w:p w:rsidR="00557A6F" w:rsidRDefault="00557A6F" w:rsidP="00557A6F"/>
        </w:tc>
        <w:tc>
          <w:tcPr>
            <w:tcW w:w="4560" w:type="dxa"/>
          </w:tcPr>
          <w:p w:rsidR="00557A6F" w:rsidRDefault="00557A6F" w:rsidP="00557A6F">
            <w:r>
              <w:t>Sum kap. 5446</w:t>
            </w:r>
          </w:p>
        </w:tc>
        <w:tc>
          <w:tcPr>
            <w:tcW w:w="1140" w:type="dxa"/>
          </w:tcPr>
          <w:p w:rsidR="00557A6F" w:rsidRDefault="00557A6F" w:rsidP="00557A6F">
            <w:pPr>
              <w:jc w:val="right"/>
            </w:pPr>
            <w:r>
              <w:t>323</w:t>
            </w:r>
          </w:p>
        </w:tc>
        <w:tc>
          <w:tcPr>
            <w:tcW w:w="1140" w:type="dxa"/>
          </w:tcPr>
          <w:p w:rsidR="00557A6F" w:rsidRDefault="00557A6F" w:rsidP="00557A6F">
            <w:pPr>
              <w:jc w:val="right"/>
            </w:pPr>
            <w:r>
              <w:t>200</w:t>
            </w:r>
          </w:p>
        </w:tc>
        <w:tc>
          <w:tcPr>
            <w:tcW w:w="1140" w:type="dxa"/>
          </w:tcPr>
          <w:p w:rsidR="00557A6F" w:rsidRDefault="00557A6F" w:rsidP="00557A6F">
            <w:pPr>
              <w:jc w:val="right"/>
            </w:pPr>
            <w:r>
              <w:t>200</w:t>
            </w:r>
          </w:p>
        </w:tc>
      </w:tr>
    </w:tbl>
    <w:p w:rsidR="00557A6F" w:rsidRDefault="00557A6F" w:rsidP="00557A6F">
      <w:pPr>
        <w:pStyle w:val="b-post"/>
      </w:pPr>
      <w:r>
        <w:t>Post 40 Salgsinntekter</w:t>
      </w:r>
    </w:p>
    <w:p w:rsidR="00557A6F" w:rsidRDefault="00557A6F" w:rsidP="00557A6F">
      <w:r>
        <w:t xml:space="preserve">På posten føres inntekter fra salg av gjenstående statlige arealer på Fornebu, se omtale under kap. 532 Utvikling av Fornebuområdet. Det foreslås budsjettert med uendrede salgsinntekter. </w:t>
      </w:r>
    </w:p>
    <w:p w:rsidR="00557A6F" w:rsidRDefault="00557A6F" w:rsidP="00557A6F">
      <w:pPr>
        <w:pStyle w:val="b-progkat"/>
      </w:pPr>
      <w:r>
        <w:lastRenderedPageBreak/>
        <w:t>Programkategori 13.40 Forvaltningsutvikling, IT- og ekompolitikk</w:t>
      </w:r>
    </w:p>
    <w:p w:rsidR="00557A6F" w:rsidRDefault="00557A6F" w:rsidP="00557A6F">
      <w:pPr>
        <w:pStyle w:val="avsnitt-tittel"/>
      </w:pPr>
      <w:r>
        <w:t>Utgifter under programkategori 13.40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557A6F" w:rsidTr="00557A6F">
        <w:trPr>
          <w:trHeight w:val="640"/>
        </w:trPr>
        <w:tc>
          <w:tcPr>
            <w:tcW w:w="1020" w:type="dxa"/>
            <w:shd w:val="clear" w:color="auto" w:fill="FFFFFF"/>
          </w:tcPr>
          <w:p w:rsidR="00557A6F" w:rsidRDefault="00557A6F" w:rsidP="00557A6F">
            <w:pPr>
              <w:pStyle w:val="Tabellnavn"/>
            </w:pPr>
            <w:r>
              <w:t>PIKL</w:t>
            </w:r>
          </w:p>
        </w:tc>
        <w:tc>
          <w:tcPr>
            <w:tcW w:w="4080" w:type="dxa"/>
          </w:tcPr>
          <w:p w:rsidR="00557A6F" w:rsidRDefault="00557A6F" w:rsidP="00557A6F"/>
        </w:tc>
        <w:tc>
          <w:tcPr>
            <w:tcW w:w="1020" w:type="dxa"/>
          </w:tcPr>
          <w:p w:rsidR="00557A6F" w:rsidRDefault="00557A6F" w:rsidP="00557A6F">
            <w:pPr>
              <w:pStyle w:val="Tabellnavn"/>
              <w:jc w:val="right"/>
            </w:pPr>
          </w:p>
        </w:tc>
        <w:tc>
          <w:tcPr>
            <w:tcW w:w="1020" w:type="dxa"/>
          </w:tcPr>
          <w:p w:rsidR="00557A6F" w:rsidRDefault="00557A6F" w:rsidP="00557A6F">
            <w:pPr>
              <w:pStyle w:val="Tabellnavn"/>
              <w:jc w:val="right"/>
            </w:pPr>
          </w:p>
        </w:tc>
        <w:tc>
          <w:tcPr>
            <w:tcW w:w="1020" w:type="dxa"/>
          </w:tcPr>
          <w:p w:rsidR="00557A6F" w:rsidRDefault="00557A6F" w:rsidP="00557A6F">
            <w:pPr>
              <w:pStyle w:val="Tabellnavn"/>
              <w:jc w:val="right"/>
            </w:pPr>
          </w:p>
        </w:tc>
        <w:tc>
          <w:tcPr>
            <w:tcW w:w="1020" w:type="dxa"/>
          </w:tcPr>
          <w:p w:rsidR="00557A6F" w:rsidRDefault="00557A6F" w:rsidP="00557A6F">
            <w:pPr>
              <w:jc w:val="right"/>
            </w:pPr>
            <w:r>
              <w:t>(i 1 000 kr)</w:t>
            </w:r>
          </w:p>
        </w:tc>
      </w:tr>
      <w:tr w:rsidR="00557A6F" w:rsidTr="00557A6F">
        <w:trPr>
          <w:trHeight w:val="600"/>
        </w:trPr>
        <w:tc>
          <w:tcPr>
            <w:tcW w:w="1020" w:type="dxa"/>
          </w:tcPr>
          <w:p w:rsidR="00557A6F" w:rsidRDefault="00557A6F" w:rsidP="00557A6F">
            <w:r>
              <w:t>Kap.</w:t>
            </w:r>
          </w:p>
        </w:tc>
        <w:tc>
          <w:tcPr>
            <w:tcW w:w="4080" w:type="dxa"/>
          </w:tcPr>
          <w:p w:rsidR="00557A6F" w:rsidRDefault="00557A6F" w:rsidP="00557A6F">
            <w:r>
              <w:t>Betegnelse</w:t>
            </w:r>
          </w:p>
        </w:tc>
        <w:tc>
          <w:tcPr>
            <w:tcW w:w="1020" w:type="dxa"/>
          </w:tcPr>
          <w:p w:rsidR="00557A6F" w:rsidRDefault="00557A6F" w:rsidP="00557A6F">
            <w:pPr>
              <w:jc w:val="right"/>
            </w:pPr>
            <w:r>
              <w:t>Reg</w:t>
            </w:r>
            <w:r>
              <w:t>n</w:t>
            </w:r>
            <w:r>
              <w:t>skap 2018</w:t>
            </w:r>
          </w:p>
        </w:tc>
        <w:tc>
          <w:tcPr>
            <w:tcW w:w="1020" w:type="dxa"/>
          </w:tcPr>
          <w:p w:rsidR="00557A6F" w:rsidRDefault="00557A6F" w:rsidP="00557A6F">
            <w:pPr>
              <w:jc w:val="right"/>
            </w:pPr>
            <w:r>
              <w:t xml:space="preserve">Saldert </w:t>
            </w:r>
            <w:r>
              <w:br/>
              <w:t>budsjett 2019</w:t>
            </w:r>
          </w:p>
        </w:tc>
        <w:tc>
          <w:tcPr>
            <w:tcW w:w="1020" w:type="dxa"/>
          </w:tcPr>
          <w:p w:rsidR="00557A6F" w:rsidRDefault="00557A6F" w:rsidP="00557A6F">
            <w:pPr>
              <w:jc w:val="right"/>
            </w:pPr>
            <w:r>
              <w:t xml:space="preserve">Forslag </w:t>
            </w:r>
            <w:r>
              <w:br/>
              <w:t>2020</w:t>
            </w:r>
          </w:p>
        </w:tc>
        <w:tc>
          <w:tcPr>
            <w:tcW w:w="1020" w:type="dxa"/>
          </w:tcPr>
          <w:p w:rsidR="00557A6F" w:rsidRDefault="00557A6F" w:rsidP="00557A6F">
            <w:pPr>
              <w:jc w:val="right"/>
            </w:pPr>
            <w:r>
              <w:t xml:space="preserve">Pst. endr. </w:t>
            </w:r>
            <w:r>
              <w:br/>
              <w:t>19/20</w:t>
            </w:r>
          </w:p>
        </w:tc>
      </w:tr>
      <w:tr w:rsidR="00557A6F" w:rsidTr="00557A6F">
        <w:trPr>
          <w:trHeight w:val="380"/>
        </w:trPr>
        <w:tc>
          <w:tcPr>
            <w:tcW w:w="1020" w:type="dxa"/>
          </w:tcPr>
          <w:p w:rsidR="00557A6F" w:rsidRDefault="00557A6F" w:rsidP="00557A6F">
            <w:r>
              <w:t>540</w:t>
            </w:r>
          </w:p>
        </w:tc>
        <w:tc>
          <w:tcPr>
            <w:tcW w:w="4080" w:type="dxa"/>
          </w:tcPr>
          <w:p w:rsidR="00557A6F" w:rsidRDefault="00557A6F" w:rsidP="00557A6F">
            <w:r>
              <w:t>Digitaliseringsdirektoratet</w:t>
            </w:r>
          </w:p>
        </w:tc>
        <w:tc>
          <w:tcPr>
            <w:tcW w:w="1020" w:type="dxa"/>
          </w:tcPr>
          <w:p w:rsidR="00557A6F" w:rsidRDefault="00557A6F" w:rsidP="00557A6F">
            <w:pPr>
              <w:jc w:val="right"/>
            </w:pPr>
            <w:r>
              <w:t>600 246</w:t>
            </w:r>
          </w:p>
        </w:tc>
        <w:tc>
          <w:tcPr>
            <w:tcW w:w="1020" w:type="dxa"/>
          </w:tcPr>
          <w:p w:rsidR="00557A6F" w:rsidRDefault="00557A6F" w:rsidP="00557A6F">
            <w:pPr>
              <w:jc w:val="right"/>
            </w:pPr>
            <w:r>
              <w:t>649 013</w:t>
            </w:r>
          </w:p>
        </w:tc>
        <w:tc>
          <w:tcPr>
            <w:tcW w:w="1020" w:type="dxa"/>
          </w:tcPr>
          <w:p w:rsidR="00557A6F" w:rsidRDefault="00557A6F" w:rsidP="00557A6F">
            <w:pPr>
              <w:jc w:val="right"/>
            </w:pPr>
            <w:r>
              <w:t>857 766</w:t>
            </w:r>
          </w:p>
        </w:tc>
        <w:tc>
          <w:tcPr>
            <w:tcW w:w="1020" w:type="dxa"/>
          </w:tcPr>
          <w:p w:rsidR="00557A6F" w:rsidRDefault="00557A6F" w:rsidP="00557A6F">
            <w:pPr>
              <w:jc w:val="right"/>
            </w:pPr>
            <w:r>
              <w:t>32,2</w:t>
            </w:r>
          </w:p>
        </w:tc>
      </w:tr>
      <w:tr w:rsidR="00557A6F" w:rsidTr="00557A6F">
        <w:trPr>
          <w:trHeight w:val="380"/>
        </w:trPr>
        <w:tc>
          <w:tcPr>
            <w:tcW w:w="1020" w:type="dxa"/>
          </w:tcPr>
          <w:p w:rsidR="00557A6F" w:rsidRDefault="00557A6F" w:rsidP="00557A6F">
            <w:r>
              <w:t>541</w:t>
            </w:r>
          </w:p>
        </w:tc>
        <w:tc>
          <w:tcPr>
            <w:tcW w:w="4080" w:type="dxa"/>
          </w:tcPr>
          <w:p w:rsidR="00557A6F" w:rsidRDefault="00557A6F" w:rsidP="00557A6F">
            <w:r>
              <w:t>IT- og ekompolitikk</w:t>
            </w:r>
          </w:p>
        </w:tc>
        <w:tc>
          <w:tcPr>
            <w:tcW w:w="1020" w:type="dxa"/>
          </w:tcPr>
          <w:p w:rsidR="00557A6F" w:rsidRDefault="00557A6F" w:rsidP="00557A6F">
            <w:pPr>
              <w:jc w:val="right"/>
            </w:pPr>
            <w:r>
              <w:t>15 166</w:t>
            </w:r>
          </w:p>
        </w:tc>
        <w:tc>
          <w:tcPr>
            <w:tcW w:w="1020" w:type="dxa"/>
          </w:tcPr>
          <w:p w:rsidR="00557A6F" w:rsidRDefault="00557A6F" w:rsidP="00557A6F">
            <w:pPr>
              <w:jc w:val="right"/>
            </w:pPr>
            <w:r>
              <w:t>15 358</w:t>
            </w:r>
          </w:p>
        </w:tc>
        <w:tc>
          <w:tcPr>
            <w:tcW w:w="1020" w:type="dxa"/>
          </w:tcPr>
          <w:p w:rsidR="00557A6F" w:rsidRDefault="00557A6F" w:rsidP="00557A6F">
            <w:pPr>
              <w:jc w:val="right"/>
            </w:pPr>
            <w:r>
              <w:t>497 769</w:t>
            </w:r>
          </w:p>
        </w:tc>
        <w:tc>
          <w:tcPr>
            <w:tcW w:w="1020" w:type="dxa"/>
          </w:tcPr>
          <w:p w:rsidR="00557A6F" w:rsidRDefault="00557A6F" w:rsidP="00557A6F">
            <w:pPr>
              <w:jc w:val="right"/>
            </w:pPr>
            <w:r>
              <w:t>3 141,1</w:t>
            </w:r>
          </w:p>
        </w:tc>
      </w:tr>
      <w:tr w:rsidR="00557A6F" w:rsidTr="00557A6F">
        <w:trPr>
          <w:trHeight w:val="380"/>
        </w:trPr>
        <w:tc>
          <w:tcPr>
            <w:tcW w:w="1020" w:type="dxa"/>
          </w:tcPr>
          <w:p w:rsidR="00557A6F" w:rsidRDefault="00557A6F" w:rsidP="00557A6F">
            <w:r>
              <w:t>542</w:t>
            </w:r>
          </w:p>
        </w:tc>
        <w:tc>
          <w:tcPr>
            <w:tcW w:w="4080" w:type="dxa"/>
          </w:tcPr>
          <w:p w:rsidR="00557A6F" w:rsidRDefault="00557A6F" w:rsidP="00557A6F">
            <w:r>
              <w:t>Internasjonalt samarbeid</w:t>
            </w:r>
          </w:p>
        </w:tc>
        <w:tc>
          <w:tcPr>
            <w:tcW w:w="1020" w:type="dxa"/>
          </w:tcPr>
          <w:p w:rsidR="00557A6F" w:rsidRDefault="00557A6F" w:rsidP="00557A6F">
            <w:pPr>
              <w:jc w:val="right"/>
            </w:pPr>
            <w:r>
              <w:t>30 439</w:t>
            </w:r>
          </w:p>
        </w:tc>
        <w:tc>
          <w:tcPr>
            <w:tcW w:w="1020" w:type="dxa"/>
          </w:tcPr>
          <w:p w:rsidR="00557A6F" w:rsidRDefault="00557A6F" w:rsidP="00557A6F">
            <w:pPr>
              <w:jc w:val="right"/>
            </w:pPr>
            <w:r>
              <w:t>51 203</w:t>
            </w:r>
          </w:p>
        </w:tc>
        <w:tc>
          <w:tcPr>
            <w:tcW w:w="1020" w:type="dxa"/>
          </w:tcPr>
          <w:p w:rsidR="00557A6F" w:rsidRDefault="00557A6F" w:rsidP="00557A6F">
            <w:pPr>
              <w:jc w:val="right"/>
            </w:pPr>
            <w:r>
              <w:t>78 670</w:t>
            </w:r>
          </w:p>
        </w:tc>
        <w:tc>
          <w:tcPr>
            <w:tcW w:w="1020" w:type="dxa"/>
          </w:tcPr>
          <w:p w:rsidR="00557A6F" w:rsidRDefault="00557A6F" w:rsidP="00557A6F">
            <w:pPr>
              <w:jc w:val="right"/>
            </w:pPr>
            <w:r>
              <w:t>53,6</w:t>
            </w:r>
          </w:p>
        </w:tc>
      </w:tr>
      <w:tr w:rsidR="00557A6F" w:rsidTr="00557A6F">
        <w:trPr>
          <w:trHeight w:val="380"/>
        </w:trPr>
        <w:tc>
          <w:tcPr>
            <w:tcW w:w="1020" w:type="dxa"/>
          </w:tcPr>
          <w:p w:rsidR="00557A6F" w:rsidRDefault="00557A6F" w:rsidP="00557A6F">
            <w:r>
              <w:t>543</w:t>
            </w:r>
          </w:p>
        </w:tc>
        <w:tc>
          <w:tcPr>
            <w:tcW w:w="4080" w:type="dxa"/>
          </w:tcPr>
          <w:p w:rsidR="00557A6F" w:rsidRDefault="00557A6F" w:rsidP="00557A6F">
            <w:r>
              <w:t>Nasjonal kommunikasjonsmy</w:t>
            </w:r>
            <w:r>
              <w:t>n</w:t>
            </w:r>
            <w:r>
              <w:t>dighet</w:t>
            </w: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r>
              <w:t>389 087</w:t>
            </w:r>
          </w:p>
        </w:tc>
        <w:tc>
          <w:tcPr>
            <w:tcW w:w="1020" w:type="dxa"/>
          </w:tcPr>
          <w:p w:rsidR="00557A6F" w:rsidRDefault="00557A6F" w:rsidP="00557A6F">
            <w:pPr>
              <w:jc w:val="right"/>
            </w:pPr>
          </w:p>
        </w:tc>
      </w:tr>
      <w:tr w:rsidR="00557A6F" w:rsidTr="00557A6F">
        <w:trPr>
          <w:trHeight w:val="380"/>
        </w:trPr>
        <w:tc>
          <w:tcPr>
            <w:tcW w:w="1020" w:type="dxa"/>
          </w:tcPr>
          <w:p w:rsidR="00557A6F" w:rsidRDefault="00557A6F" w:rsidP="00557A6F"/>
        </w:tc>
        <w:tc>
          <w:tcPr>
            <w:tcW w:w="4080" w:type="dxa"/>
          </w:tcPr>
          <w:p w:rsidR="00557A6F" w:rsidRDefault="00557A6F" w:rsidP="00557A6F">
            <w:r>
              <w:t>Sum kategori 13.40</w:t>
            </w:r>
          </w:p>
        </w:tc>
        <w:tc>
          <w:tcPr>
            <w:tcW w:w="1020" w:type="dxa"/>
          </w:tcPr>
          <w:p w:rsidR="00557A6F" w:rsidRDefault="00557A6F" w:rsidP="00557A6F">
            <w:pPr>
              <w:jc w:val="right"/>
            </w:pPr>
            <w:r>
              <w:t>645 851</w:t>
            </w:r>
          </w:p>
        </w:tc>
        <w:tc>
          <w:tcPr>
            <w:tcW w:w="1020" w:type="dxa"/>
          </w:tcPr>
          <w:p w:rsidR="00557A6F" w:rsidRDefault="00557A6F" w:rsidP="00557A6F">
            <w:pPr>
              <w:jc w:val="right"/>
            </w:pPr>
            <w:r>
              <w:t>715 574</w:t>
            </w:r>
          </w:p>
        </w:tc>
        <w:tc>
          <w:tcPr>
            <w:tcW w:w="1020" w:type="dxa"/>
          </w:tcPr>
          <w:p w:rsidR="00557A6F" w:rsidRDefault="00557A6F" w:rsidP="00557A6F">
            <w:pPr>
              <w:jc w:val="right"/>
            </w:pPr>
            <w:r>
              <w:t>1 823 292</w:t>
            </w:r>
          </w:p>
        </w:tc>
        <w:tc>
          <w:tcPr>
            <w:tcW w:w="1020" w:type="dxa"/>
          </w:tcPr>
          <w:p w:rsidR="00557A6F" w:rsidRDefault="00557A6F" w:rsidP="00557A6F">
            <w:pPr>
              <w:jc w:val="right"/>
            </w:pPr>
            <w:r>
              <w:t>154,8</w:t>
            </w:r>
          </w:p>
        </w:tc>
      </w:tr>
    </w:tbl>
    <w:p w:rsidR="00557A6F" w:rsidRDefault="00557A6F" w:rsidP="00557A6F">
      <w:pPr>
        <w:pStyle w:val="avsnitt-tittel"/>
      </w:pPr>
      <w:r>
        <w:t>Inntekter under programkategori 13.40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557A6F" w:rsidTr="00557A6F">
        <w:trPr>
          <w:trHeight w:val="640"/>
        </w:trPr>
        <w:tc>
          <w:tcPr>
            <w:tcW w:w="1020" w:type="dxa"/>
            <w:shd w:val="clear" w:color="auto" w:fill="FFFFFF"/>
          </w:tcPr>
          <w:p w:rsidR="00557A6F" w:rsidRDefault="00557A6F" w:rsidP="00557A6F">
            <w:pPr>
              <w:pStyle w:val="Tabellnavn"/>
            </w:pPr>
            <w:r>
              <w:t>PIKL</w:t>
            </w:r>
          </w:p>
        </w:tc>
        <w:tc>
          <w:tcPr>
            <w:tcW w:w="4080" w:type="dxa"/>
          </w:tcPr>
          <w:p w:rsidR="00557A6F" w:rsidRDefault="00557A6F" w:rsidP="00557A6F"/>
        </w:tc>
        <w:tc>
          <w:tcPr>
            <w:tcW w:w="1020" w:type="dxa"/>
          </w:tcPr>
          <w:p w:rsidR="00557A6F" w:rsidRDefault="00557A6F" w:rsidP="00557A6F">
            <w:pPr>
              <w:pStyle w:val="Tabellnavn"/>
              <w:jc w:val="right"/>
            </w:pPr>
          </w:p>
        </w:tc>
        <w:tc>
          <w:tcPr>
            <w:tcW w:w="1020" w:type="dxa"/>
          </w:tcPr>
          <w:p w:rsidR="00557A6F" w:rsidRDefault="00557A6F" w:rsidP="00557A6F">
            <w:pPr>
              <w:pStyle w:val="Tabellnavn"/>
              <w:jc w:val="right"/>
            </w:pPr>
          </w:p>
        </w:tc>
        <w:tc>
          <w:tcPr>
            <w:tcW w:w="1020" w:type="dxa"/>
          </w:tcPr>
          <w:p w:rsidR="00557A6F" w:rsidRDefault="00557A6F" w:rsidP="00557A6F">
            <w:pPr>
              <w:pStyle w:val="Tabellnavn"/>
              <w:jc w:val="right"/>
            </w:pPr>
          </w:p>
        </w:tc>
        <w:tc>
          <w:tcPr>
            <w:tcW w:w="1020" w:type="dxa"/>
          </w:tcPr>
          <w:p w:rsidR="00557A6F" w:rsidRDefault="00557A6F" w:rsidP="00557A6F">
            <w:pPr>
              <w:jc w:val="right"/>
            </w:pPr>
            <w:r>
              <w:t>(i 1 000 kr)</w:t>
            </w:r>
          </w:p>
        </w:tc>
      </w:tr>
      <w:tr w:rsidR="00557A6F" w:rsidTr="00557A6F">
        <w:trPr>
          <w:trHeight w:val="600"/>
        </w:trPr>
        <w:tc>
          <w:tcPr>
            <w:tcW w:w="1020" w:type="dxa"/>
          </w:tcPr>
          <w:p w:rsidR="00557A6F" w:rsidRDefault="00557A6F" w:rsidP="00557A6F">
            <w:r>
              <w:t>Kap.</w:t>
            </w:r>
          </w:p>
        </w:tc>
        <w:tc>
          <w:tcPr>
            <w:tcW w:w="4080" w:type="dxa"/>
          </w:tcPr>
          <w:p w:rsidR="00557A6F" w:rsidRDefault="00557A6F" w:rsidP="00557A6F">
            <w:r>
              <w:t>Betegnelse</w:t>
            </w:r>
          </w:p>
        </w:tc>
        <w:tc>
          <w:tcPr>
            <w:tcW w:w="1020" w:type="dxa"/>
          </w:tcPr>
          <w:p w:rsidR="00557A6F" w:rsidRDefault="00557A6F" w:rsidP="00557A6F">
            <w:pPr>
              <w:jc w:val="right"/>
            </w:pPr>
            <w:r>
              <w:t>Reg</w:t>
            </w:r>
            <w:r>
              <w:t>n</w:t>
            </w:r>
            <w:r>
              <w:t>skap 2018</w:t>
            </w:r>
          </w:p>
        </w:tc>
        <w:tc>
          <w:tcPr>
            <w:tcW w:w="1020" w:type="dxa"/>
          </w:tcPr>
          <w:p w:rsidR="00557A6F" w:rsidRDefault="00557A6F" w:rsidP="00557A6F">
            <w:pPr>
              <w:jc w:val="right"/>
            </w:pPr>
            <w:r>
              <w:t xml:space="preserve">Saldert </w:t>
            </w:r>
            <w:r>
              <w:br/>
              <w:t>budsjett 2019</w:t>
            </w:r>
          </w:p>
        </w:tc>
        <w:tc>
          <w:tcPr>
            <w:tcW w:w="1020" w:type="dxa"/>
          </w:tcPr>
          <w:p w:rsidR="00557A6F" w:rsidRDefault="00557A6F" w:rsidP="00557A6F">
            <w:pPr>
              <w:jc w:val="right"/>
            </w:pPr>
            <w:r>
              <w:t xml:space="preserve">Forslag </w:t>
            </w:r>
            <w:r>
              <w:br/>
              <w:t>2020</w:t>
            </w:r>
          </w:p>
        </w:tc>
        <w:tc>
          <w:tcPr>
            <w:tcW w:w="1020" w:type="dxa"/>
          </w:tcPr>
          <w:p w:rsidR="00557A6F" w:rsidRDefault="00557A6F" w:rsidP="00557A6F">
            <w:pPr>
              <w:jc w:val="right"/>
            </w:pPr>
            <w:r>
              <w:t xml:space="preserve">Pst. endr. </w:t>
            </w:r>
            <w:r>
              <w:br/>
              <w:t>19/20</w:t>
            </w:r>
          </w:p>
        </w:tc>
      </w:tr>
      <w:tr w:rsidR="00557A6F" w:rsidTr="00557A6F">
        <w:trPr>
          <w:trHeight w:val="380"/>
        </w:trPr>
        <w:tc>
          <w:tcPr>
            <w:tcW w:w="1020" w:type="dxa"/>
          </w:tcPr>
          <w:p w:rsidR="00557A6F" w:rsidRDefault="00557A6F" w:rsidP="00557A6F">
            <w:r>
              <w:t>3540</w:t>
            </w:r>
          </w:p>
        </w:tc>
        <w:tc>
          <w:tcPr>
            <w:tcW w:w="4080" w:type="dxa"/>
          </w:tcPr>
          <w:p w:rsidR="00557A6F" w:rsidRDefault="00557A6F" w:rsidP="00557A6F">
            <w:r>
              <w:t>Digitaliseringsdirektoratet</w:t>
            </w:r>
          </w:p>
        </w:tc>
        <w:tc>
          <w:tcPr>
            <w:tcW w:w="1020" w:type="dxa"/>
          </w:tcPr>
          <w:p w:rsidR="00557A6F" w:rsidRDefault="00557A6F" w:rsidP="00557A6F">
            <w:pPr>
              <w:jc w:val="right"/>
            </w:pPr>
            <w:r>
              <w:t>83 088</w:t>
            </w:r>
          </w:p>
        </w:tc>
        <w:tc>
          <w:tcPr>
            <w:tcW w:w="1020" w:type="dxa"/>
          </w:tcPr>
          <w:p w:rsidR="00557A6F" w:rsidRDefault="00557A6F" w:rsidP="00557A6F">
            <w:pPr>
              <w:jc w:val="right"/>
            </w:pPr>
            <w:r>
              <w:t>91 246</w:t>
            </w:r>
          </w:p>
        </w:tc>
        <w:tc>
          <w:tcPr>
            <w:tcW w:w="1020" w:type="dxa"/>
          </w:tcPr>
          <w:p w:rsidR="00557A6F" w:rsidRDefault="00557A6F" w:rsidP="00557A6F">
            <w:pPr>
              <w:jc w:val="right"/>
            </w:pPr>
            <w:r>
              <w:t>172 877</w:t>
            </w:r>
          </w:p>
        </w:tc>
        <w:tc>
          <w:tcPr>
            <w:tcW w:w="1020" w:type="dxa"/>
          </w:tcPr>
          <w:p w:rsidR="00557A6F" w:rsidRDefault="00557A6F" w:rsidP="00557A6F">
            <w:pPr>
              <w:jc w:val="right"/>
            </w:pPr>
            <w:r>
              <w:t>89,5</w:t>
            </w:r>
          </w:p>
        </w:tc>
      </w:tr>
      <w:tr w:rsidR="00557A6F" w:rsidTr="00557A6F">
        <w:trPr>
          <w:trHeight w:val="380"/>
        </w:trPr>
        <w:tc>
          <w:tcPr>
            <w:tcW w:w="1020" w:type="dxa"/>
          </w:tcPr>
          <w:p w:rsidR="00557A6F" w:rsidRDefault="00557A6F" w:rsidP="00557A6F">
            <w:r>
              <w:t>3542</w:t>
            </w:r>
          </w:p>
        </w:tc>
        <w:tc>
          <w:tcPr>
            <w:tcW w:w="4080" w:type="dxa"/>
          </w:tcPr>
          <w:p w:rsidR="00557A6F" w:rsidRDefault="00557A6F" w:rsidP="00557A6F">
            <w:r>
              <w:t>Internasjonalt samarbeid</w:t>
            </w: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r>
              <w:t>2 259</w:t>
            </w:r>
          </w:p>
        </w:tc>
        <w:tc>
          <w:tcPr>
            <w:tcW w:w="1020" w:type="dxa"/>
          </w:tcPr>
          <w:p w:rsidR="00557A6F" w:rsidRDefault="00557A6F" w:rsidP="00557A6F">
            <w:pPr>
              <w:jc w:val="right"/>
            </w:pPr>
          </w:p>
        </w:tc>
      </w:tr>
      <w:tr w:rsidR="00557A6F" w:rsidTr="00557A6F">
        <w:trPr>
          <w:trHeight w:val="380"/>
        </w:trPr>
        <w:tc>
          <w:tcPr>
            <w:tcW w:w="1020" w:type="dxa"/>
          </w:tcPr>
          <w:p w:rsidR="00557A6F" w:rsidRDefault="00557A6F" w:rsidP="00557A6F">
            <w:r>
              <w:t>3543</w:t>
            </w:r>
          </w:p>
        </w:tc>
        <w:tc>
          <w:tcPr>
            <w:tcW w:w="4080" w:type="dxa"/>
          </w:tcPr>
          <w:p w:rsidR="00557A6F" w:rsidRDefault="00557A6F" w:rsidP="00557A6F">
            <w:r>
              <w:t>Nasjonal kommunikasjonsmy</w:t>
            </w:r>
            <w:r>
              <w:t>n</w:t>
            </w:r>
            <w:r>
              <w:t>dighet</w:t>
            </w: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r>
              <w:t>597</w:t>
            </w:r>
          </w:p>
        </w:tc>
        <w:tc>
          <w:tcPr>
            <w:tcW w:w="1020" w:type="dxa"/>
          </w:tcPr>
          <w:p w:rsidR="00557A6F" w:rsidRDefault="00557A6F" w:rsidP="00557A6F">
            <w:pPr>
              <w:jc w:val="right"/>
            </w:pPr>
          </w:p>
        </w:tc>
      </w:tr>
      <w:tr w:rsidR="00557A6F" w:rsidTr="00557A6F">
        <w:trPr>
          <w:trHeight w:val="640"/>
        </w:trPr>
        <w:tc>
          <w:tcPr>
            <w:tcW w:w="1020" w:type="dxa"/>
          </w:tcPr>
          <w:p w:rsidR="00557A6F" w:rsidRDefault="00557A6F" w:rsidP="00557A6F">
            <w:r>
              <w:t>5570</w:t>
            </w:r>
          </w:p>
        </w:tc>
        <w:tc>
          <w:tcPr>
            <w:tcW w:w="4080" w:type="dxa"/>
          </w:tcPr>
          <w:p w:rsidR="00557A6F" w:rsidRDefault="00557A6F" w:rsidP="00557A6F">
            <w:r>
              <w:t>Sektoravgifter under Kommunal- og m</w:t>
            </w:r>
            <w:r>
              <w:t>o</w:t>
            </w:r>
            <w:r>
              <w:t>derniseringsdepartementet</w:t>
            </w: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r>
              <w:t>247 880</w:t>
            </w:r>
          </w:p>
        </w:tc>
        <w:tc>
          <w:tcPr>
            <w:tcW w:w="1020" w:type="dxa"/>
          </w:tcPr>
          <w:p w:rsidR="00557A6F" w:rsidRDefault="00557A6F" w:rsidP="00557A6F">
            <w:pPr>
              <w:jc w:val="right"/>
            </w:pPr>
          </w:p>
        </w:tc>
      </w:tr>
      <w:tr w:rsidR="00557A6F" w:rsidTr="00557A6F">
        <w:trPr>
          <w:trHeight w:val="380"/>
        </w:trPr>
        <w:tc>
          <w:tcPr>
            <w:tcW w:w="1020" w:type="dxa"/>
          </w:tcPr>
          <w:p w:rsidR="00557A6F" w:rsidRDefault="00557A6F" w:rsidP="00557A6F"/>
        </w:tc>
        <w:tc>
          <w:tcPr>
            <w:tcW w:w="4080" w:type="dxa"/>
          </w:tcPr>
          <w:p w:rsidR="00557A6F" w:rsidRDefault="00557A6F" w:rsidP="00557A6F">
            <w:r>
              <w:t>Sum kategori 13.40</w:t>
            </w:r>
          </w:p>
        </w:tc>
        <w:tc>
          <w:tcPr>
            <w:tcW w:w="1020" w:type="dxa"/>
          </w:tcPr>
          <w:p w:rsidR="00557A6F" w:rsidRDefault="00557A6F" w:rsidP="00557A6F">
            <w:pPr>
              <w:jc w:val="right"/>
            </w:pPr>
            <w:r>
              <w:t>83 088</w:t>
            </w:r>
          </w:p>
        </w:tc>
        <w:tc>
          <w:tcPr>
            <w:tcW w:w="1020" w:type="dxa"/>
          </w:tcPr>
          <w:p w:rsidR="00557A6F" w:rsidRDefault="00557A6F" w:rsidP="00557A6F">
            <w:pPr>
              <w:jc w:val="right"/>
            </w:pPr>
            <w:r>
              <w:t>91 246</w:t>
            </w:r>
          </w:p>
        </w:tc>
        <w:tc>
          <w:tcPr>
            <w:tcW w:w="1020" w:type="dxa"/>
          </w:tcPr>
          <w:p w:rsidR="00557A6F" w:rsidRDefault="00557A6F" w:rsidP="00557A6F">
            <w:pPr>
              <w:jc w:val="right"/>
            </w:pPr>
            <w:r>
              <w:t>423 613</w:t>
            </w:r>
          </w:p>
        </w:tc>
        <w:tc>
          <w:tcPr>
            <w:tcW w:w="1020" w:type="dxa"/>
          </w:tcPr>
          <w:p w:rsidR="00557A6F" w:rsidRDefault="00557A6F" w:rsidP="00557A6F">
            <w:pPr>
              <w:jc w:val="right"/>
            </w:pPr>
            <w:r>
              <w:t>364,3</w:t>
            </w:r>
          </w:p>
        </w:tc>
      </w:tr>
    </w:tbl>
    <w:p w:rsidR="00557A6F" w:rsidRDefault="00557A6F" w:rsidP="00557A6F">
      <w:pPr>
        <w:pStyle w:val="Undertittel"/>
      </w:pPr>
      <w:r>
        <w:t>Ansvarsområder</w:t>
      </w:r>
    </w:p>
    <w:p w:rsidR="00557A6F" w:rsidRDefault="00557A6F" w:rsidP="00557A6F">
      <w:r>
        <w:t>Kommunal- og moderniseringsdepartementet har koordineringsansvaret for forvaltningspolitikken, regj</w:t>
      </w:r>
      <w:r>
        <w:t>e</w:t>
      </w:r>
      <w:r>
        <w:t xml:space="preserve">ringens IT-politikk og politikken for elektronisk kommunikasjon. </w:t>
      </w:r>
    </w:p>
    <w:p w:rsidR="00557A6F" w:rsidRDefault="00557A6F" w:rsidP="00557A6F">
      <w:r>
        <w:t>Forvaltningspolitikken handler om sektorovergripende spørsmål som innovasjon i offentlig sektor, styring, organisering, medarbeiderutvikling og ledelse. Forvaltningspolitikken fastsetter felles rammer for hvordan forval</w:t>
      </w:r>
      <w:r>
        <w:t>t</w:t>
      </w:r>
      <w:r>
        <w:t>ningen bør arbeide og være organisert. Den bygger på viktige verdier som effektivitet, rettssikkerhet, faglig integritet og demokrati. Kommunal- og moderniseringsd</w:t>
      </w:r>
      <w:r>
        <w:t>e</w:t>
      </w:r>
      <w:r>
        <w:t>partementet har en rolle som pådriver og tilrettelegger for en åpen forvaltning som har høy tillit i befolkningen. Hver enkelt sektor, departement og underliggende virksomhet har et selvstendig a</w:t>
      </w:r>
      <w:r>
        <w:t>n</w:t>
      </w:r>
      <w:r>
        <w:t>svar for å organisere seg og arbeide slik at de politiske målene nås.</w:t>
      </w:r>
    </w:p>
    <w:p w:rsidR="00557A6F" w:rsidRDefault="00557A6F" w:rsidP="00557A6F">
      <w:r>
        <w:lastRenderedPageBreak/>
        <w:t>Formålet med IT-politikken er å sørge for at digitaliseringen av samfunnet skjer på en bærekraftig måte slik at man oppnår forenkling og effektivisering i både offentlig og privat sektor og motvirker eventuelle negative konsekvenser. IT-politikken skal sikre at digitaliseringen understøtter innov</w:t>
      </w:r>
      <w:r>
        <w:t>a</w:t>
      </w:r>
      <w:r>
        <w:t>sjon og verdiskaping i næringslivet og en bærekraftig og inkluderende samfunnsutvikling. IT-politikken griper inn på tvers av samfunnssektorene. Kommunal- og moderniseringsdepart</w:t>
      </w:r>
      <w:r>
        <w:t>e</w:t>
      </w:r>
      <w:r>
        <w:t>mentet har ansvar for å samordne politikken på dette feltet. Ansvaret innebærer blant annet å ide</w:t>
      </w:r>
      <w:r>
        <w:t>n</w:t>
      </w:r>
      <w:r>
        <w:t>tifisere sektorovergripende utfordringer og å initiere, koordinere og følge opp tverrgående tiltak, herunder utvikling av strategier og handlingsplaner. Depart</w:t>
      </w:r>
      <w:r>
        <w:t>e</w:t>
      </w:r>
      <w:r>
        <w:t>mentet har også et særskilt ansvar for å arbeide for en styrket og mer helhetlig tilnærming til informasjon</w:t>
      </w:r>
      <w:r>
        <w:t>s</w:t>
      </w:r>
      <w:r>
        <w:t>sikkerheten i statsforvaltningen.</w:t>
      </w:r>
    </w:p>
    <w:p w:rsidR="00557A6F" w:rsidRDefault="00557A6F" w:rsidP="00557A6F">
      <w:r>
        <w:t>Formålet med ekompolitikken er å legge til rette for en sikker og fremtidsrettet digital infrastruktur, som kan betraktes som grunnmuren i et digitalisert samfunn. Innbyggere, næringsliv, forvaltning og samfunnskritiske funksjoner blir stadig mer avhengige av effektive, sikre og pålitelige elektr</w:t>
      </w:r>
      <w:r>
        <w:t>o</w:t>
      </w:r>
      <w:r>
        <w:t>niske kommunikasjonstjenester, som høyhastighetsbredbånd og mobil- og internettjenester, for å utføre sine oppgaver. Ekompolitikken griper inn på tvers av samfunnssektorene. Elektroniske kommunikasjonstjenester er en grunnleggende forutsetning for verdiskaping, innovasjon og sa</w:t>
      </w:r>
      <w:r>
        <w:t>m</w:t>
      </w:r>
      <w:r>
        <w:t>funnssikkerhet. Regjeringen vil legge til rette for et likeverdig tilbud av sikre elektroniske komm</w:t>
      </w:r>
      <w:r>
        <w:t>u</w:t>
      </w:r>
      <w:r>
        <w:t>nikasjonstjenester av høy kvalitet og til konkurransedyktige priser, over hele landet. Ansvarsomr</w:t>
      </w:r>
      <w:r>
        <w:t>å</w:t>
      </w:r>
      <w:r>
        <w:t>det for elektronisk kommunikasjon og Nasjonal kommunikasjonsmyndighet styres fra Kommunal- og moderniseringsdepartementet ved digitaliseringsministeren (overført fra Samferdselsdepart</w:t>
      </w:r>
      <w:r>
        <w:t>e</w:t>
      </w:r>
      <w:r>
        <w:t>mentet).</w:t>
      </w:r>
    </w:p>
    <w:p w:rsidR="00557A6F" w:rsidRDefault="00557A6F" w:rsidP="00557A6F">
      <w:pPr>
        <w:pStyle w:val="avsnitt-undertittel"/>
      </w:pPr>
      <w:r>
        <w:t>Endringer i det IT- og forvaltningspolitiske virkemiddelapparatet</w:t>
      </w:r>
    </w:p>
    <w:p w:rsidR="00557A6F" w:rsidRDefault="00557A6F" w:rsidP="00557A6F">
      <w:r>
        <w:t>Regjeringen besluttet i 2019 å endre ansvars- og oppgavefordelingen mellom Direktoratet for fo</w:t>
      </w:r>
      <w:r>
        <w:t>r</w:t>
      </w:r>
      <w:r>
        <w:t>valtning og IKT (Difi), Brønnøysundregistrene og Direktoratet for økonomistyring (DFØ).</w:t>
      </w:r>
    </w:p>
    <w:p w:rsidR="00557A6F" w:rsidRDefault="00557A6F" w:rsidP="00557A6F">
      <w:r>
        <w:t>Den organisatoriske endringen innebærer at Altinn skilles ut fra Brønnøysundregistrene og slås sammen med Difi. Ansvarsområdene under avdelingene for ledelse og for utredning og analyse i Difi overføres til DFØ fra 1. januar 2020. I tillegg overføres fagområdet offentlige anskaffelser, inkludert St</w:t>
      </w:r>
      <w:r>
        <w:t>a</w:t>
      </w:r>
      <w:r>
        <w:t xml:space="preserve">tens innkjøpssenter, til DFØ i løpet av andre halvår 2020. </w:t>
      </w:r>
    </w:p>
    <w:p w:rsidR="00557A6F" w:rsidRDefault="00557A6F" w:rsidP="00557A6F">
      <w:r>
        <w:t>Et viktig mål med å flytte Altinn fra Brønnøysundregistrene til Difi er å legge til rette for raskere og mer sa</w:t>
      </w:r>
      <w:r>
        <w:t>m</w:t>
      </w:r>
      <w:r>
        <w:t xml:space="preserve">ordnet digitalisering og effektivisering av offentlig sektor. I tillegg ønsker regjeringen å samle fagkompetansen på ledelse, organisering, styring og anskaffelser i DFØ for å legge til rette for en mer samordnet utvikling av fagområdene, og at statlige virksomheter kan få bedre og mer helhetlige tjenester enn før. </w:t>
      </w:r>
    </w:p>
    <w:p w:rsidR="00557A6F" w:rsidRDefault="00557A6F" w:rsidP="00557A6F">
      <w:r>
        <w:t>Det restrukturerte Difi sammen med Altinn vil få navnet Digitaliseringsdirektoratet. Kommunal- og moderniseringsdepartementet ved digitaliseringsministeren vil ha ansvaret for styringen av Digit</w:t>
      </w:r>
      <w:r>
        <w:t>a</w:t>
      </w:r>
      <w:r>
        <w:t>liseringsdirektoratet. Det restrukturerte DFØ vil få navnet Direktoratet for forvaltning og økonom</w:t>
      </w:r>
      <w:r>
        <w:t>i</w:t>
      </w:r>
      <w:r>
        <w:t>styring (DFØ). Finansdepart</w:t>
      </w:r>
      <w:r>
        <w:t>e</w:t>
      </w:r>
      <w:r>
        <w:t>mentet vil ha ansvaret for styringen av DFØ. Ansvarsområdene for ledelse, organisering og Statens innkjøpssenter skal styres faglig fra Kommunal- og modernis</w:t>
      </w:r>
      <w:r>
        <w:t>e</w:t>
      </w:r>
      <w:r>
        <w:t>ringsdepartementet ved kommunal- og modernisering</w:t>
      </w:r>
      <w:r>
        <w:t>s</w:t>
      </w:r>
      <w:r>
        <w:t>ministeren. Ansvarsområdet for offentlige anskaffelser, med unntak av Statens innkjøpssenter, styres faglig fra Nærings- og fiskeridepart</w:t>
      </w:r>
      <w:r>
        <w:t>e</w:t>
      </w:r>
      <w:r>
        <w:t>mentet. Det gjøres ingen endringer i den faglige ansvarsdelingen mellom Nærings- og fiskerid</w:t>
      </w:r>
      <w:r>
        <w:t>e</w:t>
      </w:r>
      <w:r>
        <w:t>partementet, Kommunal- og mode</w:t>
      </w:r>
      <w:r>
        <w:t>r</w:t>
      </w:r>
      <w:r>
        <w:t>niseringsdepartementet og Finansdepartementet.</w:t>
      </w:r>
    </w:p>
    <w:p w:rsidR="00557A6F" w:rsidRDefault="00557A6F" w:rsidP="00557A6F">
      <w:r>
        <w:t>De organisatoriske endringene vil gi et mer slagkraftig IT- og forvaltningspolitisk virkemiddela</w:t>
      </w:r>
      <w:r>
        <w:t>p</w:t>
      </w:r>
      <w:r>
        <w:t>parat. Samtidig vil det fortsatt være behov for samordning mellom DFØ og Digitaliseringsdirekt</w:t>
      </w:r>
      <w:r>
        <w:t>o</w:t>
      </w:r>
      <w:r>
        <w:t>ratet og mellom Digitaliseringsdire</w:t>
      </w:r>
      <w:r>
        <w:t>k</w:t>
      </w:r>
      <w:r>
        <w:t>toratet og Brønnøysundregistrene. Dette vil følges opp både på direktoratsnivå og på departementsnivå.</w:t>
      </w:r>
    </w:p>
    <w:p w:rsidR="00557A6F" w:rsidRDefault="00557A6F" w:rsidP="00557A6F">
      <w:r>
        <w:t xml:space="preserve">Digitaliseringsdirektoratet vil få om lag 290 ansatte fordelt på kontorer i Brønnøysund, Leikanger og Oslo, og skal være i drift fra 1. januar 2020. </w:t>
      </w:r>
    </w:p>
    <w:p w:rsidR="00557A6F" w:rsidRDefault="00557A6F" w:rsidP="00557A6F">
      <w:pPr>
        <w:pStyle w:val="avsnitt-undertittel"/>
      </w:pPr>
      <w:r>
        <w:t>Et rendyrket digitaliseringsdirektorat</w:t>
      </w:r>
    </w:p>
    <w:p w:rsidR="00557A6F" w:rsidRDefault="00557A6F" w:rsidP="00557A6F">
      <w:r>
        <w:t>Digitaliseringsdirektoratet skal være regjeringens fremste verktøy for raskere og mer samordnet digital</w:t>
      </w:r>
      <w:r>
        <w:t>i</w:t>
      </w:r>
      <w:r>
        <w:t>sering av offentlig sektor. En samling av digitaliseringskompetansen i Altinn og Difi gir grunnlag for bedre ressursutnyttelse ved drift og videreutvikling av viktige nasjonale felleskomp</w:t>
      </w:r>
      <w:r>
        <w:t>o</w:t>
      </w:r>
      <w:r>
        <w:t xml:space="preserve">nenter og felles </w:t>
      </w:r>
      <w:r>
        <w:lastRenderedPageBreak/>
        <w:t>IT-løsninger. Samtidig vil det legge til rette for innovasjon i offentlig sektor, god informasjonssikkerhet og effektiv og formålstjenlig utvikling av digitale tjenester for innbyggere, kommuner og næringsliv. Digit</w:t>
      </w:r>
      <w:r>
        <w:t>a</w:t>
      </w:r>
      <w:r>
        <w:t xml:space="preserve">liseringsdirektoratet får det overordnede ansvaret for en samordnet digitalisering av offentlig sektor i et godt samspill mellom stat og kommune. Dette innebærer at Digitaliseringsdirektoratet vil ha følgende hovedfunksjoner: </w:t>
      </w:r>
    </w:p>
    <w:p w:rsidR="00557A6F" w:rsidRDefault="00557A6F" w:rsidP="00557A6F">
      <w:pPr>
        <w:pStyle w:val="Liste"/>
      </w:pPr>
      <w:r>
        <w:t>premissgiver for digitalisering og helhetlig informasjonsforvaltning</w:t>
      </w:r>
    </w:p>
    <w:p w:rsidR="00557A6F" w:rsidRDefault="00557A6F" w:rsidP="00557A6F">
      <w:pPr>
        <w:pStyle w:val="Liste"/>
      </w:pPr>
      <w:r>
        <w:t>koordinering av tverrgående digitaliseringstiltak</w:t>
      </w:r>
    </w:p>
    <w:p w:rsidR="00557A6F" w:rsidRDefault="00557A6F" w:rsidP="00557A6F">
      <w:pPr>
        <w:pStyle w:val="Liste"/>
      </w:pPr>
      <w:r>
        <w:t>utvikling av digitale tjenester for innbyggere, kommuner og næringsliv</w:t>
      </w:r>
    </w:p>
    <w:p w:rsidR="00557A6F" w:rsidRDefault="00557A6F" w:rsidP="00557A6F">
      <w:pPr>
        <w:pStyle w:val="Liste"/>
      </w:pPr>
      <w:r>
        <w:t>drift og forvaltning av flere nasjonale felleskomponenter og fellesløsninger</w:t>
      </w:r>
    </w:p>
    <w:p w:rsidR="00557A6F" w:rsidRDefault="00557A6F" w:rsidP="00557A6F">
      <w:pPr>
        <w:pStyle w:val="Liste"/>
      </w:pPr>
      <w:r>
        <w:t>strategisk planlegging av videreutvikling av en helhetlig digital infrastruktur for offentlig sektor</w:t>
      </w:r>
    </w:p>
    <w:p w:rsidR="00557A6F" w:rsidRDefault="00557A6F" w:rsidP="00557A6F">
      <w:pPr>
        <w:pStyle w:val="Liste"/>
      </w:pPr>
      <w:r>
        <w:t>tilsyn for universell utforming av IKT</w:t>
      </w:r>
    </w:p>
    <w:p w:rsidR="00557A6F" w:rsidRDefault="00557A6F" w:rsidP="00557A6F">
      <w:pPr>
        <w:pStyle w:val="Liste"/>
      </w:pPr>
      <w:r>
        <w:t>bidra til utvikling og gjennomføring av regjeringens IT-politikk</w:t>
      </w:r>
    </w:p>
    <w:p w:rsidR="00557A6F" w:rsidRDefault="00557A6F" w:rsidP="00557A6F">
      <w:r>
        <w:t>Digitaliseringsdirektoratet vil ha staten, kommunene, næringsdrivende, frivillig sektor og innby</w:t>
      </w:r>
      <w:r>
        <w:t>g</w:t>
      </w:r>
      <w:r>
        <w:t xml:space="preserve">gerne som målgrupper. </w:t>
      </w:r>
    </w:p>
    <w:p w:rsidR="00557A6F" w:rsidRDefault="00557A6F" w:rsidP="00557A6F">
      <w:r>
        <w:t>Digitaliseringsdirektoratet skal være det sentrale fagorganet for digitalisering. Direktoratet skal være en pådriver og premissgiver i arbeidet med å realisere fastsatte mål og utvikle kunnskap</w:t>
      </w:r>
      <w:r>
        <w:t>s</w:t>
      </w:r>
      <w:r>
        <w:t>grunnlaget for ny politikk på sine fago</w:t>
      </w:r>
      <w:r>
        <w:t>m</w:t>
      </w:r>
      <w:r>
        <w:t>råder. Det er virksomhetene selv som er ansvarlig for egen omstilling, men Digitaliseringsdirektoratet skal legge til rette og støtte dem ved blant annet å red</w:t>
      </w:r>
      <w:r>
        <w:t>u</w:t>
      </w:r>
      <w:r>
        <w:t>sere felles hindringer for omstilling og tilby rådgiving, relevante verktøy og virkemidler.</w:t>
      </w:r>
    </w:p>
    <w:p w:rsidR="00557A6F" w:rsidRDefault="00557A6F" w:rsidP="00557A6F">
      <w:r>
        <w:t>Digitaliseringsdirektoratet vil fra 1. januar 2020 forvalte de nasjonale felleskomponentene Altinn, Digital postkasse til innbyggerne, ID-porten, Kontakt- og reservasjonsregisteret og flere andre fe</w:t>
      </w:r>
      <w:r>
        <w:t>l</w:t>
      </w:r>
      <w:r>
        <w:t xml:space="preserve">lesløsninger. Direktoratet vil ha ansvaret for samordning av arbeidet med gjennomføring av </w:t>
      </w:r>
      <w:r>
        <w:rPr>
          <w:rStyle w:val="kursiv"/>
          <w:spacing w:val="2"/>
          <w:sz w:val="21"/>
          <w:szCs w:val="21"/>
        </w:rPr>
        <w:t>Digit</w:t>
      </w:r>
      <w:r>
        <w:rPr>
          <w:rStyle w:val="kursiv"/>
          <w:spacing w:val="2"/>
          <w:sz w:val="21"/>
          <w:szCs w:val="21"/>
        </w:rPr>
        <w:t>a</w:t>
      </w:r>
      <w:r>
        <w:rPr>
          <w:rStyle w:val="kursiv"/>
          <w:spacing w:val="2"/>
          <w:sz w:val="21"/>
          <w:szCs w:val="21"/>
        </w:rPr>
        <w:t>liseringsstrategi for offentlig sektor 2019–2025</w:t>
      </w:r>
      <w:r>
        <w:t>, ledelse av Skate (styring og koordinering av tjenester i e-forvaltning) og NIFS (nettverk for informasjonssikkerhet). Direktoratet skal også være sekretariat for Digitaliseringsrådet og Arkitektur- og sta</w:t>
      </w:r>
      <w:r>
        <w:t>n</w:t>
      </w:r>
      <w:r>
        <w:t>dardiseringsrådet.</w:t>
      </w:r>
    </w:p>
    <w:p w:rsidR="00557A6F" w:rsidRDefault="00557A6F" w:rsidP="00557A6F">
      <w:r>
        <w:t>Digitaliseringsdirektoratet skal være et fagorgan for sektorovergripende oppgaver innenfor info</w:t>
      </w:r>
      <w:r>
        <w:t>r</w:t>
      </w:r>
      <w:r>
        <w:t>masjonsforval</w:t>
      </w:r>
      <w:r>
        <w:t>t</w:t>
      </w:r>
      <w:r>
        <w:t xml:space="preserve">ning og deling av data. </w:t>
      </w:r>
    </w:p>
    <w:p w:rsidR="00557A6F" w:rsidRDefault="00557A6F" w:rsidP="00557A6F">
      <w:r>
        <w:t>Et godt samarbeid med andre offentlige og private aktører vil være vesentlig i Digitaliseringsd</w:t>
      </w:r>
      <w:r>
        <w:t>i</w:t>
      </w:r>
      <w:r>
        <w:t xml:space="preserve">rektoratets arbeid. Det vil være spesielt viktig med et godt samarbeid med Brønnøysundregistrene. </w:t>
      </w:r>
    </w:p>
    <w:p w:rsidR="00557A6F" w:rsidRDefault="00557A6F" w:rsidP="00557A6F">
      <w:r>
        <w:t>Direktoratet skal være et fagorgan og en premissgiver for forebyggende informasjonssikkerhet i statsforvaltningen. Direktoratet skal styrke arbeidet med informasjonssikkerhet rettet mot komm</w:t>
      </w:r>
      <w:r>
        <w:t>u</w:t>
      </w:r>
      <w:r>
        <w:t>nene. Det skal ha ansvar for tilsyn med offentlige og private virksomheter etter forskrift om un</w:t>
      </w:r>
      <w:r>
        <w:t>i</w:t>
      </w:r>
      <w:r>
        <w:t>versell utforming av IKT-løsninger.</w:t>
      </w:r>
    </w:p>
    <w:p w:rsidR="00557A6F" w:rsidRDefault="00557A6F" w:rsidP="00557A6F">
      <w:pPr>
        <w:pStyle w:val="avsnitt-undertittel"/>
      </w:pPr>
      <w:r>
        <w:t>Et samlet forvaltnings- og økonomistyringsdirektorat</w:t>
      </w:r>
    </w:p>
    <w:p w:rsidR="00557A6F" w:rsidRDefault="00557A6F" w:rsidP="00557A6F">
      <w:r>
        <w:t>Gode resultater i en virksomhet fordrer god styring, ledelse og organisering. En samling av fago</w:t>
      </w:r>
      <w:r>
        <w:t>m</w:t>
      </w:r>
      <w:r>
        <w:t xml:space="preserve">rådene økonomi, styring, ledelse, organisering og anskaffelser i ett direktorat legger til rette for en mer samordnet utvikling av disse fagområdene. En mer samordnet utvikling vil bety at statlige virksomheter kan få bedre og mer helhetlige tjenester enn hva Difi og DFØ har kunnet tilby hver for seg. </w:t>
      </w:r>
    </w:p>
    <w:p w:rsidR="00557A6F" w:rsidRDefault="00557A6F" w:rsidP="00557A6F">
      <w:r>
        <w:t>De oppgavene som i løpet av 2020 skal overføres fra Difi til DFØ, omfatter organisering, ledelse og arbeidsg</w:t>
      </w:r>
      <w:r>
        <w:t>i</w:t>
      </w:r>
      <w:r>
        <w:t>verstøtte og anskaffelser, inkludert Statens innkjøpssenter. DFØ har fra før ansvar for å forvalte regelverket for økonomistyring i staten, forvalte utredningsinstruksen, gi veiledning om samfunnsøkonomiske analyser, levere lønns- og regnskapstjenester til statlige virksomheter og forvalte statens konsernkontoordning og konsernsyst</w:t>
      </w:r>
      <w:r>
        <w:t>e</w:t>
      </w:r>
      <w:r>
        <w:t xml:space="preserve">met for statsregnskapet. DFØs fagansvar vil etter omorganiseringen strekke seg fra beslutningsgrunnlaget før et forslag til tiltak fremmes, til rapportering på gjennomførte tiltak og oppnådde resultater. </w:t>
      </w:r>
    </w:p>
    <w:p w:rsidR="00557A6F" w:rsidRDefault="00557A6F" w:rsidP="00557A6F">
      <w:r>
        <w:t>Anskaffelser er et sentralt virkemiddel i effektivisering av offentlige virksomheter. Med anskaffe</w:t>
      </w:r>
      <w:r>
        <w:t>l</w:t>
      </w:r>
      <w:r>
        <w:t>ser som en integrert del av DFØ er det mulig å se økonomiregelverket og anskaffelsesregelverket i en større helhet. Dette kan blant annet bidra til et mer enhetlig tilbud innen veiledning og komp</w:t>
      </w:r>
      <w:r>
        <w:t>e</w:t>
      </w:r>
      <w:r>
        <w:t>tansetiltak og m</w:t>
      </w:r>
      <w:r>
        <w:t>u</w:t>
      </w:r>
      <w:r>
        <w:t>ligheter for å utarbeide bedre innkjøpsstatistikk. Statens innkjøpssenter skal inngå og forvalte felles avtaler på vegne av statlige vir</w:t>
      </w:r>
      <w:r>
        <w:t>k</w:t>
      </w:r>
      <w:r>
        <w:t xml:space="preserve">somheter. Målet er mer profesjonelle, effektive og enkle innkjøpsprosesser </w:t>
      </w:r>
      <w:r>
        <w:lastRenderedPageBreak/>
        <w:t>samt bedre og mer gunstige kjøp for staten. Direktoratet vil være sekret</w:t>
      </w:r>
      <w:r>
        <w:t>a</w:t>
      </w:r>
      <w:r>
        <w:t>riat for Arbeidsgiverrådet i st</w:t>
      </w:r>
      <w:r>
        <w:t>a</w:t>
      </w:r>
      <w:r>
        <w:t xml:space="preserve">ten. </w:t>
      </w:r>
    </w:p>
    <w:p w:rsidR="00557A6F" w:rsidRDefault="00557A6F" w:rsidP="00557A6F">
      <w:r>
        <w:t>Omstruktureringen gjør at DFØ får en utvidet målgruppe. Innenfor fagområdet offentlige anska</w:t>
      </w:r>
      <w:r>
        <w:t>f</w:t>
      </w:r>
      <w:r>
        <w:t xml:space="preserve">felser vil DFØ ha stat, kommuner og næringslivet som målgruppe. </w:t>
      </w:r>
    </w:p>
    <w:p w:rsidR="00557A6F" w:rsidRDefault="00557A6F" w:rsidP="00557A6F">
      <w:r>
        <w:t xml:space="preserve">DFØ vil også etter omorganiseringen ha behov for å jobbe tett med Digitaliseringsdirektoratet for å koordinere tjenestetilbudet. </w:t>
      </w:r>
    </w:p>
    <w:p w:rsidR="00557A6F" w:rsidRDefault="00557A6F" w:rsidP="00557A6F">
      <w:pPr>
        <w:pStyle w:val="avsnitt-undertittel"/>
      </w:pPr>
      <w:r>
        <w:t xml:space="preserve">Et direktorat for grunnmuren i digitaliseringen – Nasjonal kommunikasjonsmyndighet </w:t>
      </w:r>
    </w:p>
    <w:p w:rsidR="00557A6F" w:rsidRDefault="00557A6F" w:rsidP="00557A6F">
      <w:r>
        <w:t>Nasjonal kommunikasjonsmyndighets hovedoppgaver er å føre tilsyn med markedet for elektronisk kommunikasjon, og å føre kontroll med at regelverket på området etterleves. Tilsynsoppgavene omfatter blant annet å kontrollere kvaliteten og sikkerheten i nett og tjenester, og å legge til rette for gode og fremtidsrettede tjenester gjennom regulering av ekomsektoren.</w:t>
      </w:r>
    </w:p>
    <w:p w:rsidR="00557A6F" w:rsidRDefault="00557A6F" w:rsidP="00557A6F">
      <w:r>
        <w:t>Nasjonal kommunikasjonsmyndighet bistår departementet med å utarbeide lov- og forskriftsutkast, treffer enkeltvedtak om markedsregulering og forvalter radiofrekvens-, navne- og nummerressu</w:t>
      </w:r>
      <w:r>
        <w:t>r</w:t>
      </w:r>
      <w:r>
        <w:t>ser. Videre har etaten ansvar for markedskontroll av radio- og terminalutstyr og utfører løpende oppgaver i forbindelse med sikkerhet og beredskap på ekommarkedet. Etaten representerer også norske interesser internasjonalt på ekomområdet.</w:t>
      </w:r>
    </w:p>
    <w:p w:rsidR="00557A6F" w:rsidRDefault="00557A6F" w:rsidP="00557A6F">
      <w:r>
        <w:t>Nasjonal kommunikasjonsmyndighet er, sammen med Kommunal- og moderniseringsdeparteme</w:t>
      </w:r>
      <w:r>
        <w:t>n</w:t>
      </w:r>
      <w:r>
        <w:t>tet, ansvarlig myndighet for Norges frekvensforvaltning. Frekvenser utgjør en verdifull og begre</w:t>
      </w:r>
      <w:r>
        <w:t>n</w:t>
      </w:r>
      <w:r>
        <w:t xml:space="preserve">set naturressurs, og det stiller høye krav til forvaltningen. </w:t>
      </w:r>
    </w:p>
    <w:p w:rsidR="00557A6F" w:rsidRDefault="00557A6F" w:rsidP="00557A6F">
      <w:pPr>
        <w:pStyle w:val="Undertittel"/>
      </w:pPr>
      <w:r>
        <w:t>Utviklingstrekk og utfordringer</w:t>
      </w:r>
    </w:p>
    <w:p w:rsidR="00557A6F" w:rsidRDefault="00557A6F" w:rsidP="00557A6F">
      <w:pPr>
        <w:pStyle w:val="avsnitt-under-undertittel"/>
      </w:pPr>
      <w:r>
        <w:t>Forvaltningsutvikling</w:t>
      </w:r>
    </w:p>
    <w:p w:rsidR="00557A6F" w:rsidRDefault="00557A6F" w:rsidP="00557A6F">
      <w:r>
        <w:t>Norge har en velfungerende offentlig forvaltning, noe som blant annet går fram av internasjonale sa</w:t>
      </w:r>
      <w:r>
        <w:t>m</w:t>
      </w:r>
      <w:r>
        <w:t xml:space="preserve">menligninger. Verdensbankens indikatorer for effektiv forvaltning fra 2017 rangerer Singapore, Sveits og Norge på topp. </w:t>
      </w:r>
    </w:p>
    <w:p w:rsidR="00557A6F" w:rsidRDefault="00557A6F" w:rsidP="00557A6F">
      <w:r>
        <w:t>OECD har pekt på at tillit er en driver for effektiv forvaltning og økonomisk utvikling og et mål på hvordan offentlig sektor lykkes. Norsk offentlig forvaltning skårer høyt i internasjonale samme</w:t>
      </w:r>
      <w:r>
        <w:t>n</w:t>
      </w:r>
      <w:r>
        <w:t>ligninger av tillit. OECDs World Gallup Poll fra 2017 finner at nordmenns tillit til nasjonale my</w:t>
      </w:r>
      <w:r>
        <w:t>n</w:t>
      </w:r>
      <w:r>
        <w:t>digheter er blant det høyeste i OECD, og at nivået har vært tilnærmet uendret de siste ti årene. OECD rangerer i sin unders</w:t>
      </w:r>
      <w:r>
        <w:t>ø</w:t>
      </w:r>
      <w:r>
        <w:t>kelse Sveits, Luxembourg og Norge på topp.</w:t>
      </w:r>
    </w:p>
    <w:p w:rsidR="00557A6F" w:rsidRDefault="00557A6F" w:rsidP="00557A6F">
      <w:r>
        <w:t>For å opprettholde og videreutvikle en offentlig forvaltning som har høy tillit i befolkningen, må offentlig sektor kunne håndtere de utfordringene som vil påvirke den norske velferdsmodellen. I Difis innbyggerundersøkelse for 2019 viser resultatene stabilitet eller en liten nedgang i tilfredsh</w:t>
      </w:r>
      <w:r>
        <w:t>e</w:t>
      </w:r>
      <w:r>
        <w:t>ten med ko</w:t>
      </w:r>
      <w:r>
        <w:t>m</w:t>
      </w:r>
      <w:r>
        <w:t>munale og statlige tjenester. På spørsmål om kvalitet på tjenestene i forhold til pris i form av skatter og avgifter ser Difi en positiv tendens. På spørsmål om tillit til kommune- og sto</w:t>
      </w:r>
      <w:r>
        <w:t>r</w:t>
      </w:r>
      <w:r>
        <w:t>tingspolitikere er det en mer nedadgående tendens.</w:t>
      </w:r>
    </w:p>
    <w:p w:rsidR="00557A6F" w:rsidRDefault="00557A6F" w:rsidP="00557A6F">
      <w:r>
        <w:t>Effektiv organisering og drift forutsetter kontinuerlig forbedring. Offentlig sektor må derfor vurd</w:t>
      </w:r>
      <w:r>
        <w:t>e</w:t>
      </w:r>
      <w:r>
        <w:t>re om oppgavene kan løses på nye måter ved blant annet å utnytte digitaliseringsmuligheter, og om oppgaver bør løses på tvers av sektorer og forvaltningsnivåer. Arbeidet med innovasjon og spre</w:t>
      </w:r>
      <w:r>
        <w:t>d</w:t>
      </w:r>
      <w:r>
        <w:t>ning av innovasjon vil prioriteres høyt, og det vil arbeides mer systematisk for å få til den omsti</w:t>
      </w:r>
      <w:r>
        <w:t>l</w:t>
      </w:r>
      <w:r>
        <w:t>lingstakten som det offentlige trenger framover. Det er i dag ingen felles, helhetlig nasjonal pol</w:t>
      </w:r>
      <w:r>
        <w:t>i</w:t>
      </w:r>
      <w:r>
        <w:t>tikk for hvordan vi skal tilrettelegge for innovasjon i offentlig sektor, selv om mange aktører a</w:t>
      </w:r>
      <w:r>
        <w:t>r</w:t>
      </w:r>
      <w:r>
        <w:t>beider med avgrensede innsatser inne</w:t>
      </w:r>
      <w:r>
        <w:t>n</w:t>
      </w:r>
      <w:r>
        <w:t>for sine fagfelt. Regjeringen har derfor startet arbeidet med en stortingsmelding om innovasjon i offentlig sektor.</w:t>
      </w:r>
    </w:p>
    <w:p w:rsidR="00557A6F" w:rsidRDefault="00557A6F" w:rsidP="00557A6F">
      <w:r>
        <w:t>De samlede innkjøp av varer og tjenester for offentlig sektor var i 2017 vel 523 mrd. kroner. O</w:t>
      </w:r>
      <w:r>
        <w:t>f</w:t>
      </w:r>
      <w:r>
        <w:t>fentlige anska</w:t>
      </w:r>
      <w:r>
        <w:t>f</w:t>
      </w:r>
      <w:r>
        <w:t>felser spiller derfor en stor rolle for ressursbruken i offentlig sektor, og er viktig for næringslivet. Det er behov for en økt profesjonalisering av innkjøp gjennom blant annet økt satsing på kompetanse og bedre styring, ledelse og organisering. Anskaffelsesprosessen er blitt mer digital, men det er et større potensial for offentlige oppdrag</w:t>
      </w:r>
      <w:r>
        <w:t>s</w:t>
      </w:r>
      <w:r>
        <w:t>givere i å ta i bruk digitale løsninger for denne prosessen.</w:t>
      </w:r>
    </w:p>
    <w:p w:rsidR="00557A6F" w:rsidRDefault="00557A6F" w:rsidP="00557A6F">
      <w:r>
        <w:lastRenderedPageBreak/>
        <w:t>Et mye brukt virkemiddel de siste årene for å frigjøre ressurser til faglige oppgaver og få sterkere kompetans</w:t>
      </w:r>
      <w:r>
        <w:t>e</w:t>
      </w:r>
      <w:r>
        <w:t>miljøer, er omfattende endringer i organisasjonsstrukturen innen statlig forvaltning. Både politiet, universitets- og høyskolesektoren og samferdselssektoren har gjennomført store strukturendringer. Fra 2019 er antall fylke</w:t>
      </w:r>
      <w:r>
        <w:t>s</w:t>
      </w:r>
      <w:r>
        <w:t xml:space="preserve">mannsembeter redusert fra 18 til 10. </w:t>
      </w:r>
    </w:p>
    <w:p w:rsidR="00557A6F" w:rsidRDefault="00557A6F" w:rsidP="00557A6F">
      <w:r>
        <w:t>Det er gjennomført en rekke endringer i statlige virksomheters organisasjons- og tilknytningsfo</w:t>
      </w:r>
      <w:r>
        <w:t>r</w:t>
      </w:r>
      <w:r>
        <w:t>mer siden 2000. Endringene er gjennomført for å fremme en formålseffektiv og kostnadseffektiv oppgaveløsning ved å tilpasse styrings- og organisasjonsformene etter oppgavenes karakter. Utvi</w:t>
      </w:r>
      <w:r>
        <w:t>k</w:t>
      </w:r>
      <w:r>
        <w:t>lingen har samtidig medført en mer differe</w:t>
      </w:r>
      <w:r>
        <w:t>n</w:t>
      </w:r>
      <w:r>
        <w:t>siert og spesialisert statsforvaltning. En kartlegging gjennomført av Difi i 2018 (Organisasjonsformer i staten – Rapport 2018:8) viser at fra 2000 til 2018 er samlet antall forvaltningsorganer redusert med om lag en fjerdedel, jf. figur under. Ne</w:t>
      </w:r>
      <w:r>
        <w:t>d</w:t>
      </w:r>
      <w:r>
        <w:t>gangen tidlig på 2000-tallet var særlig stor. Den skyldes blant annet omdanning til forvaltningso</w:t>
      </w:r>
      <w:r>
        <w:t>r</w:t>
      </w:r>
      <w:r>
        <w:t>ganer med særskilte fullmakter eller til heleide statsaksjeselskap, men også sammenslåinger og noe desentralisering til andre forvaltningsnivåer. Fra 2006 og utover har endringene i antall forval</w:t>
      </w:r>
      <w:r>
        <w:t>t</w:t>
      </w:r>
      <w:r>
        <w:t>ningsorganer vært færre.</w:t>
      </w:r>
    </w:p>
    <w:p w:rsidR="00557A6F" w:rsidRDefault="007F3140" w:rsidP="007F3140">
      <w:pPr>
        <w:pStyle w:val="Figur"/>
      </w:pPr>
      <w:r>
        <w:t>[:figur:fig6-2.jpg]</w:t>
      </w:r>
    </w:p>
    <w:p w:rsidR="00557A6F" w:rsidRDefault="00557A6F" w:rsidP="00557A6F">
      <w:pPr>
        <w:pStyle w:val="figur-tittel"/>
      </w:pPr>
      <w:r>
        <w:t>Utvikling i organisasjonsformer innenfor statsforvaltningen</w:t>
      </w:r>
    </w:p>
    <w:p w:rsidR="00557A6F" w:rsidRDefault="00557A6F" w:rsidP="00557A6F">
      <w:pPr>
        <w:pStyle w:val="Kilde"/>
      </w:pPr>
      <w:r>
        <w:t>Organisasjonsformer i offentlig sektor. Difi-rapport 2018:8. Basert på tall fra NSD/Forvaltningsdatabasen.</w:t>
      </w:r>
    </w:p>
    <w:p w:rsidR="00557A6F" w:rsidRDefault="00557A6F" w:rsidP="00557A6F">
      <w:r>
        <w:t>Økende kompleksitet i statens organisering reflekterer statens mange roller og formål i et moderne samfunn. Samtidig er det avgjørende at staten makter å samordne sin mangeartede virksomhet på en effektiv måte. Det er en voksende erkjennelse av at store samfunnsmessige utfordringer blir st</w:t>
      </w:r>
      <w:r>
        <w:t>a</w:t>
      </w:r>
      <w:r>
        <w:t>dig mer sammensatte og komplekse. Utfordringene er tverrsektorielle og kan kreve innsats fra mange offentlige organer for å nå sentrale politiske mål. Forvaltningens evne til å håndtere slike utfordringer vil bli viktig for å opprettholde innbyggernes tillit til offentlig sektor.</w:t>
      </w:r>
    </w:p>
    <w:p w:rsidR="00557A6F" w:rsidRDefault="00557A6F" w:rsidP="00557A6F">
      <w:r>
        <w:t>Antall statsansatte som andel av total sysselsetting i Norge har ifølge Difi ligget jevnt på 6 pst. fra 2000 til 2018. Det meste av veksten i antall statsansatte i perioden 2013 til 2018 har kommet på prioriterte områder for regj</w:t>
      </w:r>
      <w:r>
        <w:t>e</w:t>
      </w:r>
      <w:r>
        <w:t>ringen, blant annet i universitets- og høyskolesektoren og politiet. En kartlegging av se</w:t>
      </w:r>
      <w:r>
        <w:t>n</w:t>
      </w:r>
      <w:r>
        <w:t>tralforvaltningen gjort av Difi, viser at antall ansatte i departementene har gått ned fra 2013 til 2019. Veksten i direktoratene har bremset opp fra 2013 til 2016 når det samme</w:t>
      </w:r>
      <w:r>
        <w:t>n</w:t>
      </w:r>
      <w:r>
        <w:t>lignes med perioden 2009 til 2013. Fra 2016 til 2017 var det en nedgang i antall ansatte i direkt</w:t>
      </w:r>
      <w:r>
        <w:t>o</w:t>
      </w:r>
      <w:r>
        <w:t>ratene. Fra 2017 til 2018 har antall ansatte i direktoratene økt, i hovedsak på grunn av omorganis</w:t>
      </w:r>
      <w:r>
        <w:t>e</w:t>
      </w:r>
      <w:r>
        <w:t>ringer internt i statsforvaltningen. Veksten er fortsatt lavere enn i perioden 2009 til 2013. Hvis det just</w:t>
      </w:r>
      <w:r>
        <w:t>e</w:t>
      </w:r>
      <w:r>
        <w:t xml:space="preserve">res for disse omorganiseringene, har antall ansatte gått ned i direktoratene fra 2017 til 2018. Det vises til Meld. St. 1 (2019–2020) </w:t>
      </w:r>
      <w:r>
        <w:rPr>
          <w:rStyle w:val="kursiv"/>
          <w:sz w:val="21"/>
          <w:szCs w:val="21"/>
        </w:rPr>
        <w:t>Nasjonalbudsjettet 2020</w:t>
      </w:r>
      <w:r>
        <w:t>, kap. 5.3 for en nærmere beskrivelse av utviklingen i offentlig sektor.</w:t>
      </w:r>
    </w:p>
    <w:p w:rsidR="00557A6F" w:rsidRDefault="00557A6F" w:rsidP="00557A6F">
      <w:pPr>
        <w:pStyle w:val="avsnitt-under-undertittel"/>
      </w:pPr>
      <w:r>
        <w:lastRenderedPageBreak/>
        <w:t>IT-politikk og digitalisering</w:t>
      </w:r>
    </w:p>
    <w:p w:rsidR="00557A6F" w:rsidRDefault="00557A6F" w:rsidP="00557A6F">
      <w:r>
        <w:t>En av de viktigste drivkreftene for økt produktivitet, både i offentlig og privat sektor, er digitalis</w:t>
      </w:r>
      <w:r>
        <w:t>e</w:t>
      </w:r>
      <w:r>
        <w:t>ring. Teknologiutviklingen åpner for nye måter å organisere forvaltningen på, forbedre eksisterende tjenest</w:t>
      </w:r>
      <w:r>
        <w:t>e</w:t>
      </w:r>
      <w:r>
        <w:t xml:space="preserve">tilbud, tilby nye offentlige tjenester, og eventuelt også </w:t>
      </w:r>
      <w:proofErr w:type="gramStart"/>
      <w:r>
        <w:t>utvikle</w:t>
      </w:r>
      <w:proofErr w:type="gramEnd"/>
      <w:r>
        <w:t xml:space="preserve"> nye måter å løse de offentlige arbeidsop</w:t>
      </w:r>
      <w:r>
        <w:t>p</w:t>
      </w:r>
      <w:r>
        <w:t>gavene på. Dette forutsetter omstillingsevne og god utnyttelse av markedet. I tillegg gir digitalisering muligheter for nye samarbeidsformer mellom offentlig og privat sektor.</w:t>
      </w:r>
    </w:p>
    <w:p w:rsidR="00557A6F" w:rsidRDefault="00557A6F" w:rsidP="00557A6F">
      <w:r>
        <w:t>Norge har gode forutsetninger for å lykkes med digitalisering. The Digital Economy and Society Index (DESI) måler EU-landene samt Norge, Island og Tyrkia på digital infrastruktur, i hvilken grad næringslivet tar i bruk digital teknologi, bruken av offentlige digitale tjenester, teknolog</w:t>
      </w:r>
      <w:r>
        <w:t>i</w:t>
      </w:r>
      <w:r>
        <w:t>kompetanse og bruk av teknologi og tjenester i samfunnet. Indeksen for 2019 viser at Norge ran</w:t>
      </w:r>
      <w:r>
        <w:t>g</w:t>
      </w:r>
      <w:r>
        <w:t>eres som nummer fem i Europa etter Finland, Sverige, Nede</w:t>
      </w:r>
      <w:r>
        <w:t>r</w:t>
      </w:r>
      <w:r>
        <w:t>land og Danmark. Norges rangering er den samme som i 2018.</w:t>
      </w:r>
    </w:p>
    <w:p w:rsidR="00557A6F" w:rsidRDefault="007F3140" w:rsidP="007F3140">
      <w:pPr>
        <w:pStyle w:val="Figur"/>
      </w:pPr>
      <w:r>
        <w:t>[:figur:fig6-3.jpg]</w:t>
      </w:r>
    </w:p>
    <w:p w:rsidR="00557A6F" w:rsidRPr="00557A6F" w:rsidRDefault="00557A6F" w:rsidP="00557A6F">
      <w:pPr>
        <w:pStyle w:val="figur-tittel"/>
        <w:rPr>
          <w:lang w:val="en-US"/>
        </w:rPr>
      </w:pPr>
      <w:r w:rsidRPr="00557A6F">
        <w:rPr>
          <w:lang w:val="en-US"/>
        </w:rPr>
        <w:t>Digital Economy and Society Index (DESI 2019 ranking)</w:t>
      </w:r>
    </w:p>
    <w:p w:rsidR="00557A6F" w:rsidRDefault="00557A6F" w:rsidP="00557A6F">
      <w:pPr>
        <w:pStyle w:val="Kilde"/>
      </w:pPr>
      <w:r>
        <w:t>European Commission.</w:t>
      </w:r>
    </w:p>
    <w:p w:rsidR="00557A6F" w:rsidRDefault="00557A6F" w:rsidP="00557A6F">
      <w:r>
        <w:t xml:space="preserve">DESI 2019-undersøkelsen viser at andelen brukere av digitale offentlige tjenester ligger på 91 pst. i Norge mot et gjennomsnitt på 64 pst. i EU. Andelen som bruker banktjenester på nett er i Norge 96 pst. mot et gjennomsnitt på 64 pst. i EU. På områdene «bruk av IKT i næringslivet» og «offentlige digitale tjenester» viser Norge særlig framgang. </w:t>
      </w:r>
    </w:p>
    <w:p w:rsidR="00557A6F" w:rsidRDefault="00557A6F" w:rsidP="00557A6F">
      <w:r>
        <w:t>Samtidig viser indeksen at Norge siden 2018 har hatt mindre framgang på området teknologiko</w:t>
      </w:r>
      <w:r>
        <w:t>m</w:t>
      </w:r>
      <w:r>
        <w:t>petanse. Andelen IT-spesialister (4,6 pst.) og uteksaminerte med IT-utdanning (3,2 pst.) ligger st</w:t>
      </w:r>
      <w:r>
        <w:t>a</w:t>
      </w:r>
      <w:r>
        <w:t>bilt i forhold til tilsvarende måling i 2017.</w:t>
      </w:r>
    </w:p>
    <w:p w:rsidR="00557A6F" w:rsidRDefault="00557A6F" w:rsidP="00557A6F">
      <w:r>
        <w:t>I et digitalisert samfunn blir stadig flere produkter koblet til internett over ekomnettene. Dette g</w:t>
      </w:r>
      <w:r>
        <w:t>e</w:t>
      </w:r>
      <w:r>
        <w:t>nererer store mengder data, omtalt som stordata. Med en effektiv dataforvaltning vil bruken av stordata kunne bidra til økt effektivitet og innovasjon i privat og offentlig sektor forutsatt at offen</w:t>
      </w:r>
      <w:r>
        <w:t>t</w:t>
      </w:r>
      <w:r>
        <w:t>lige data deles i sektoren og overfor privat næringsliv. Norge har uutnyttet potensial knyttet til bruk av stordata og deling av dette. Utstrakt bruk av stordata forutsetter at personvernet ivaretas. Utvi</w:t>
      </w:r>
      <w:r>
        <w:t>k</w:t>
      </w:r>
      <w:r>
        <w:t>lingen av kunstig intelligens (KI) er avhengig av store mengder kval</w:t>
      </w:r>
      <w:r>
        <w:t>i</w:t>
      </w:r>
      <w:r>
        <w:t>tetsdata. Norge har et stort potensial for å utvikle KI-løsninger, særlig i helsesektoren, men også i mange andre sektorer.</w:t>
      </w:r>
    </w:p>
    <w:p w:rsidR="00557A6F" w:rsidRDefault="00557A6F" w:rsidP="00557A6F">
      <w:r>
        <w:t>Digitaliseringen av samfunnet innebærer at alle offentlige og private virksomheter vil ha økt behov for personer som kan designe nye (digitale) produkter og tjenester, drive produksjonsprosessene, progra</w:t>
      </w:r>
      <w:r>
        <w:t>m</w:t>
      </w:r>
      <w:r>
        <w:t>mere, overvåke og styre tjenesteproduksjon eller maskiner. Samtidig vil det bli mindre behov for manuell arbeidskraft som følge av at mange arbeidsoppgaver kan automatiseres og rob</w:t>
      </w:r>
      <w:r>
        <w:t>o</w:t>
      </w:r>
      <w:r>
        <w:t>tiseres. Digitaliseringen vil likevel på noe lengre sikt skape nye arbeidsplasser, men kompetans</w:t>
      </w:r>
      <w:r>
        <w:t>e</w:t>
      </w:r>
      <w:r>
        <w:t>kravene vil bli høyere.</w:t>
      </w:r>
    </w:p>
    <w:p w:rsidR="00557A6F" w:rsidRDefault="00557A6F" w:rsidP="00557A6F">
      <w:r>
        <w:lastRenderedPageBreak/>
        <w:t>Digital kompetanse og deltakelse i hele befolkningen gjennom livsløpet er en sentral forutsetning for å hente ut gevinstene av digitalisering i offentlig og privat sektor.</w:t>
      </w:r>
    </w:p>
    <w:p w:rsidR="00557A6F" w:rsidRDefault="00557A6F" w:rsidP="00557A6F">
      <w:r>
        <w:t>Ved økt digitalisering vil noen sikkerhetsutfordringer forsvinne og nye komme til. Det er viktig at sikkerhetsutfordringene håndteres slik at næringslivet, offentlig forvaltning og ikke minst innby</w:t>
      </w:r>
      <w:r>
        <w:t>g</w:t>
      </w:r>
      <w:r>
        <w:t>gerne har tillit til at digital teknologi og tjenester fungerer for deres beste. Et stadig skiftende tru</w:t>
      </w:r>
      <w:r>
        <w:t>s</w:t>
      </w:r>
      <w:r>
        <w:t>selbilde gjør det også nødvendig å følge nøye med på IT-sikkerheten i offentlig sektor. Inform</w:t>
      </w:r>
      <w:r>
        <w:t>a</w:t>
      </w:r>
      <w:r>
        <w:t>sjonssikkerhet skal være en del av ethvert digit</w:t>
      </w:r>
      <w:r>
        <w:t>a</w:t>
      </w:r>
      <w:r>
        <w:t>liseringsprosjekt i forvaltningen, fra starten og i hele systemets livssyklus, såkalt innebygd informasjonssi</w:t>
      </w:r>
      <w:r>
        <w:t>k</w:t>
      </w:r>
      <w:r>
        <w:t>kerhet.</w:t>
      </w:r>
    </w:p>
    <w:p w:rsidR="00557A6F" w:rsidRDefault="00557A6F" w:rsidP="00557A6F">
      <w:r>
        <w:t>Siden digitalisering er et globalt fenomen, må IT-politikk formes i et internasjonalt perspektiv. Norge bør være til stede i de fora hvor denne politikken formes, som for eksempel i OECD, EU, FN, G20-samarbeidet og det no</w:t>
      </w:r>
      <w:r>
        <w:t>r</w:t>
      </w:r>
      <w:r>
        <w:t>disk-baltiske samarbeidet (Digital North).</w:t>
      </w:r>
    </w:p>
    <w:p w:rsidR="00557A6F" w:rsidRDefault="00557A6F" w:rsidP="00557A6F">
      <w:pPr>
        <w:pStyle w:val="avsnitt-under-undertittel"/>
      </w:pPr>
      <w:r>
        <w:t>Elektronisk kommunikasjon og digitalisering</w:t>
      </w:r>
    </w:p>
    <w:p w:rsidR="00557A6F" w:rsidRDefault="00557A6F" w:rsidP="00557A6F">
      <w:r>
        <w:t>Norge har gode ekomnett og -tjenester sammenlignet med Europa og verden for øvrig. Et eksempel på dette finner vi i Ookla Speedtest Global IndexTM fra mai 2019, som basert på faktiske målinger rangerer Norge som nummer to på verdensbasis når det gjelder gjennomsnittlig mobil nedlas</w:t>
      </w:r>
      <w:r>
        <w:t>t</w:t>
      </w:r>
      <w:r>
        <w:t xml:space="preserve">ningshastighet (67,9 Mbit per sekund), bak Sør-Korea på førsteplass. </w:t>
      </w:r>
    </w:p>
    <w:p w:rsidR="00557A6F" w:rsidRDefault="00557A6F" w:rsidP="00557A6F">
      <w:r>
        <w:t>Gode ekomnett er en forutsetning for den digitaliserte samfunnsutviklingen. Markedet for elektr</w:t>
      </w:r>
      <w:r>
        <w:t>o</w:t>
      </w:r>
      <w:r>
        <w:t>nisk kommun</w:t>
      </w:r>
      <w:r>
        <w:t>i</w:t>
      </w:r>
      <w:r>
        <w:t>kasjon er preget av rask teknologisk utvikling og markedsmessige endringer. Noen aktuelle eksempler på dette er:</w:t>
      </w:r>
    </w:p>
    <w:p w:rsidR="00557A6F" w:rsidRDefault="00557A6F" w:rsidP="00557A6F">
      <w:pPr>
        <w:pStyle w:val="Liste"/>
      </w:pPr>
      <w:r>
        <w:t>Neste generasjons mobilnett (5G) skal fases inn, samtidig som tidligere generasjoner må vedlikeho</w:t>
      </w:r>
      <w:r>
        <w:t>l</w:t>
      </w:r>
      <w:r>
        <w:t xml:space="preserve">des (4G, 2G), og en av de tidligere generasjonene (3G) skal slukkes. </w:t>
      </w:r>
    </w:p>
    <w:p w:rsidR="00557A6F" w:rsidRDefault="00557A6F" w:rsidP="00557A6F">
      <w:pPr>
        <w:pStyle w:val="Liste"/>
      </w:pPr>
      <w:r>
        <w:t>Telenor har annonsert at de faser ut kobbernettet (det historiske fasttelefoninettet) og prio</w:t>
      </w:r>
      <w:r>
        <w:t>r</w:t>
      </w:r>
      <w:r>
        <w:t>iterer utby</w:t>
      </w:r>
      <w:r>
        <w:t>g</w:t>
      </w:r>
      <w:r>
        <w:t xml:space="preserve">ging av mobil- og fibernett. </w:t>
      </w:r>
    </w:p>
    <w:p w:rsidR="00557A6F" w:rsidRDefault="00557A6F" w:rsidP="00557A6F">
      <w:r>
        <w:t>Sikre og robuste elektroniske kommunikasjonstjenester av høy kvalitet er nødvendige og forventes i dagens samfunn. Dette er grunnleggende innsatsfaktorer i digitaliseringen som preger hele sa</w:t>
      </w:r>
      <w:r>
        <w:t>m</w:t>
      </w:r>
      <w:r>
        <w:t>funnsutviklingen. I deler av markedet er det fortsatt behov for å legge til rette for bærekraftig ko</w:t>
      </w:r>
      <w:r>
        <w:t>n</w:t>
      </w:r>
      <w:r>
        <w:t>kurranse for å fremme sikre, gode, rimelige og fremtidsrettede tjenester.</w:t>
      </w:r>
    </w:p>
    <w:p w:rsidR="00557A6F" w:rsidRDefault="00557A6F" w:rsidP="00557A6F">
      <w:r>
        <w:t>5G vil sammen med utviklingen innen stordata og kunstig intelligens bane vei for en teknologisk revolusjon med store samfunnsøkonomiske gevinster. Områder som det globalt knyttes store fo</w:t>
      </w:r>
      <w:r>
        <w:t>r</w:t>
      </w:r>
      <w:r>
        <w:t>ventninger til, er automatisering av industri, autonom transport og e-helsetjenester. Norge satser på tidlig innføring av 5G, og Nasjonal kommun</w:t>
      </w:r>
      <w:r>
        <w:t>i</w:t>
      </w:r>
      <w:r>
        <w:t>kasjonsmyndighet har påbegynt arbeidet med tildeling av frekvensressurser som er viktige for 5G. Norske tilb</w:t>
      </w:r>
      <w:r>
        <w:t>y</w:t>
      </w:r>
      <w:r>
        <w:t>dere har igangsatt flere 5G-piloter som blant annet skal øke kunnskapen og forberede kommersialisering av a</w:t>
      </w:r>
      <w:r>
        <w:t>u</w:t>
      </w:r>
      <w:r>
        <w:t>tonome skip/busser, smart havbruk, neste generasjons nød- og beredskapstjenester, høyhastighets bredbånd med mer.</w:t>
      </w:r>
    </w:p>
    <w:p w:rsidR="00557A6F" w:rsidRDefault="00557A6F" w:rsidP="00557A6F">
      <w:r>
        <w:t>En hovedutfordring er å legge forholdene til rette for videre nettutbygging og et godt tilbud av elektroniske kommunikasjonstjenester over hele landet. Ved utbygging av bredbånd utgjør bygge- og anleggskostnader opp mot 80 pst. av totalkostnaden. Regjeringen fastsatte høsten 2017 endrin</w:t>
      </w:r>
      <w:r>
        <w:t>g</w:t>
      </w:r>
      <w:r>
        <w:t>er i den såkalte ledningsforskriften som vil gjøre det vesentlig enklere og billigere å bygge ut bre</w:t>
      </w:r>
      <w:r>
        <w:t>d</w:t>
      </w:r>
      <w:r>
        <w:t>bånd. Endringene vil blant annet bidra til mer enhetlige krav til hvordan man legger eller flytter ledninger over, under og langs offentlig vei og legger til rette for bruk av moderne og rimeligere graveteknikker som «microtrenching».</w:t>
      </w:r>
    </w:p>
    <w:p w:rsidR="00557A6F" w:rsidRDefault="00557A6F" w:rsidP="00557A6F">
      <w:r>
        <w:t xml:space="preserve">En utfordring for nettutbygging er at områder med få brukere kan være kommersielt ulønnsomme å bygge ut. </w:t>
      </w:r>
    </w:p>
    <w:p w:rsidR="00557A6F" w:rsidRDefault="00557A6F" w:rsidP="00557A6F">
      <w:r>
        <w:t>Utviklingen i teknologi og tjenester innenfor elektronisk kommunikasjon skaper utfordringer for personvern, integritet og konfidensialitet. Disse må håndteres på en tilfredsstillende måte for br</w:t>
      </w:r>
      <w:r>
        <w:t>u</w:t>
      </w:r>
      <w:r>
        <w:t>kerne, blant annet i forbi</w:t>
      </w:r>
      <w:r>
        <w:t>n</w:t>
      </w:r>
      <w:r>
        <w:t>delse med forvaltningen av fritak fra tilbydernes taushetsplikt overfor politi og påtalemy</w:t>
      </w:r>
      <w:r>
        <w:t>n</w:t>
      </w:r>
      <w:r>
        <w:t xml:space="preserve">dighet. Særlig vil dette bli viktig for nye tjenester innenfor tingenes internett (Internet of Things – IoT). </w:t>
      </w:r>
    </w:p>
    <w:p w:rsidR="00557A6F" w:rsidRDefault="00557A6F" w:rsidP="00557A6F">
      <w:r>
        <w:t>I forbindelse med EUs nye regler for personvern er det fremdeles diskusjoner i EU om nye regler for sikring av kommunikasjonsvernet. En forordning er fortsatt ikke vedtatt. Departementet har over tid arbe</w:t>
      </w:r>
      <w:r>
        <w:t>i</w:t>
      </w:r>
      <w:r>
        <w:t>det for å fremme norske posisjoner.</w:t>
      </w:r>
    </w:p>
    <w:p w:rsidR="00557A6F" w:rsidRDefault="00557A6F" w:rsidP="00557A6F">
      <w:r>
        <w:lastRenderedPageBreak/>
        <w:t>Endringer i teknologi, bruksmønstre og internasjonalisering av tjenesteproduksjon har skapt et b</w:t>
      </w:r>
      <w:r>
        <w:t>e</w:t>
      </w:r>
      <w:r>
        <w:t>hov for økt sikkerhet og beredskap knyttet til nett og tjenester, både nasjonalt og for tilknytning internasj</w:t>
      </w:r>
      <w:r>
        <w:t>o</w:t>
      </w:r>
      <w:r>
        <w:t>nalt. Samfunnet blir stadig mer avhengig av elektronisk kommunikasjon. Bortfall eller kompromittering av ekomtjenester som følge av blant annet ekstremvær, sabotasje og teknisk eller menneskelig svikt, kan derfor få store konsekvenser for samfunnet. Ordningen med tilskudd til telesikkerhet og -beredskap videreføres og utvikles i takt med en</w:t>
      </w:r>
      <w:r>
        <w:t>d</w:t>
      </w:r>
      <w:r>
        <w:t xml:space="preserve">ringene i teknologi og bruk. </w:t>
      </w:r>
    </w:p>
    <w:p w:rsidR="00557A6F" w:rsidRDefault="00557A6F" w:rsidP="00557A6F">
      <w:r>
        <w:t>Norge ligger langt fremme innenfor digitalisering, noe som gjør at vi som samfunn tidlig møter sårbarhetsutfor</w:t>
      </w:r>
      <w:r>
        <w:t>d</w:t>
      </w:r>
      <w:r>
        <w:t>ringene. Trusselsituasjonen er skjerpet, og elektronisk kommunikasjon er en kritisk innsatsfaktor for alle sa</w:t>
      </w:r>
      <w:r>
        <w:t>m</w:t>
      </w:r>
      <w:r>
        <w:t>funnsfunksjoner. Nasjonal kommunikasjonsmyndighet vil styrke både egen og sektorens IT-sikkerhet og bere</w:t>
      </w:r>
      <w:r>
        <w:t>d</w:t>
      </w:r>
      <w:r>
        <w:t>skapsevne, og bidra aktivt i arbeidet med neste generasjons nødnett. Utviklingen av Nasjonal kommunikasjonsmyndighets EkomCERT er viktig for koordin</w:t>
      </w:r>
      <w:r>
        <w:t>e</w:t>
      </w:r>
      <w:r>
        <w:t>ring av informasjonsflyt mellom myndigheter, sikkerhetsaktører og ekomtilbyderne innenfor C</w:t>
      </w:r>
      <w:r>
        <w:t>y</w:t>
      </w:r>
      <w:r>
        <w:t xml:space="preserve">berdomenet. </w:t>
      </w:r>
    </w:p>
    <w:p w:rsidR="00557A6F" w:rsidRDefault="00557A6F" w:rsidP="00557A6F">
      <w:r>
        <w:t>I arbeidet med frekvensforvaltningen skal Nasjonal kommunikasjonsmyndighet blant annet forvalte frekvensre</w:t>
      </w:r>
      <w:r>
        <w:t>s</w:t>
      </w:r>
      <w:r>
        <w:t>sursene slik at de gir mest mulig samfunnsnytte. Dette oppnås blant annet ved at disse ressursene utnyttes effe</w:t>
      </w:r>
      <w:r>
        <w:t>k</w:t>
      </w:r>
      <w:r>
        <w:t>tivt og at det legges til rette for bærekraftig konkurranse. Frekvenser er avgjørende for produksjon av mobiltj</w:t>
      </w:r>
      <w:r>
        <w:t>e</w:t>
      </w:r>
      <w:r>
        <w:t>nester og utgjør en verdifull og begrenset naturressurs. Dette stiller høye krav til forvaltningen av ressursene. Når det er konkurranse om verdifulle frekvensre</w:t>
      </w:r>
      <w:r>
        <w:t>s</w:t>
      </w:r>
      <w:r>
        <w:t>surser f.eks. til mobile bredbåndstjenester, vil blant annet regjeringens mål om minst tre konkurr</w:t>
      </w:r>
      <w:r>
        <w:t>e</w:t>
      </w:r>
      <w:r>
        <w:t>rende mobilnett være førende for reguleringen. Tilgang til og fordeling av ressursene kan styrke konkurransen i mobilmarkedet, som i neste steg vil bidra til konkurransedyktige og innovative tj</w:t>
      </w:r>
      <w:r>
        <w:t>e</w:t>
      </w:r>
      <w:r>
        <w:t>nester for sluttbrukerne.</w:t>
      </w:r>
    </w:p>
    <w:p w:rsidR="00557A6F" w:rsidRDefault="00557A6F" w:rsidP="00557A6F">
      <w:r>
        <w:t>Ved å legge vekt på en teknologinøytral og fleksibel forvaltning legger Nasjonal kommunik</w:t>
      </w:r>
      <w:r>
        <w:t>a</w:t>
      </w:r>
      <w:r>
        <w:t>sjonsmyndighet til rette for å utvikle nye, fremtidsrettede tjenester til nytte for befolkningen i hele landet. Dette er særlig viktig for planlegging og tilrettelegging av nye frekvensressurser til mobil bredbåndskommun</w:t>
      </w:r>
      <w:r>
        <w:t>i</w:t>
      </w:r>
      <w:r>
        <w:t>kasjon og innføring av neste generasjons mobilnett (5G). Introduksjonen av 5G vil blant annet være viktig for å nå målet om bredbånd til hele befolkningen, for å ta i bruk ny te</w:t>
      </w:r>
      <w:r>
        <w:t>k</w:t>
      </w:r>
      <w:r>
        <w:t>nologi, for offentlig tjenesteprodu</w:t>
      </w:r>
      <w:r>
        <w:t>k</w:t>
      </w:r>
      <w:r>
        <w:t xml:space="preserve">sjon på tvers av sektorer, for eksempel helseteknologi, og for introduksjon av autonome kjøretøyer mv. </w:t>
      </w:r>
    </w:p>
    <w:p w:rsidR="00557A6F" w:rsidRDefault="00557A6F" w:rsidP="00557A6F">
      <w:r>
        <w:t>Videre fører Nasjonal kommunikasjonsmyndighet tilsyn med frekvensbruk og arbeider med å a</w:t>
      </w:r>
      <w:r>
        <w:t>v</w:t>
      </w:r>
      <w:r>
        <w:t>dekke støy- og interferenskilder som skaper problemer for elektronisk kommunikasjon. Forstyrre</w:t>
      </w:r>
      <w:r>
        <w:t>l</w:t>
      </w:r>
      <w:r>
        <w:t>ser av elektronisk kommunik</w:t>
      </w:r>
      <w:r>
        <w:t>a</w:t>
      </w:r>
      <w:r>
        <w:t>sjon vil i mange tilfeller være kritisk, og det er derfor viktig å være forberedt gjennom kompetansebygging og innkjøp av avansert utstyr.</w:t>
      </w:r>
    </w:p>
    <w:p w:rsidR="00557A6F" w:rsidRDefault="00557A6F" w:rsidP="00557A6F">
      <w:pPr>
        <w:pStyle w:val="Undertittel"/>
      </w:pPr>
      <w:r>
        <w:t>Mål og rapportering, strategier og tiltak</w:t>
      </w:r>
    </w:p>
    <w:p w:rsidR="007F3140" w:rsidRPr="007F3140" w:rsidRDefault="007F3140" w:rsidP="007F3140">
      <w:pPr>
        <w:pStyle w:val="tabell-tittel"/>
      </w:pPr>
      <w:r>
        <w:t>Mål for programkategori 13.40 Forvaltningsutvikling, IT- og ekompolitikk</w:t>
      </w:r>
    </w:p>
    <w:p w:rsidR="00557A6F" w:rsidRDefault="00557A6F" w:rsidP="00557A6F">
      <w:pPr>
        <w:pStyle w:val="Tabellnavn"/>
      </w:pPr>
      <w:r>
        <w:t>02J0xx2</w:t>
      </w:r>
    </w:p>
    <w:tbl>
      <w:tblPr>
        <w:tblStyle w:val="StandardTabell"/>
        <w:tblW w:w="0" w:type="auto"/>
        <w:tblLayout w:type="fixed"/>
        <w:tblLook w:val="04A0" w:firstRow="1" w:lastRow="0" w:firstColumn="1" w:lastColumn="0" w:noHBand="0" w:noVBand="1"/>
      </w:tblPr>
      <w:tblGrid>
        <w:gridCol w:w="9200"/>
      </w:tblGrid>
      <w:tr w:rsidR="00557A6F" w:rsidTr="00557A6F">
        <w:trPr>
          <w:trHeight w:val="380"/>
        </w:trPr>
        <w:tc>
          <w:tcPr>
            <w:tcW w:w="9200" w:type="dxa"/>
          </w:tcPr>
          <w:p w:rsidR="00557A6F" w:rsidRDefault="00557A6F" w:rsidP="00557A6F">
            <w:r>
              <w:t>1.</w:t>
            </w:r>
            <w:r>
              <w:tab/>
              <w:t>Forvaltningen i Norge er effektiv, åpen, samordnet og har høy tillit i befolkningen</w:t>
            </w:r>
          </w:p>
        </w:tc>
      </w:tr>
      <w:tr w:rsidR="00557A6F" w:rsidTr="00557A6F">
        <w:trPr>
          <w:trHeight w:val="640"/>
        </w:trPr>
        <w:tc>
          <w:tcPr>
            <w:tcW w:w="9200" w:type="dxa"/>
          </w:tcPr>
          <w:p w:rsidR="00557A6F" w:rsidRDefault="00557A6F" w:rsidP="007F3140">
            <w:r>
              <w:t>2.</w:t>
            </w:r>
            <w:r>
              <w:tab/>
              <w:t>Digitaliseringen i samfunnet gir gode vilkår for deltakelse, verdiskaping og innovasjon i o</w:t>
            </w:r>
            <w:r>
              <w:t>f</w:t>
            </w:r>
            <w:r>
              <w:t>fentlig og privat sektor</w:t>
            </w:r>
          </w:p>
        </w:tc>
      </w:tr>
      <w:tr w:rsidR="00557A6F" w:rsidTr="00557A6F">
        <w:trPr>
          <w:trHeight w:val="640"/>
        </w:trPr>
        <w:tc>
          <w:tcPr>
            <w:tcW w:w="9200" w:type="dxa"/>
          </w:tcPr>
          <w:p w:rsidR="00557A6F" w:rsidRDefault="00557A6F" w:rsidP="00557A6F">
            <w:r>
              <w:t>3.</w:t>
            </w:r>
            <w:r>
              <w:tab/>
              <w:t>Et likeverdig tilbud av sikre elektroniske kommunikasjonstjenester av høy kvalitet og til r</w:t>
            </w:r>
            <w:r>
              <w:t>i</w:t>
            </w:r>
            <w:r>
              <w:t>melige priser over hele landet</w:t>
            </w:r>
          </w:p>
        </w:tc>
      </w:tr>
    </w:tbl>
    <w:p w:rsidR="00557A6F" w:rsidRDefault="00557A6F" w:rsidP="00557A6F">
      <w:pPr>
        <w:pStyle w:val="avsnitt-tittel"/>
      </w:pPr>
      <w:r>
        <w:t>Mål 1 Forvaltningen i Norge er effektiv, åpen, samordnet og har høy tillit i b</w:t>
      </w:r>
      <w:r>
        <w:t>e</w:t>
      </w:r>
      <w:r>
        <w:t>folkningen</w:t>
      </w:r>
    </w:p>
    <w:p w:rsidR="00557A6F" w:rsidRDefault="00557A6F" w:rsidP="00557A6F">
      <w:r>
        <w:t>Forvaltningen skal tilby gode og effektive offentlige tjenester, være åpen og ha høy tillit i befol</w:t>
      </w:r>
      <w:r>
        <w:t>k</w:t>
      </w:r>
      <w:r>
        <w:t>ningen. Enklere regler, mindre byråkrati og brukervennlige digitale tjenester vil skape større frihet i hverdagen og et bedre møte mellom offentlig sektor og innbyggerne. Videreutviklingen av offen</w:t>
      </w:r>
      <w:r>
        <w:t>t</w:t>
      </w:r>
      <w:r>
        <w:t>lig forvaltning skal forankres i sentrale forvaltningsverdier. Utviklingen av forvaltningen skal sikre gode tjenester, bedre samordning og god bruk av samfunnets ressurser. Dette er også omtalt i del I under pkt. 2.3 En enklere hverdag.</w:t>
      </w:r>
    </w:p>
    <w:p w:rsidR="00557A6F" w:rsidRDefault="00557A6F" w:rsidP="00557A6F">
      <w:pPr>
        <w:pStyle w:val="avsnitt-undertittel"/>
      </w:pPr>
      <w:r>
        <w:lastRenderedPageBreak/>
        <w:t>Rapport, strategier og tiltak</w:t>
      </w:r>
    </w:p>
    <w:p w:rsidR="00557A6F" w:rsidRDefault="00557A6F" w:rsidP="00557A6F">
      <w:pPr>
        <w:pStyle w:val="avsnitt-under-undertittel"/>
      </w:pPr>
      <w:r>
        <w:t>Forvaltningsutvikling og innovasjon</w:t>
      </w:r>
    </w:p>
    <w:p w:rsidR="00557A6F" w:rsidRDefault="00557A6F" w:rsidP="00557A6F">
      <w:r>
        <w:t>Regjeringen tar sikte på å legge fram en stortingsmelding om innovasjon i offentlig sektor i 2020. Me</w:t>
      </w:r>
      <w:r>
        <w:t>l</w:t>
      </w:r>
      <w:r>
        <w:t>dingen skal presentere en nasjonal politikk som staker ut en tydelig retning for arbeidet som står seg over tid, etablerer gode rammevilkår og legger til rette for en kultur for økt innovasjon. Den skal også gi konkrete verktøy for ledere og ansatte som stimulerer til nytenkning og innov</w:t>
      </w:r>
      <w:r>
        <w:t>a</w:t>
      </w:r>
      <w:r>
        <w:t>sjon.</w:t>
      </w:r>
    </w:p>
    <w:p w:rsidR="00557A6F" w:rsidRDefault="00557A6F" w:rsidP="00557A6F">
      <w:r>
        <w:t>Gjennom en åpen og inkluderende prosess skal meldingsarbeidet bidra til økt forståelse i hele o</w:t>
      </w:r>
      <w:r>
        <w:t>f</w:t>
      </w:r>
      <w:r>
        <w:t>fentlig sektor for hva innovasjon innebærer og hvordan innovasjon utfordrer tradisjonelle måter å arbeide på i forvaltningen. På denne måten nyttiggjøres de ressursene og den kompetansen som allerede finnes.</w:t>
      </w:r>
    </w:p>
    <w:p w:rsidR="00557A6F" w:rsidRDefault="00557A6F" w:rsidP="00557A6F">
      <w:r>
        <w:t>Som et grunnlag for arbeidet med stortingsmeldingen er det behov for mer kunnskap. KS lanserte i februar 2018 et innovasjonsbarometer, en større undersøkelse om innovasjon i kommunesektoren. Difi lanserte et tilsvarende innovasjonsbarometer for statlig sektor i november 2018 samt en ra</w:t>
      </w:r>
      <w:r>
        <w:t>p</w:t>
      </w:r>
      <w:r>
        <w:t>port om departementenes styring og tilrett</w:t>
      </w:r>
      <w:r>
        <w:t>e</w:t>
      </w:r>
      <w:r>
        <w:t>legging for innovasjon i underliggende virksomheter. Dette gir oss et bilde av innovasjon i både stat og komm</w:t>
      </w:r>
      <w:r>
        <w:t>u</w:t>
      </w:r>
      <w:r>
        <w:t>ne.</w:t>
      </w:r>
    </w:p>
    <w:p w:rsidR="00557A6F" w:rsidRDefault="00557A6F" w:rsidP="00557A6F">
      <w:r>
        <w:t>Meldingsarbeidet skal skje parallelt med utvikling av virkemidler og konkret innovasjonsarbeid. Økt kunnskap og erfaring reduserer risiko ved innovasjon. Det vises til nærmere omtale av stimul</w:t>
      </w:r>
      <w:r>
        <w:t>e</w:t>
      </w:r>
      <w:r>
        <w:t>ringsordningen for innovasjon og tjenestedesign i offentlig sektor, StimuLab, under kap. 540, post 26.</w:t>
      </w:r>
    </w:p>
    <w:p w:rsidR="00557A6F" w:rsidRDefault="00557A6F" w:rsidP="00557A6F">
      <w:r>
        <w:t>Innbyggernes tillit til offentlig sektor må bygges over tid. Det er derfor en god investering å satse ko</w:t>
      </w:r>
      <w:r>
        <w:t>n</w:t>
      </w:r>
      <w:r>
        <w:t>tinuerlig på tillitsskapende arbeid og tiltak, for eksempel på opplærings- og kompetansetiltak, herunder kunnskap om god rolleforståelse og om forvaltningens verdigrunnlag. Å utarbeide faglig gode beslutningsgrunnlag er en kjern</w:t>
      </w:r>
      <w:r>
        <w:t>e</w:t>
      </w:r>
      <w:r>
        <w:t>oppgave for forvaltningen og bidrar til å opprettholde tilliten til både politikere og byråkratiet. For å understøtte dette har departementet i februar 2019 utgitt en ny veileder om utvalgsarbeid i staten. Veilederen er beregnet både på ledere, medlemmer og se</w:t>
      </w:r>
      <w:r>
        <w:t>k</w:t>
      </w:r>
      <w:r>
        <w:t>retærer i faglig uavhengige utvalg. Den gir råd om hvordan arbeidet i utvalg kan skje så målrettet og effektivt som mulig og med god faglig kvalitet. Et annet eksempel på tiltak som skal oppret</w:t>
      </w:r>
      <w:r>
        <w:t>t</w:t>
      </w:r>
      <w:r>
        <w:t>holde og aller helst øke tilliten til forvaltningen, er retningslinjer om forholdet mellom politisk l</w:t>
      </w:r>
      <w:r>
        <w:t>e</w:t>
      </w:r>
      <w:r>
        <w:t>delse og embetsverk med tilhørende dilemmasamling. Begge dokumentene ble publisert av depa</w:t>
      </w:r>
      <w:r>
        <w:t>r</w:t>
      </w:r>
      <w:r>
        <w:t>tementet i januar 2019. Retningslinjene inneholder syv plikter for embetsverket: lovlighet, sannhet, lojalitet, faglighet og faglig ua</w:t>
      </w:r>
      <w:r>
        <w:t>v</w:t>
      </w:r>
      <w:r>
        <w:t>hengighet, partipolitisk nøytralitet og objektivitet, åpenhet, god styring og ledelse.</w:t>
      </w:r>
    </w:p>
    <w:p w:rsidR="00557A6F" w:rsidRDefault="00557A6F" w:rsidP="00557A6F">
      <w:r>
        <w:t>I tillegg til tiltak på det individuelle plan må forvaltningen investere i strukturelle eller organisat</w:t>
      </w:r>
      <w:r>
        <w:t>o</w:t>
      </w:r>
      <w:r>
        <w:t>riske tiltak, blant annet ved å legge til rette for at det sivile samfunn og innbyggerne kan kontrollere at de offentlige ressurs</w:t>
      </w:r>
      <w:r>
        <w:t>e</w:t>
      </w:r>
      <w:r>
        <w:t>ne brukes effektivt og at rettssikkerheten ivaretas. Dette fordrer også at det sivile samfunn kan delta i politikku</w:t>
      </w:r>
      <w:r>
        <w:t>t</w:t>
      </w:r>
      <w:r>
        <w:t>formingen på et tidlig tidspunkt og at forvaltningen er åpen om hvem som er med på å påvirke offentlige beslu</w:t>
      </w:r>
      <w:r>
        <w:t>t</w:t>
      </w:r>
      <w:r>
        <w:t>ningsprosesser.</w:t>
      </w:r>
    </w:p>
    <w:p w:rsidR="00557A6F" w:rsidRDefault="00557A6F" w:rsidP="00557A6F">
      <w:r>
        <w:t>For å sikre forskning og kompetansebygging på EU og hvordan norsk forvaltning er integrert i den fremvoksende flernivåforvaltningen i Europa, foreslås det bevilget 1 mill. kroner til ARENA senter for europaforsking på kap. 500, post 50.</w:t>
      </w:r>
    </w:p>
    <w:p w:rsidR="00557A6F" w:rsidRDefault="00557A6F" w:rsidP="00557A6F">
      <w:r>
        <w:t>Norge deltar i et internasjonalt samarbeid for nasjonalt moderniseringsarbeid, Open Government Partnership (OGP). Gjennom samarbeidet skal landene gjøre offentlig sektor mer åpen, ansvarlig og lydhør overfor innby</w:t>
      </w:r>
      <w:r>
        <w:t>g</w:t>
      </w:r>
      <w:r>
        <w:t>gerne. Norges fjerde toårige handlingsplan i OGP ble fastsatt i 2019. Det vises til næ</w:t>
      </w:r>
      <w:r>
        <w:t>r</w:t>
      </w:r>
      <w:r>
        <w:t>mere omtale av OGP under kap. 541, post 70.</w:t>
      </w:r>
    </w:p>
    <w:p w:rsidR="00557A6F" w:rsidRDefault="00557A6F" w:rsidP="00557A6F">
      <w:r>
        <w:t>For å gjøre det enklere å få innsyn i offentlige dokumenter, og dermed bidra til større åpenhet i forvaltningen, har Difi utviklet den nye innsynsløsningen eInnsyn. eInnsyn erstattet Offentlig ele</w:t>
      </w:r>
      <w:r>
        <w:t>k</w:t>
      </w:r>
      <w:r>
        <w:t>tronisk postjournal (OEP) og brukes til å publisere offentlige virksomheters postjournaler på inte</w:t>
      </w:r>
      <w:r>
        <w:t>r</w:t>
      </w:r>
      <w:r>
        <w:t>nett. Postjournalene blir deretter samlet i en felles database som blir gjort søkbar for brukerne. Løsningen ble lansert 5. februar 2018. 121 statlige virksomh</w:t>
      </w:r>
      <w:r>
        <w:t>e</w:t>
      </w:r>
      <w:r>
        <w:t>ter samt Oslo kommune bruker nå eInnsyn. Per 1. mai 2019 inneholder eInnsyn 30,3 millioner journalposter fra statlig sektor, 4,8 millioner av disse ble registret i 2018. Det ble i 2018 rettet 254 471 innsynsforespørsler gje</w:t>
      </w:r>
      <w:r>
        <w:t>n</w:t>
      </w:r>
      <w:r>
        <w:t>nom eInnsyn.</w:t>
      </w:r>
    </w:p>
    <w:p w:rsidR="00557A6F" w:rsidRDefault="00557A6F" w:rsidP="00557A6F">
      <w:r>
        <w:t>Klart språk er et virkemiddel for brukerretting og tillit, innovasjon og effektivisering. Et klart og br</w:t>
      </w:r>
      <w:r>
        <w:t>u</w:t>
      </w:r>
      <w:r>
        <w:t xml:space="preserve">kertilpasset språk er en viktig forutsetning for at digitale tjenester blir tatt i bruk. I de siste ti årene er det utviklet forskjellige verktøy og tiltak for å gjøre språket i den norske forvaltningen mer forståelig. Mange </w:t>
      </w:r>
      <w:r>
        <w:lastRenderedPageBreak/>
        <w:t>virksomheter lykkes, både i staten og i kommunene. Dette viser blant annet vi</w:t>
      </w:r>
      <w:r>
        <w:t>n</w:t>
      </w:r>
      <w:r>
        <w:t>nerne av klarspråkprisene. Samtidig har mange innbyggere fortsatt problemer med å forstå tekster fra offentlig forvaltning. Regj</w:t>
      </w:r>
      <w:r>
        <w:t>e</w:t>
      </w:r>
      <w:r>
        <w:t>ringen satser derfor på forskjellige tiltak for å gjøre offentlig sektors kommunikasjon med innbyggerne klarere. KS får støtte til sin satsing på klart språk i kommunal sektor, jf. omtale under programkategori 13.70. Universitetet i Oslo får støtte til å integrere klart språk i jusutdanningen, jf. omtale under kap. 500, post 50. Departementet arbeider også med tiltak for et klart og digitaliseringsvennlig regelverk. Norge var vertskap for den internasjonale kla</w:t>
      </w:r>
      <w:r>
        <w:t>r</w:t>
      </w:r>
      <w:r>
        <w:t>språkkonferansen PLAIN i slutten av september 2019 hvor deltakere fra 32 land diskuterte erf</w:t>
      </w:r>
      <w:r>
        <w:t>a</w:t>
      </w:r>
      <w:r>
        <w:t>ringer og utfordringer.</w:t>
      </w:r>
    </w:p>
    <w:p w:rsidR="00557A6F" w:rsidRDefault="00557A6F" w:rsidP="00557A6F">
      <w:r>
        <w:t>Det vil fortsatt være viktig å gi statlige virksomheter et bedre tilbud om støtte og rådgivning, særlig knyttet til omstilling. Denne oppgaven overføres nå til Direktoratet for forvaltning og økonomist</w:t>
      </w:r>
      <w:r>
        <w:t>y</w:t>
      </w:r>
      <w:r>
        <w:t>ring (DFØ). Kompetansemiljøet som er etablert i samarbeid mellom Kommunal- og modernis</w:t>
      </w:r>
      <w:r>
        <w:t>e</w:t>
      </w:r>
      <w:r>
        <w:t>ringsdepartementet og Difi skal overføres til DFØ og videreutvikles i et samspill mellom Komm</w:t>
      </w:r>
      <w:r>
        <w:t>u</w:t>
      </w:r>
      <w:r>
        <w:t>nal- og moderniseringsdepartementet, Finansdeparteme</w:t>
      </w:r>
      <w:r>
        <w:t>n</w:t>
      </w:r>
      <w:r>
        <w:t>tet, DFØ og Arbeidsgiverrådet. Det vises til nærmere omtale under programkategori 13.00 og Prop. 1 S (2019–2020) for Finansdeparteme</w:t>
      </w:r>
      <w:r>
        <w:t>n</w:t>
      </w:r>
      <w:r>
        <w:t>tet.</w:t>
      </w:r>
    </w:p>
    <w:p w:rsidR="00557A6F" w:rsidRDefault="00557A6F" w:rsidP="00557A6F">
      <w:pPr>
        <w:pStyle w:val="avsnitt-under-undertittel"/>
      </w:pPr>
      <w:r>
        <w:t>Digitalisering gir bedre og mer effektive offentlige tjenester</w:t>
      </w:r>
    </w:p>
    <w:p w:rsidR="00557A6F" w:rsidRDefault="00557A6F" w:rsidP="00557A6F">
      <w:r>
        <w:t xml:space="preserve">Departementet har i 2019 utarbeidet </w:t>
      </w:r>
      <w:r>
        <w:rPr>
          <w:rStyle w:val="kursiv"/>
          <w:sz w:val="21"/>
          <w:szCs w:val="21"/>
        </w:rPr>
        <w:t>Digitaliseringsstrategi for offentlig sektor 2019–2025</w:t>
      </w:r>
      <w:r>
        <w:t>, jf. nærmere o</w:t>
      </w:r>
      <w:r>
        <w:t>m</w:t>
      </w:r>
      <w:r>
        <w:t>tale under hovedmål 2 nedenfor. En enklere hverdag for innbyggere og næringsdrivende og mer effektiv ressursbruk, både i staten og i kommunesektoren, er viktige overordnende mål for strat</w:t>
      </w:r>
      <w:r>
        <w:t>e</w:t>
      </w:r>
      <w:r>
        <w:t>gien. Ambisj</w:t>
      </w:r>
      <w:r>
        <w:t>o</w:t>
      </w:r>
      <w:r>
        <w:t>nene om én digital offentlig sektor krever endring i arbeidsmåter og strukturer. Det er også behov for å samarbeide på nye måter på tvers av forvaltningsnivåer og sektorer. Strategien er felles for staten og kommunesektoren.</w:t>
      </w:r>
    </w:p>
    <w:p w:rsidR="00557A6F" w:rsidRDefault="00557A6F" w:rsidP="00557A6F">
      <w:r>
        <w:t>Digitalt førstevalg er et grunnleggende prinsipp for kommunikasjon mellom offentlig sektor og brukerne. Dette innebærer at forvaltningen så langt som mulig er tilgjengelig på nett med tjenester som si</w:t>
      </w:r>
      <w:r>
        <w:t>k</w:t>
      </w:r>
      <w:r>
        <w:t>rer likeverdig digital deltakelse, og at nettbaserte tjenester er hovedregel for forvaltningens kommunikasjon med brukerne. Digitalis</w:t>
      </w:r>
      <w:r>
        <w:t>e</w:t>
      </w:r>
      <w:r>
        <w:t>ringsdirektoratet utvikler en tjeneste hvor innbyggerne kan få innsyn i hvordan forvaltningen har brukt data fra registeret om den enkelte. Tjenesten vil bli tilgjengelig for in</w:t>
      </w:r>
      <w:r>
        <w:t>n</w:t>
      </w:r>
      <w:r>
        <w:t>byggerne via norge.no mot slutten av 2019.</w:t>
      </w:r>
    </w:p>
    <w:p w:rsidR="00557A6F" w:rsidRDefault="00557A6F" w:rsidP="00557A6F">
      <w:r>
        <w:t>Innbyggerne har anledning til å reservere seg mot digital kommunikasjon i Kontakt- og reserv</w:t>
      </w:r>
      <w:r>
        <w:t>a</w:t>
      </w:r>
      <w:r>
        <w:t>sjonsregisteret. Dette registret skal brukes av forvaltningen til å gjøre oppslag for å sjekke innby</w:t>
      </w:r>
      <w:r>
        <w:t>g</w:t>
      </w:r>
      <w:r>
        <w:t>geres reservasjonsstatus og for å få tilgang til innbyggers registrerte e-postadresse og mobilnu</w:t>
      </w:r>
      <w:r>
        <w:t>m</w:t>
      </w:r>
      <w:r>
        <w:t xml:space="preserve">mer. </w:t>
      </w:r>
    </w:p>
    <w:p w:rsidR="00557A6F" w:rsidRDefault="00557A6F" w:rsidP="00557A6F">
      <w:r>
        <w:t>Digitaliseringsrundskrivet stiller krav til statlige virksomheter om at digitaliseringstiltak som ber</w:t>
      </w:r>
      <w:r>
        <w:t>ø</w:t>
      </w:r>
      <w:r>
        <w:t>rer kommunal sektor, skal drøftes med KS på et tidlig tidspunkt. Digitaliseringsstrategien inneho</w:t>
      </w:r>
      <w:r>
        <w:t>l</w:t>
      </w:r>
      <w:r>
        <w:t>der tiltak som vil styrke ko</w:t>
      </w:r>
      <w:r>
        <w:t>m</w:t>
      </w:r>
      <w:r>
        <w:t>munal påvirkning i statlige digitaliseringstiltak som berører kommuner og/eller fy</w:t>
      </w:r>
      <w:r>
        <w:t>l</w:t>
      </w:r>
      <w:r>
        <w:t>keskommuner.</w:t>
      </w:r>
    </w:p>
    <w:p w:rsidR="00557A6F" w:rsidRDefault="00557A6F" w:rsidP="00557A6F">
      <w:r>
        <w:t>Departementet har satt av totalt 125 mill. kroner til DigiFin-ordningen. DigiFin er en KS-administrert ordning for finansiering av kommunale digitaliseringsprosjekter av nasjonal b</w:t>
      </w:r>
      <w:r>
        <w:t>e</w:t>
      </w:r>
      <w:r>
        <w:t>tydning, og tilbys hele kommunesektoren. Kommuner og fylkeskommuner som deltar i ordningen, betaler en grunnavgift til DigiFin-ordningen. KS bidrar med et engangsbeløp på inntil 40 mill. kroner for å nå målet om en grunnkapital på 250 mill. kroner. Over 340 kommuner og ti fylke</w:t>
      </w:r>
      <w:r>
        <w:t>s</w:t>
      </w:r>
      <w:r>
        <w:t>kommuner er med i ordningen. Det vises til nærmere omtale av DigiFin-ordningen under pr</w:t>
      </w:r>
      <w:r>
        <w:t>o</w:t>
      </w:r>
      <w:r>
        <w:t>gramkategori 13.70.</w:t>
      </w:r>
    </w:p>
    <w:p w:rsidR="00557A6F" w:rsidRDefault="00557A6F" w:rsidP="00557A6F">
      <w:r>
        <w:t>Digitaliseringsstrategien legger opp til at staten skal ta ansvar for mer samordnet digitalisering og IT-utvikling på tvers av statlig og kommunal sektor. Digisos er et eksempel på et slikt samordnet digital</w:t>
      </w:r>
      <w:r>
        <w:t>i</w:t>
      </w:r>
      <w:r>
        <w:t>seringstiltak. Digisos tilbyr digitale tjenester for sosialhjelpmottakere. Kommuner, NAV, KS og leveran</w:t>
      </w:r>
      <w:r>
        <w:t>d</w:t>
      </w:r>
      <w:r>
        <w:t>ører av sosialsystemer til kommunene er involvert.</w:t>
      </w:r>
    </w:p>
    <w:p w:rsidR="00557A6F" w:rsidRDefault="00557A6F" w:rsidP="00557A6F">
      <w:r>
        <w:t>Mange offentlige digitaliseringsprosjekter er krevende og komplekse. Digitaliseringsrådet bidrar til at statlige virksomheter skal lykkes med digitaliseringsprosjekter. Rådet bidrar også til at statlige etater lærer av hverandres suksesser og feil. Det er frivillig å bruke rådet. Digitaliseringsrådet har per august 2019 behandlet 56 saker fra 46 virksomheter. I sin erfaringsrapport for 2018 komme</w:t>
      </w:r>
      <w:r>
        <w:t>n</w:t>
      </w:r>
      <w:r>
        <w:t>terer rådet at flere virksomheter er blitt mer modne i sitt utviklingsarbeid, men variasjonen mellom virksomhetene er fremdeles stor. De viktigste utfordringene er å få til samarbeid på tvers, å realis</w:t>
      </w:r>
      <w:r>
        <w:t>e</w:t>
      </w:r>
      <w:r>
        <w:t xml:space="preserve">re gevinster og å skape fornyelse. I tråd med planene ved etablering av rådet har Kommunal- og moderniseringsdepartementet satt i </w:t>
      </w:r>
      <w:r>
        <w:lastRenderedPageBreak/>
        <w:t>gang en evaluering. Evalueringen skal gi anbefalinger om eventuelle endringer i rådets mandat og sa</w:t>
      </w:r>
      <w:r>
        <w:t>m</w:t>
      </w:r>
      <w:r>
        <w:t xml:space="preserve">mensetning før et nytt Digitaliseringsråd oppnevnes høsten 2019. </w:t>
      </w:r>
    </w:p>
    <w:p w:rsidR="00557A6F" w:rsidRDefault="00557A6F" w:rsidP="00557A6F">
      <w:r>
        <w:t>Medfinansieringsordningen for digitaliseringsprosjekter er et tiltak for å bidra til gjennomføring av flere digital</w:t>
      </w:r>
      <w:r>
        <w:t>i</w:t>
      </w:r>
      <w:r>
        <w:t>seringsprosjekter i offentlig sektor. Rammen for ordningen foreslås økt med 60 mill. kroner. Innretningen av ordningen endres noe, blant annet slik at den også kan bidra med finansi</w:t>
      </w:r>
      <w:r>
        <w:t>e</w:t>
      </w:r>
      <w:r>
        <w:t>ring av sa</w:t>
      </w:r>
      <w:r>
        <w:t>m</w:t>
      </w:r>
      <w:r>
        <w:t>menhengende tjenester, i tråd med føringene i regjeringens strategi for digitalisering i offentlig sektor. Ordningen forvaltes av Digitalis</w:t>
      </w:r>
      <w:r>
        <w:t>e</w:t>
      </w:r>
      <w:r>
        <w:t>ringsdirektoratet. Det vises til nærmere omtale under kap. 540, post 25.</w:t>
      </w:r>
    </w:p>
    <w:p w:rsidR="00557A6F" w:rsidRDefault="00557A6F" w:rsidP="00557A6F">
      <w:pPr>
        <w:pStyle w:val="avsnitt-under-undertittel"/>
      </w:pPr>
      <w:r>
        <w:t>Felles IT-løsninger i offentlig sektor</w:t>
      </w:r>
    </w:p>
    <w:p w:rsidR="00557A6F" w:rsidRDefault="00557A6F" w:rsidP="00557A6F">
      <w:r>
        <w:t>Felles IT-løsninger for å dekke like behov er et viktig effektiviseringstiltak. Kommuner, fylke</w:t>
      </w:r>
      <w:r>
        <w:t>s</w:t>
      </w:r>
      <w:r>
        <w:t>kommuner og statlige virksomheter skal benytte fellesløsninger for å utvikle brukervennlige og sammenhengende digitale tjenester. De mest sentrale fellesløsningene omtales som nasjonale fe</w:t>
      </w:r>
      <w:r>
        <w:t>l</w:t>
      </w:r>
      <w:r>
        <w:t>leskomponenter, for e</w:t>
      </w:r>
      <w:r>
        <w:t>k</w:t>
      </w:r>
      <w:r>
        <w:t>sempel Altinn, Digital postkasse for innbyggere og ID-porten. Kommunal sektor har etablert felleslø</w:t>
      </w:r>
      <w:r>
        <w:t>s</w:t>
      </w:r>
      <w:r>
        <w:t>ninger og tjenester der FIKS-plattformen til KS er sentral. Kommunal- og moderniseringsdepartementet vil samarbeide med berørte departementer og KS for å sikre sa</w:t>
      </w:r>
      <w:r>
        <w:t>m</w:t>
      </w:r>
      <w:r>
        <w:t>ordnet styring og utvikling av felles d</w:t>
      </w:r>
      <w:r>
        <w:t>a</w:t>
      </w:r>
      <w:r>
        <w:t>takilder, fellesløsninger, nasjonale arkitekturer mv. gjennom et felles økosystem for nasjonal digital sa</w:t>
      </w:r>
      <w:r>
        <w:t>m</w:t>
      </w:r>
      <w:r>
        <w:t xml:space="preserve">handling og tjenesteutvikling. </w:t>
      </w:r>
    </w:p>
    <w:p w:rsidR="00557A6F" w:rsidRDefault="00557A6F" w:rsidP="00557A6F">
      <w:r>
        <w:t>Bruken av felles IT-løsninger i forvaltningen øker. Mange, både innbyggere og næringsliv, fore</w:t>
      </w:r>
      <w:r>
        <w:t>t</w:t>
      </w:r>
      <w:r>
        <w:t>rekker nå å bruke digitale tjenester og løsninger når de kommuniserer med det offentlige. ID-porten hadde over 139 mill. innlo</w:t>
      </w:r>
      <w:r>
        <w:t>g</w:t>
      </w:r>
      <w:r>
        <w:t>ginger i 2018. Dette er en økning på over 22 pst. fra 2017. Bruken av Digital pos</w:t>
      </w:r>
      <w:r>
        <w:t>t</w:t>
      </w:r>
      <w:r>
        <w:t>kasse øker også selv om det fortsatt er potensial for en videre utbredelse. Direktoratet jobber med å vid</w:t>
      </w:r>
      <w:r>
        <w:t>e</w:t>
      </w:r>
      <w:r>
        <w:t>reutvikle løsningen for å bidra til å gjøre den enda mer brukervennlig.</w:t>
      </w:r>
    </w:p>
    <w:p w:rsidR="00557A6F" w:rsidRDefault="007F3140" w:rsidP="007F3140">
      <w:pPr>
        <w:pStyle w:val="Figur"/>
      </w:pPr>
      <w:r>
        <w:t>[:figur:fig6-4.jpg]</w:t>
      </w:r>
    </w:p>
    <w:p w:rsidR="00557A6F" w:rsidRDefault="00557A6F" w:rsidP="00557A6F">
      <w:pPr>
        <w:pStyle w:val="figur-tittel"/>
      </w:pPr>
      <w:r>
        <w:t>Antall virksomheter som bruker de ulike fellesløsningene</w:t>
      </w:r>
    </w:p>
    <w:p w:rsidR="00557A6F" w:rsidRDefault="00557A6F" w:rsidP="00557A6F">
      <w:pPr>
        <w:pStyle w:val="Kilde"/>
      </w:pPr>
      <w:r>
        <w:t>Difi.</w:t>
      </w:r>
    </w:p>
    <w:p w:rsidR="00557A6F" w:rsidRDefault="00557A6F" w:rsidP="00557A6F">
      <w:r>
        <w:t>Ny lov om elektroniske tillitstjenester som implementerer eIDAS-forordningen, trådte i kraft 15. juni 2018. Loven erstatter e-signaturloven og regulerer, i tillegg til e-signatur, bruk av eID med og i offentlig sektor. Loven ble overført fra Nærings- og fiskeridepartementet til Kommunal- og moderniseringsdepartementet 3. mai 2019 i forbindelse med overføring av ansvaret for næringsre</w:t>
      </w:r>
      <w:r>
        <w:t>t</w:t>
      </w:r>
      <w:r>
        <w:t>tet IKT. Kommunal- og moderniseringsdepartementet har, i tillegg til ansvaret for bruk av e-signatur og eID i offentlig sektor, etter overføringen også nå ansvaret for e-signatur og eID gen</w:t>
      </w:r>
      <w:r>
        <w:t>e</w:t>
      </w:r>
      <w:r>
        <w:t>relt.</w:t>
      </w:r>
    </w:p>
    <w:p w:rsidR="00557A6F" w:rsidRDefault="00557A6F" w:rsidP="00557A6F">
      <w:r>
        <w:lastRenderedPageBreak/>
        <w:t>Som en følge av ny eIDAS-forordning har Difi over tid arbeidet med å tilpasse ID-porten til kr</w:t>
      </w:r>
      <w:r>
        <w:t>a</w:t>
      </w:r>
      <w:r>
        <w:t>vene for samhandling på tvers av landegrenser. Det stilles også krav om gjenkjenning av ute</w:t>
      </w:r>
      <w:r>
        <w:t>n</w:t>
      </w:r>
      <w:r>
        <w:t>landske borgere i Folkeregist</w:t>
      </w:r>
      <w:r>
        <w:t>e</w:t>
      </w:r>
      <w:r>
        <w:t xml:space="preserve">ret. </w:t>
      </w:r>
    </w:p>
    <w:p w:rsidR="00557A6F" w:rsidRDefault="00557A6F" w:rsidP="00557A6F">
      <w:r>
        <w:t>Maskinporten, en løsning for å dele og bruke data på tvers i offentlig forvaltning, ble lansert av Difi i september 2019. Maskinporten vil bidra til en mer effektiv og sikrere håndtering av prosessene rundt deling av data, noe som igjen vil gi effekter i hurtigere og bedre tjenesteutvikling. Effektene vil tilfalle både privat og offentlig sektor.</w:t>
      </w:r>
    </w:p>
    <w:p w:rsidR="00557A6F" w:rsidRDefault="00557A6F" w:rsidP="00557A6F">
      <w:r>
        <w:t>Forslag til nytt rammeverk for bruk av eID i offentlig sektor har vært på høring sammen med utkast til forskrifter til lov om elektroniske tillitstjenester som implementerer gjennomføringsaktene til eIDAS-forordningen. Ra</w:t>
      </w:r>
      <w:r>
        <w:t>m</w:t>
      </w:r>
      <w:r>
        <w:t>meverk og forskrifter, herunder forskrift om selvdeklarasjon, skal etter planen fastsettes i tredje kvartal 2019. Hovedføringen er fortsatt at eID-løsninger i markedet skal brukes der markedet kan tilby gode og hensiktsmess</w:t>
      </w:r>
      <w:r>
        <w:t>i</w:t>
      </w:r>
      <w:r>
        <w:t>ge løsninger. Lansering av nasjonale ID-kort med eID er utsatt til 2020.</w:t>
      </w:r>
    </w:p>
    <w:p w:rsidR="00557A6F" w:rsidRDefault="00557A6F" w:rsidP="00557A6F">
      <w:r>
        <w:t>Forvaltningens arbeid med informasjonssikkerhet ble evaluert av Difi i 2018. Evalueringen viser at det fortsatt er behov for å arbeide målrettet med informasjonssikkerheten i statsforvaltningen. På bakgrunn av hovedfunn i kunnskapsgrunnlaget har Kommunal- og moderniseringsdepartementet, i samråd med Justis- og beredskapsd</w:t>
      </w:r>
      <w:r>
        <w:t>e</w:t>
      </w:r>
      <w:r>
        <w:t>partementet, igangsatt et prosjekt som skal følge opp flere av rapportens anbef</w:t>
      </w:r>
      <w:r>
        <w:t>a</w:t>
      </w:r>
      <w:r>
        <w:t>linger. Formålet med prosjektet er å styrke arbeidet med informasjonssikkerheten i statsforvaltningen. Prosjektet gjennomføres i et samarbeid mellom Difi, Direktoratet for økon</w:t>
      </w:r>
      <w:r>
        <w:t>o</w:t>
      </w:r>
      <w:r>
        <w:t>mistyring (DFØ), Direktoratet for samfunnssikkerhet og beredskap (DSB), Norsk senter for info</w:t>
      </w:r>
      <w:r>
        <w:t>r</w:t>
      </w:r>
      <w:r>
        <w:t>masjonssikring (NorSIS) og Nasjonal sikkerhetsmyndighet (NSM).</w:t>
      </w:r>
    </w:p>
    <w:p w:rsidR="00557A6F" w:rsidRDefault="00557A6F" w:rsidP="00557A6F">
      <w:pPr>
        <w:pStyle w:val="avsnitt-under-undertittel"/>
      </w:pPr>
      <w:r>
        <w:t>Offentlige anskaffelser</w:t>
      </w:r>
    </w:p>
    <w:p w:rsidR="00557A6F" w:rsidRDefault="00557A6F" w:rsidP="00557A6F">
      <w:r>
        <w:t>I 2020 blir fagområdet anskaffelser overført fra Difi til DFØ, jf. omtale innledningsvis i progra</w:t>
      </w:r>
      <w:r>
        <w:t>m</w:t>
      </w:r>
      <w:r>
        <w:t xml:space="preserve">kategorien. </w:t>
      </w:r>
    </w:p>
    <w:p w:rsidR="00557A6F" w:rsidRDefault="00557A6F" w:rsidP="00557A6F">
      <w:r>
        <w:t xml:space="preserve">Regjeringen la frem Meld. St. 22 (2018–2019) </w:t>
      </w:r>
      <w:r>
        <w:rPr>
          <w:rStyle w:val="kursiv"/>
          <w:sz w:val="21"/>
          <w:szCs w:val="21"/>
        </w:rPr>
        <w:t xml:space="preserve">Smartere innkjøp – effektive og profesjonelle offentlige anskaffelser </w:t>
      </w:r>
      <w:r>
        <w:t>10. april 2019. Målet med meldingen er å utvikle en mer helhetlig og effektiv anska</w:t>
      </w:r>
      <w:r>
        <w:t>f</w:t>
      </w:r>
      <w:r>
        <w:t>felsespolitikk for å sette det offentlige i stand til å oppnå regjeringens ambisiøse mål på feltet. Midlene som brukes på offentlige anska</w:t>
      </w:r>
      <w:r>
        <w:t>f</w:t>
      </w:r>
      <w:r>
        <w:t>felser er fellesskapets midler som oppdragsgiverne skal utnytte på best mulig måte. Det krever en økt profesjon</w:t>
      </w:r>
      <w:r>
        <w:t>a</w:t>
      </w:r>
      <w:r>
        <w:t xml:space="preserve">lisering av innkjøpene gjennom blant annet økt satsing på kompetanse og bedre styring, ledelse og organisering. </w:t>
      </w:r>
    </w:p>
    <w:p w:rsidR="00557A6F" w:rsidRDefault="00557A6F" w:rsidP="00557A6F">
      <w:r>
        <w:t>Nasjonalt program for leverandørutvikling skal styrke næringslivets muligheter for verdiskaping gjennom å øke antall innovative offentlige anskaffelser som fører til utvikling av produkter og tj</w:t>
      </w:r>
      <w:r>
        <w:t>e</w:t>
      </w:r>
      <w:r>
        <w:t>nester. Bruk av innovative anskaffelser kan også være et viktig bidrag til å fornye offentlig sektor. Offentlig sektor må åpne opp for nye måter å samarbeide med markedet på og utnytte mulighetene som ligger i innovative offentlige anskaffelser. For å stimulere til dette vil regjeringen igangsette et arbeid med etablering av et program for økt samhandling mellom offentlig sektor og oppstartssel</w:t>
      </w:r>
      <w:r>
        <w:t>s</w:t>
      </w:r>
      <w:r>
        <w:t>kaper.</w:t>
      </w:r>
    </w:p>
    <w:p w:rsidR="00557A6F" w:rsidRDefault="00557A6F" w:rsidP="00557A6F">
      <w:r>
        <w:t>Veiledning og maler er viktige virkemidler for å styrke forvaltningens kompetanse om anskaffelser. Anskaffe</w:t>
      </w:r>
      <w:r>
        <w:t>l</w:t>
      </w:r>
      <w:r>
        <w:t xml:space="preserve">ser.no er hovedkanalen for kommunikasjon og veiledning. Antall brukere av portalen økte med 8 pst. i 2018. </w:t>
      </w:r>
    </w:p>
    <w:p w:rsidR="00557A6F" w:rsidRDefault="00557A6F" w:rsidP="00557A6F">
      <w:r>
        <w:t>Difi har ansvar for å utvikle veiledning om hvordan det offentlige kan stille krav til redusert klima- og miljøb</w:t>
      </w:r>
      <w:r>
        <w:t>e</w:t>
      </w:r>
      <w:r>
        <w:t>lastning i offentlige anskaffelser. Difi utarbeider, i samarbeid med andre aktører, krav og kriterier, verktøy og maler innenfor konkrete innkjøpskategorier.</w:t>
      </w:r>
    </w:p>
    <w:p w:rsidR="00557A6F" w:rsidRDefault="00557A6F" w:rsidP="00557A6F">
      <w:r>
        <w:t>I 2018 ble Program for digitale anskaffelser etablert. Programmet er tverrsektorielt, ledes av Difi og vil vare fram til 2024. Målet er at alle offentlige virksomheter innen utgangen av 2024 skal br</w:t>
      </w:r>
      <w:r>
        <w:t>u</w:t>
      </w:r>
      <w:r>
        <w:t>ke digitale verktøy i hele anskaffelsesprosessen, og at det skal være sømløs informasjonsflyt me</w:t>
      </w:r>
      <w:r>
        <w:t>l</w:t>
      </w:r>
      <w:r>
        <w:t>lom ulike digitale løsninger. En heldigital anskaffelsesprosess vil legge til rette for at det blir en</w:t>
      </w:r>
      <w:r>
        <w:t>k</w:t>
      </w:r>
      <w:r>
        <w:t>lere og tar kortere tid å gjennomføre konkurranser. Dette vil kunne bidra til at det blir mer attraktivt for næringslivet å delta i konkurranser om offentlige anskaffelser, samtidig som det vil forenkle prosessene for offentlige op</w:t>
      </w:r>
      <w:r>
        <w:t>p</w:t>
      </w:r>
      <w:r>
        <w:t xml:space="preserve">dragsgivere. </w:t>
      </w:r>
    </w:p>
    <w:p w:rsidR="00557A6F" w:rsidRDefault="00557A6F" w:rsidP="00557A6F">
      <w:r>
        <w:t>Elektronisk handelsformat (EHF) vedlikeholdes av Difi og er basert på europeisk standardisering</w:t>
      </w:r>
      <w:r>
        <w:t>s</w:t>
      </w:r>
      <w:r>
        <w:t xml:space="preserve">arbeid, noe som også gir støtte for grenseoverskridende fakturering. I 2018 ble det gjennomført 90 millioner EHF-fakturatransaksjoner i Norge. Dette er en vekst på mer enn 56 pst. fra 2017. DFØ rapporterer at for </w:t>
      </w:r>
      <w:r>
        <w:lastRenderedPageBreak/>
        <w:t>de sta</w:t>
      </w:r>
      <w:r>
        <w:t>t</w:t>
      </w:r>
      <w:r>
        <w:t>lige virksomhetene de betjener, er ca. 80 pst. av alle inngående fakturaer i EHF. Kommunal- og modernisering</w:t>
      </w:r>
      <w:r>
        <w:t>s</w:t>
      </w:r>
      <w:r>
        <w:t>departementet har fastsatt forskrift om elektronisk faktura i offentlige anskaffelser som implementerer Direktiv 2014/55/EU. Forskriften er hjemlet i lov om offentlige anskaffelser og pålegger offentlige oppdragsgivere å kreve elektronisk faktura på EHF-format når de anskaffer varer og tjenester. Forskriften trådte i kraft i april 2019.</w:t>
      </w:r>
    </w:p>
    <w:p w:rsidR="00557A6F" w:rsidRDefault="00557A6F" w:rsidP="00557A6F">
      <w:pPr>
        <w:pStyle w:val="avsnitt-under-undertittel"/>
      </w:pPr>
      <w:r>
        <w:t>Markedsplass for skytjenester</w:t>
      </w:r>
    </w:p>
    <w:p w:rsidR="00557A6F" w:rsidRDefault="00557A6F" w:rsidP="00557A6F">
      <w:r>
        <w:t>I 2019 startet Difi arbeidet med å forberede en markedsplass for skytjenester rettet mot offentlig sektor. Markedsplassen skal gjøre det enklere for virksomhetene å anskaffe sikre, lovlige og kos</w:t>
      </w:r>
      <w:r>
        <w:t>t</w:t>
      </w:r>
      <w:r>
        <w:t>nadseffektive skytjenester. Gjennom markedsplassen skal virksomhetene få en oversikt over tilb</w:t>
      </w:r>
      <w:r>
        <w:t>u</w:t>
      </w:r>
      <w:r>
        <w:t>det i markedet, pr</w:t>
      </w:r>
      <w:r>
        <w:t>o</w:t>
      </w:r>
      <w:r>
        <w:t>sesstøtte i anskaffelsesprosessen og støtte til sikkerhets- og risikovurderinger. Markedsplassen er pla</w:t>
      </w:r>
      <w:r>
        <w:t>n</w:t>
      </w:r>
      <w:r>
        <w:t>lagt etablert i løpet av 2020 og vil deretter videreutvikles og utvides ut fra offentlig sektors behov.</w:t>
      </w:r>
    </w:p>
    <w:p w:rsidR="00557A6F" w:rsidRDefault="00557A6F" w:rsidP="00557A6F">
      <w:pPr>
        <w:pStyle w:val="avsnitt-under-undertittel"/>
      </w:pPr>
      <w:r>
        <w:t>Statens innkjøpssenter</w:t>
      </w:r>
    </w:p>
    <w:p w:rsidR="00557A6F" w:rsidRDefault="00557A6F" w:rsidP="00557A6F">
      <w:r>
        <w:t>Statens innkjøpssenter ble opprettet i Difi i 2016 som en fireårig prøveordning. Ved etableringen ble det lagt til grunn at prøveordningen skulle evalueres før eventuell permanent videreføring. Alle sivile virksomheter i statsforvaltningen er obligatorisk omfattet av innkjøpsordningen, men vir</w:t>
      </w:r>
      <w:r>
        <w:t>k</w:t>
      </w:r>
      <w:r>
        <w:t xml:space="preserve">somhetene kan melde fra om de ikke vil delta i enkelte konkurranser. Fram til i dag er det inngått sju statlige fellesavtaler. </w:t>
      </w:r>
    </w:p>
    <w:p w:rsidR="00557A6F" w:rsidRDefault="00557A6F" w:rsidP="00557A6F">
      <w:r>
        <w:t>Statens innkjøpssenter ble evaluert av Oslo Economics og Inventura høsten 2018. Evalueringsra</w:t>
      </w:r>
      <w:r>
        <w:t>p</w:t>
      </w:r>
      <w:r>
        <w:t>porten konkluderte med at innkjøpssenteret er samfunnsøkonomisk lønnsomt. Statens innkjøpsse</w:t>
      </w:r>
      <w:r>
        <w:t>n</w:t>
      </w:r>
      <w:r>
        <w:t>ter gir mer effektive innkjøp i form av reduserte priser og transaksjonskostnader for staten, sikrer god etterlevelse av regelverket, profesjonelle innkjøpsprosesser og ivaretar relevante samfunn</w:t>
      </w:r>
      <w:r>
        <w:t>s</w:t>
      </w:r>
      <w:r>
        <w:t>hensyn. Ordningen bidrar også til økt bruk av elektronisk handel i de statlige virksomhetene. Ev</w:t>
      </w:r>
      <w:r>
        <w:t>a</w:t>
      </w:r>
      <w:r>
        <w:t>lueringen fant ingen neg</w:t>
      </w:r>
      <w:r>
        <w:t>a</w:t>
      </w:r>
      <w:r>
        <w:t>tive virkninger på konkurransen i markedene hvor det er inngått statlige fellesavtaler.</w:t>
      </w:r>
    </w:p>
    <w:p w:rsidR="00557A6F" w:rsidRDefault="00557A6F" w:rsidP="00557A6F">
      <w:r>
        <w:t>Rapporten estimerer at staten vil spare ca. 500 mill. kroner i løpet av fire år på de sju avtalene som hittil er inngått (årlig snitt på 125 mill. kroner). Gevinstene vil øke med økt kapasitet til å inngå nye avtaler. Anslagene ble imidlertid vurdert som usikre. Dette skyldes særlig at avtalene har vært i</w:t>
      </w:r>
      <w:r>
        <w:t>m</w:t>
      </w:r>
      <w:r>
        <w:t>plementert i løpet av kort tid, og at de sta</w:t>
      </w:r>
      <w:r>
        <w:t>t</w:t>
      </w:r>
      <w:r>
        <w:t>lige virksomhetene har liten oversikt over kostnadene før og etter impl</w:t>
      </w:r>
      <w:r>
        <w:t>e</w:t>
      </w:r>
      <w:r>
        <w:t>menteringen av avtalene. Departementet mener det foreløpig er for tidlig å vurdere om senteret bør bli videreført permanent. Prøveperioden for Statens innkjøpssenter forlenges derfor i to år. En lengre prøv</w:t>
      </w:r>
      <w:r>
        <w:t>e</w:t>
      </w:r>
      <w:r>
        <w:t>periode vil gi et bedre grunnlag for å vurdere effekten av innkjøpsavtalene og til å ta stilling til om en varig finansieringsordning skal innrettes på linje med de som finnes i våre naboland.</w:t>
      </w:r>
    </w:p>
    <w:p w:rsidR="00557A6F" w:rsidRDefault="00557A6F" w:rsidP="00557A6F">
      <w:pPr>
        <w:pStyle w:val="avsnitt-tittel"/>
      </w:pPr>
      <w:r>
        <w:t>Mål 2 Digitaliseringen i samfunnet gir gode vilkår for deltakelse, verdiskaping og innovasjon i o</w:t>
      </w:r>
      <w:r>
        <w:t>f</w:t>
      </w:r>
      <w:r>
        <w:t>fentlig og privat sektor</w:t>
      </w:r>
    </w:p>
    <w:p w:rsidR="00557A6F" w:rsidRDefault="00557A6F" w:rsidP="00557A6F">
      <w:r>
        <w:t>Regjeringen vil legge til rette for at Norge utnytter mulighetene som bruk av teknologi gir for økt verd</w:t>
      </w:r>
      <w:r>
        <w:t>i</w:t>
      </w:r>
      <w:r>
        <w:t>skaping, innovasjon og bærekraftig utvikling. For å understøtte dette er det viktig å øke digital deltakelse og å styrke befolkningens digitale kompetanse, slik at alle kan ta i bruk mulighetene digitaliseringen gir. Det er viktig å ha gode rammebetingelser som understøtter utvikling og bruk av digitale tjenester og nye forretningsmodeller i hele samfunnet og for alle sektorer.</w:t>
      </w:r>
    </w:p>
    <w:p w:rsidR="00557A6F" w:rsidRDefault="00557A6F" w:rsidP="00557A6F">
      <w:pPr>
        <w:pStyle w:val="avsnitt-undertittel"/>
      </w:pPr>
      <w:r>
        <w:t>Rapport, strategier og tiltak</w:t>
      </w:r>
    </w:p>
    <w:p w:rsidR="00557A6F" w:rsidRDefault="00557A6F" w:rsidP="00557A6F">
      <w:pPr>
        <w:pStyle w:val="avsnitt-under-undertittel"/>
      </w:pPr>
      <w:r>
        <w:t>Utvikling og samordning av digitaliseringspolitikken</w:t>
      </w:r>
    </w:p>
    <w:p w:rsidR="00557A6F" w:rsidRDefault="00557A6F" w:rsidP="00557A6F">
      <w:r>
        <w:t>IT-politikk for framtiden handler om å digitalisere på en smart måte og å ruste samfunnet for dig</w:t>
      </w:r>
      <w:r>
        <w:t>i</w:t>
      </w:r>
      <w:r>
        <w:t>talisering. Behovet for å se helhet og sammenheng er derfor blitt helt avgjørende. Offentlige tj</w:t>
      </w:r>
      <w:r>
        <w:t>e</w:t>
      </w:r>
      <w:r>
        <w:t>nester skal oppleves sammenhengende og helhetlige av brukerne, uavhengig av hvilke offentlige virksomheter som tilbyr dem. Kommunal- og moderniseringsdepartementet har samordningsa</w:t>
      </w:r>
      <w:r>
        <w:t>n</w:t>
      </w:r>
      <w:r>
        <w:t>svaret for regjeringens IT-politikk, samtidig som alle departementene er ansvarlige for digitalis</w:t>
      </w:r>
      <w:r>
        <w:t>e</w:t>
      </w:r>
      <w:r>
        <w:t>ring innenfor sin sektor.</w:t>
      </w:r>
    </w:p>
    <w:p w:rsidR="00557A6F" w:rsidRDefault="00557A6F" w:rsidP="00557A6F">
      <w:pPr>
        <w:pStyle w:val="avsnitt-under-undertittel"/>
      </w:pPr>
      <w:r>
        <w:lastRenderedPageBreak/>
        <w:t>Digitaliseringsstrategi for offentlig sektor 2019–2025</w:t>
      </w:r>
    </w:p>
    <w:p w:rsidR="00557A6F" w:rsidRDefault="00557A6F" w:rsidP="00557A6F">
      <w:r>
        <w:t xml:space="preserve">Departementet og KS har i 2019 gått sammen om en strategi for digitalisering av offentlig sektor, </w:t>
      </w:r>
      <w:r>
        <w:rPr>
          <w:rStyle w:val="kursiv"/>
          <w:sz w:val="21"/>
          <w:szCs w:val="21"/>
        </w:rPr>
        <w:t>Digitaliseringsstrategi for offentlig sektor 2019–2025</w:t>
      </w:r>
      <w:r>
        <w:t>. Målet med denne er at innbyggerne, frivillig sektor og o</w:t>
      </w:r>
      <w:r>
        <w:t>f</w:t>
      </w:r>
      <w:r>
        <w:t>fentlige og private virksomheter skal oppleve én digital offentlig sektor. Retningen for dette arbeidet li</w:t>
      </w:r>
      <w:r>
        <w:t>g</w:t>
      </w:r>
      <w:r>
        <w:t xml:space="preserve">ger fast i tråd med føringene i Meld. St. 27 (2015–2016) </w:t>
      </w:r>
      <w:r>
        <w:rPr>
          <w:rStyle w:val="kursiv"/>
          <w:sz w:val="21"/>
          <w:szCs w:val="21"/>
        </w:rPr>
        <w:t>Digital agenda for Norge – IKT for en enklere hverdag og økt produktivitet.</w:t>
      </w:r>
      <w:r>
        <w:t xml:space="preserve"> Strategien gjelder på et overordnet nivå og gir prioriteringer for digitaliseringsarbeidet i statlig og kommunal sektor og eventuelle sektorspesifikke strategier. D</w:t>
      </w:r>
      <w:r>
        <w:t>e</w:t>
      </w:r>
      <w:r>
        <w:t>partementet har overordnet ansvar for oppfølging av digitaliseringsstrategien.</w:t>
      </w:r>
    </w:p>
    <w:p w:rsidR="00557A6F" w:rsidRDefault="00557A6F" w:rsidP="00557A6F">
      <w:r>
        <w:t>Digital agenda fastsetter rammene for den helhetlige IT-politikken som departementet følger opp i dialog med berørte departement og aktører. Departementets oppfølging involverer saksforberede</w:t>
      </w:r>
      <w:r>
        <w:t>l</w:t>
      </w:r>
      <w:r>
        <w:t>ser for regjeringens digitaliseringsutvalg, opprettet i april 2017, og etablering av ulike samarbeid</w:t>
      </w:r>
      <w:r>
        <w:t>s</w:t>
      </w:r>
      <w:r>
        <w:t xml:space="preserve">arenaer og nettverk med andre berørte sektorer. </w:t>
      </w:r>
    </w:p>
    <w:p w:rsidR="00557A6F" w:rsidRDefault="00557A6F" w:rsidP="00557A6F">
      <w:r>
        <w:t>Departementet har også fått et helhetlig ansvar for å følge opp anbefalingene i Digital21, som r</w:t>
      </w:r>
      <w:r>
        <w:t>e</w:t>
      </w:r>
      <w:r>
        <w:t>presenterer n</w:t>
      </w:r>
      <w:r>
        <w:t>æ</w:t>
      </w:r>
      <w:r>
        <w:t>ringslivets samlede vurderinger om behovet for digitalisering i næringslivet. I tillegg peker Digital21 på behovet for tilgjengelige offentlige data samt forenklet og digitaliseringsvennlig regelverk. De fleste av anbefalingene i Digital21 omfatter pågående arbeid som sorterer under flere departementers ansvarsområder. Tiltakene i Digital21 adresseres også i stor grad i digitalisering</w:t>
      </w:r>
      <w:r>
        <w:t>s</w:t>
      </w:r>
      <w:r>
        <w:t>strategien. For å se helheten i dette arbeidet har regjeringen b</w:t>
      </w:r>
      <w:r>
        <w:t>e</w:t>
      </w:r>
      <w:r>
        <w:t>sluttet at ansvarlige departement skal rapportere på samlet gjennomføring på aktuelle anbefalinger til Kommunal- og moderniseringsd</w:t>
      </w:r>
      <w:r>
        <w:t>e</w:t>
      </w:r>
      <w:r>
        <w:t>partementet, innen utgangen av 2019.</w:t>
      </w:r>
    </w:p>
    <w:p w:rsidR="00557A6F" w:rsidRDefault="00557A6F" w:rsidP="00557A6F">
      <w:r>
        <w:t>Departementet tilrettelegger for at forvaltning og næringsliv kan utnytte datadrevet innovasjon. I dette ligger økt deling og bruk av offentlige data, bruk av stordata i offentlig sektor samt tilrett</w:t>
      </w:r>
      <w:r>
        <w:t>e</w:t>
      </w:r>
      <w:r>
        <w:t>legging for u</w:t>
      </w:r>
      <w:r>
        <w:t>t</w:t>
      </w:r>
      <w:r>
        <w:t>viklingen av smarte byer. I 2018 utarbeidet konsulentselskapet Agenda Kaupang en kartlegging av smarte byer og kommuner i Norge på oppdrag fra departementet. Kartleggingen gir innsikt i strategier, motivasjon for og organisering av smar</w:t>
      </w:r>
      <w:r>
        <w:t>t</w:t>
      </w:r>
      <w:r>
        <w:t>by-arbeidet i kommunene samt hva som oppleves som de viktigste ba</w:t>
      </w:r>
      <w:r>
        <w:t>r</w:t>
      </w:r>
      <w:r>
        <w:t>rierene og suksesskriteriene. Innspillene fra rapporten vil bli tatt med i det videre arbeidet med smarte byer.</w:t>
      </w:r>
    </w:p>
    <w:p w:rsidR="00557A6F" w:rsidRDefault="00557A6F" w:rsidP="00557A6F">
      <w:r>
        <w:t>Departementet legger stor vekt på det internasjonale samarbeidet når det gjelder digitalisering. R</w:t>
      </w:r>
      <w:r>
        <w:t>e</w:t>
      </w:r>
      <w:r>
        <w:t>gjeringen følger blant annet samarbeidet på digitalisering som er etablert gjennom Nordisk mini</w:t>
      </w:r>
      <w:r>
        <w:t>s</w:t>
      </w:r>
      <w:r>
        <w:t>terråd, initiert under det norske formannskapet i 2017, (jf. ministererklæringen «Digital North»). Oppfølging av eIDAS-forordningen og å sikre felles løsninger for bruk av eID på tvers av land</w:t>
      </w:r>
      <w:r>
        <w:t>e</w:t>
      </w:r>
      <w:r>
        <w:t>grensene i EU/EØS er en prioritert satsing, ledet av Difi. Videre er kunstig intelligens og 5G vikt</w:t>
      </w:r>
      <w:r>
        <w:t>i</w:t>
      </w:r>
      <w:r>
        <w:t xml:space="preserve">ge innsatsområder innen dette samarbeidet. </w:t>
      </w:r>
    </w:p>
    <w:p w:rsidR="00557A6F" w:rsidRDefault="00557A6F" w:rsidP="00557A6F">
      <w:r>
        <w:t>Departementet jobber kontinuerlig med digital inkludering slik at flest mulig av innbyggerne kan tilegne seg grunnleggende digitale ferdigheter og kompetanse. Departementet samarbeider med Kompetanse Norge og KS om videreutvikling av gratis opplæringsmateriell som kurs- og veile</w:t>
      </w:r>
      <w:r>
        <w:t>d</w:t>
      </w:r>
      <w:r>
        <w:t>ningspersonell kan benytte til dette formålet. KS i samarbeid med Kompetanse Norge og depart</w:t>
      </w:r>
      <w:r>
        <w:t>e</w:t>
      </w:r>
      <w:r>
        <w:t>mentet har igangsatt koordinering og prosjektledelse for å bistå kommuner med utvikling av la</w:t>
      </w:r>
      <w:r>
        <w:t>v</w:t>
      </w:r>
      <w:r>
        <w:t>terskel Digihjelpen-tilbud i hele landet. Departementet har som mål å starte systematisk måling av befolkningens digitale deltakelse og kompetansenivå fra 2020.</w:t>
      </w:r>
    </w:p>
    <w:p w:rsidR="00557A6F" w:rsidRDefault="00557A6F" w:rsidP="00557A6F">
      <w:r>
        <w:t>For å ivareta brukerperspektivet har departementet bestilt en studie</w:t>
      </w:r>
      <w:r>
        <w:rPr>
          <w:vertAlign w:val="superscript"/>
        </w:rPr>
        <w:footnoteReference w:id="2"/>
      </w:r>
      <w:r>
        <w:t xml:space="preserve"> om hvordan den digitale hverdagen fortoner seg for innbyggerne. Den illustrerer at mange ønsker en kontakt med det o</w:t>
      </w:r>
      <w:r>
        <w:t>f</w:t>
      </w:r>
      <w:r>
        <w:t>fentlige som er rask, effektiv og fri</w:t>
      </w:r>
      <w:r>
        <w:t>k</w:t>
      </w:r>
      <w:r>
        <w:t>sjonsfri. Studien framhever også behovet for å legge til rette for helhet og sømløshet i tilbudet av digitale tjene</w:t>
      </w:r>
      <w:r>
        <w:t>s</w:t>
      </w:r>
      <w:r>
        <w:t>ter.</w:t>
      </w:r>
    </w:p>
    <w:p w:rsidR="00557A6F" w:rsidRDefault="00557A6F" w:rsidP="00557A6F">
      <w:r>
        <w:t>Departementet arbeider med å implementere EUs direktiv 2016/2102 om tilgjengelighet av net</w:t>
      </w:r>
      <w:r>
        <w:t>t</w:t>
      </w:r>
      <w:r>
        <w:t>steder og mobi</w:t>
      </w:r>
      <w:r>
        <w:t>l</w:t>
      </w:r>
      <w:r>
        <w:t>applikasjoner. Høsten 2018 vedtok EU-kommisjonen tre gjennomføringsrettsakter under direktivet. Konkrete forslag til gjennomføring av direktivet og tilhørende gjennomføring</w:t>
      </w:r>
      <w:r>
        <w:t>s</w:t>
      </w:r>
      <w:r>
        <w:t>rettsakter ble sendt på høring i 2019. Tre ulike modeller for gjennomføring av regelverket ble vu</w:t>
      </w:r>
      <w:r>
        <w:t>r</w:t>
      </w:r>
      <w:r>
        <w:t xml:space="preserve">dert, og departementet foreslo </w:t>
      </w:r>
      <w:r>
        <w:lastRenderedPageBreak/>
        <w:t>en av modellene i hørin</w:t>
      </w:r>
      <w:r>
        <w:t>g</w:t>
      </w:r>
      <w:r>
        <w:t>en. I tillegg arbeider departementet med å følge EUs prosess for å vedta et direktiv om tilgjengelighet av varer og tjenester (Tilgjengelighet</w:t>
      </w:r>
      <w:r>
        <w:t>s</w:t>
      </w:r>
      <w:r>
        <w:t>direktivet) i samarbeid med Kultur- og lik</w:t>
      </w:r>
      <w:r>
        <w:t>e</w:t>
      </w:r>
      <w:r>
        <w:t xml:space="preserve">stillingsdepartementet. </w:t>
      </w:r>
    </w:p>
    <w:p w:rsidR="00557A6F" w:rsidRDefault="00557A6F" w:rsidP="00557A6F">
      <w:r>
        <w:t>Departementet vil fokusere på å styrke etterlevelsen av regelverket for universell utforming av IKT-løsninger i offentlig sektor, i tråd med Granavolden-plattformen. Difi har i sin rolle som tilsyn så langt ført risikobasert tilsyn med universell utforming av IT. Tilsynet har prioritert områder og tjenester med stort bruksvolum og som er av stor betydning for innbyggernes samfunnsdeltakelse. De prioriterte o</w:t>
      </w:r>
      <w:r>
        <w:t>m</w:t>
      </w:r>
      <w:r>
        <w:t>rådene er offentlige tjenester, bank- og finanstjenester, media, transport og reiser. I 2018 målte tilsynet etterlevelsen av regelverket på 278 nettsteder. Resultatet viste at i gjenno</w:t>
      </w:r>
      <w:r>
        <w:t>m</w:t>
      </w:r>
      <w:r>
        <w:t>snitt skåret nettstedene 60 pst. av totalt oppnåelig resultat. I 2019 er 14 tilsyn fra 2018 fulgt opp, i tillegg til tilsyn av seks medievirkso</w:t>
      </w:r>
      <w:r>
        <w:t>m</w:t>
      </w:r>
      <w:r>
        <w:t>heter og åtte nettbutikker. Videre har tilsynet fokusert på informasjonsarbeid rettet mot utdanningssektoren, blant annet gjennom e-læringskurs, som oppfø</w:t>
      </w:r>
      <w:r>
        <w:t>l</w:t>
      </w:r>
      <w:r>
        <w:t>ging av utv</w:t>
      </w:r>
      <w:r>
        <w:t>i</w:t>
      </w:r>
      <w:r>
        <w:t>delsen av regelverket mot utdanningssektoren fra 2018. Tilsynet har også engasjert Vista Analyse til å gjennomføre en kartlegging av mobila</w:t>
      </w:r>
      <w:r>
        <w:t>p</w:t>
      </w:r>
      <w:r>
        <w:t>plikasjoner. Videre arbeider tilsynet med å forberede seg til regelverksendringene som kommer ved gjennomføring av EUs direktiv for ti</w:t>
      </w:r>
      <w:r>
        <w:t>l</w:t>
      </w:r>
      <w:r>
        <w:t>gjengelighet av nettsteder og mobilapplikasjoner. I tillegg følger tilsynet opp EUs direktiv om ti</w:t>
      </w:r>
      <w:r>
        <w:t>l</w:t>
      </w:r>
      <w:r>
        <w:t>gjengelighet av varer og tjenester i samarbeid med departementet.</w:t>
      </w:r>
    </w:p>
    <w:p w:rsidR="00557A6F" w:rsidRDefault="00557A6F" w:rsidP="00557A6F">
      <w:pPr>
        <w:pStyle w:val="avsnitt-under-undertittel"/>
      </w:pPr>
      <w:r>
        <w:t>En datadrevet forvaltning</w:t>
      </w:r>
    </w:p>
    <w:p w:rsidR="00557A6F" w:rsidRDefault="00557A6F" w:rsidP="00557A6F">
      <w:r>
        <w:t>En helhetlig politikk for informasjonsforvaltning og deling av offentlige data er et viktig element i å nå det langsiktige målet om at innbyggernes og næringslivets informasjon til forvaltningen skal leveres kun én gang. For å få dette på plass, må arbeidet med å få til en effektiv utveksling og gjenbruk av informasjon på tvers i forvaltningen prioriteres. Difis rammeverk for informasjonsfo</w:t>
      </w:r>
      <w:r>
        <w:t>r</w:t>
      </w:r>
      <w:r>
        <w:t>valtning gir føringer, og vil være et verktøy, i det videre arbeidet med å etablere «kun én gang» som et førende prinsipp. Informasjonsforvaltning og deling av data er fokusområder i digitalis</w:t>
      </w:r>
      <w:r>
        <w:t>e</w:t>
      </w:r>
      <w:r>
        <w:t>ringsstrategien. Økt deling av data er en forutsetning for utvikling av sammenhengende tjenester på tvers av sektorer og forvaltningsnivåer. Mer offentlige data må tilgjengeliggjøres for viderebruk i næringslivet for utvikling av nye tjenester og verdiskaping. Det skal etableres et ressurssenter for deling av data som læremiljø og kompetansebank for hele offentlig sektor, og det skal, i samarbeid med KS, utredes og gjennomføres tiltak som vil understøtte digitaliseringsstrat</w:t>
      </w:r>
      <w:r>
        <w:t>e</w:t>
      </w:r>
      <w:r>
        <w:t>giens prioriteringer når det gjelder deling av data.</w:t>
      </w:r>
    </w:p>
    <w:p w:rsidR="00557A6F" w:rsidRDefault="00557A6F" w:rsidP="00557A6F">
      <w:r>
        <w:t>Et viktig element i arbeidet med informasjonsforvaltning har vært etableringen av en felles datak</w:t>
      </w:r>
      <w:r>
        <w:t>a</w:t>
      </w:r>
      <w:r>
        <w:t>talog. Datak</w:t>
      </w:r>
      <w:r>
        <w:t>a</w:t>
      </w:r>
      <w:r>
        <w:t>talogen skal være en oversikt over hvilke data og begreper som finnes hvor og således legge til rette for gjenbruk. Datakatalogen tar opp i seg innholdet i data.norge.no. En grunnlegge</w:t>
      </w:r>
      <w:r>
        <w:t>n</w:t>
      </w:r>
      <w:r>
        <w:t>de forutsetning for å dele data er kunnskap om hvilke data som finnes hvor, hva de betyr og hvo</w:t>
      </w:r>
      <w:r>
        <w:t>r</w:t>
      </w:r>
      <w:r>
        <w:t>dan disse kan deles. Katalogene må fortsatt fylles med innhold og utnyttes som grunnlag for dat</w:t>
      </w:r>
      <w:r>
        <w:t>a</w:t>
      </w:r>
      <w:r>
        <w:t xml:space="preserve">deling og tjenesteutvikling. Digitaliseringsdirektoratet vil få et nasjonalt samordningsansvar for arbeidet med informasjonsforvaltning i offentlig sektor. </w:t>
      </w:r>
    </w:p>
    <w:p w:rsidR="00557A6F" w:rsidRDefault="00557A6F" w:rsidP="00557A6F">
      <w:r>
        <w:t>Digitaliseringsstrategien peker på prioriterte tiltak. Det er lansert strategier for tilgjengeliggjøring av data innen områdene kultur, offentlig finansiert forskning og transport. Strategi for tilgjengeli</w:t>
      </w:r>
      <w:r>
        <w:t>g</w:t>
      </w:r>
      <w:r>
        <w:t>gjøring av geodata er i sluttfasen, og på området statlige utgifter er publiseringsløsningen stat</w:t>
      </w:r>
      <w:r>
        <w:t>s</w:t>
      </w:r>
      <w:r>
        <w:t>regnskapet.no utvi</w:t>
      </w:r>
      <w:r>
        <w:t>k</w:t>
      </w:r>
      <w:r>
        <w:t>let.</w:t>
      </w:r>
    </w:p>
    <w:p w:rsidR="00557A6F" w:rsidRDefault="00557A6F" w:rsidP="00557A6F">
      <w:r>
        <w:t>Arbeidet med gjenbruk av offentlige data vil fortsette, og det er viktig at flere offentlige virkso</w:t>
      </w:r>
      <w:r>
        <w:t>m</w:t>
      </w:r>
      <w:r>
        <w:t xml:space="preserve">heter følger </w:t>
      </w:r>
      <w:r>
        <w:rPr>
          <w:rStyle w:val="kursiv"/>
          <w:sz w:val="21"/>
          <w:szCs w:val="21"/>
        </w:rPr>
        <w:t>Re</w:t>
      </w:r>
      <w:r>
        <w:rPr>
          <w:rStyle w:val="kursiv"/>
          <w:sz w:val="21"/>
          <w:szCs w:val="21"/>
        </w:rPr>
        <w:t>t</w:t>
      </w:r>
      <w:r>
        <w:rPr>
          <w:rStyle w:val="kursiv"/>
          <w:sz w:val="21"/>
          <w:szCs w:val="21"/>
        </w:rPr>
        <w:t>ningslinjer</w:t>
      </w:r>
      <w:r>
        <w:t xml:space="preserve"> </w:t>
      </w:r>
      <w:r>
        <w:rPr>
          <w:rStyle w:val="kursiv"/>
          <w:sz w:val="21"/>
          <w:szCs w:val="21"/>
        </w:rPr>
        <w:t>ved tilgjengeliggjøring av offentlige data</w:t>
      </w:r>
      <w:r>
        <w:t>. Departementet vil, i samarbeid med berørte departementer, utrede virkemidler og hvordan reguleringen av tilgangen til åpne offentlige data kan innrettes for å oppnå målsetninger om økt bruk av offentlige data. Departementet vil vu</w:t>
      </w:r>
      <w:r>
        <w:t>r</w:t>
      </w:r>
      <w:r>
        <w:t>dere behovet for å styrke satsingen på tilgjengeli</w:t>
      </w:r>
      <w:r>
        <w:t>g</w:t>
      </w:r>
      <w:r>
        <w:t>gjøring av data i andre sektorer enn de som er omtalt i Digital agenda for Norge.</w:t>
      </w:r>
    </w:p>
    <w:p w:rsidR="00557A6F" w:rsidRDefault="00557A6F" w:rsidP="00557A6F">
      <w:r>
        <w:t>Departementet vil arbeide med å implementere et revidert direktiv om viderebruk av informasjon fra offentlig sektor 2013/37/EU. Endringene vil innebære regulatoriske endringer, først og fremst i offentlige forskrifter.</w:t>
      </w:r>
    </w:p>
    <w:p w:rsidR="00557A6F" w:rsidRDefault="00557A6F" w:rsidP="00557A6F">
      <w:r>
        <w:t>Norge har signert deklarasjoner om samarbeid med EU om blant annet blokkjedeteknologi (en</w:t>
      </w:r>
      <w:r>
        <w:t>g</w:t>
      </w:r>
      <w:r>
        <w:t xml:space="preserve">elsk: Blockchain) og kunstig intelligens. Dette er teknologier som har stort potensial og hvor det er behov for en felleseuropeisk tilnærming, dels fordi det er viktig for europeisk konkurransekraft og innovasjonsevne, </w:t>
      </w:r>
      <w:r>
        <w:lastRenderedPageBreak/>
        <w:t>og dels fordi en utvikling basert på europeiske grunnverdier for personvern og individuell frihet er ønsk</w:t>
      </w:r>
      <w:r>
        <w:t>e</w:t>
      </w:r>
      <w:r>
        <w:t>lig.</w:t>
      </w:r>
    </w:p>
    <w:p w:rsidR="00557A6F" w:rsidRDefault="00557A6F" w:rsidP="00557A6F">
      <w:r>
        <w:t>For å undersøke potensial og barrierer for bruk av blokkjeder i norsk offentlig sektor, har depart</w:t>
      </w:r>
      <w:r>
        <w:t>e</w:t>
      </w:r>
      <w:r>
        <w:t>mentet fått utarbeidet en studie som vurderer mulige anvendelsesområder for teknologien med sæ</w:t>
      </w:r>
      <w:r>
        <w:t>r</w:t>
      </w:r>
      <w:r>
        <w:t>lig vekt på offentlig sektor i Norge. Norge samarbeider med EU om blokkjedeteknologi gjennom European Blockchain Partnership. Videre arbeider departementet med å bidra til vurderinger av hvordan blokkj</w:t>
      </w:r>
      <w:r>
        <w:t>e</w:t>
      </w:r>
      <w:r>
        <w:t>deteknologi kan legge grunnlag for ny verdiskapning.</w:t>
      </w:r>
    </w:p>
    <w:p w:rsidR="00557A6F" w:rsidRDefault="00557A6F" w:rsidP="00557A6F">
      <w:pPr>
        <w:pStyle w:val="avsnitt-under-undertittel"/>
      </w:pPr>
      <w:r>
        <w:t>Nasjonal strategi for kunstig intelligens</w:t>
      </w:r>
    </w:p>
    <w:p w:rsidR="00557A6F" w:rsidRDefault="00557A6F" w:rsidP="00557A6F">
      <w:r>
        <w:t>Kunstig intelligens er et teknologiområde som vil få stadig større betydning i årene som kommer. Regj</w:t>
      </w:r>
      <w:r>
        <w:t>e</w:t>
      </w:r>
      <w:r>
        <w:t>ringen har vedtatt at det skal utarbeides en nasjonal strategi for kunstig intelligens som skal legges fram i 2019. Arbeidet med strategien koordineres av departementet.</w:t>
      </w:r>
    </w:p>
    <w:p w:rsidR="00557A6F" w:rsidRDefault="00557A6F" w:rsidP="00557A6F">
      <w:r>
        <w:t>For å sikre at bruken av denne teknologien ivaretar våre grunnleggende verdier, er det nødvendig å følge utviklingen tett. Departementet vil følge opp regjeringens intensjon med å utvikle retning</w:t>
      </w:r>
      <w:r>
        <w:t>s</w:t>
      </w:r>
      <w:r>
        <w:t>linjer og etiske prinsipper for bruk av kunstig intelligens. Dette vil skje i samarbeid med de nordi</w:t>
      </w:r>
      <w:r>
        <w:t>s</w:t>
      </w:r>
      <w:r>
        <w:t>ke land og EU.</w:t>
      </w:r>
    </w:p>
    <w:p w:rsidR="00557A6F" w:rsidRDefault="00557A6F" w:rsidP="00557A6F">
      <w:pPr>
        <w:pStyle w:val="avsnitt-under-undertittel"/>
      </w:pPr>
      <w:r>
        <w:t>Forordning om fri flyt av andre opplysninger enn personopplysninger (FFD-forordningen)</w:t>
      </w:r>
    </w:p>
    <w:p w:rsidR="00557A6F" w:rsidRDefault="00557A6F" w:rsidP="00557A6F">
      <w:r>
        <w:t>EU-parlamentet og Rådet vedtok den 14. november 2018 en forordning om fri flyt av andre op</w:t>
      </w:r>
      <w:r>
        <w:t>p</w:t>
      </w:r>
      <w:r>
        <w:t>lysninger enn personopplysninger i EU (FFD-forordningen). Sammen med personvernforordningen skal forordningen sikre at data kan flyte fritt over landegrensene i Europa. Det blir ikke lenger ti</w:t>
      </w:r>
      <w:r>
        <w:t>l</w:t>
      </w:r>
      <w:r>
        <w:t>latt å ha regelverk som stiller krav til hvor opplysninger kan lagres og behandles innenfor EØS-området, med unntak for opplysninger som må lagres og behandles nasjonalt av hensyn til offentlig sikkerhet. Departementet har i 2019 arbeidet med å implementere forordningen, og med å følge opp arbeidet med å vurdere konsekve</w:t>
      </w:r>
      <w:r>
        <w:t>n</w:t>
      </w:r>
      <w:r>
        <w:t>sene for eksisterende regelverk der det stilles krav om nasjonal lagring.</w:t>
      </w:r>
    </w:p>
    <w:p w:rsidR="00557A6F" w:rsidRDefault="00557A6F" w:rsidP="00557A6F">
      <w:pPr>
        <w:pStyle w:val="avsnitt-under-undertittel"/>
      </w:pPr>
      <w:r>
        <w:t>Forordning om transparens og god forretningspraksis ved bruk av nettbaserte mellomledd (Pla</w:t>
      </w:r>
      <w:r>
        <w:t>t</w:t>
      </w:r>
      <w:r>
        <w:t>form to Bus</w:t>
      </w:r>
      <w:r>
        <w:t>i</w:t>
      </w:r>
      <w:r>
        <w:t>ness forordningen)</w:t>
      </w:r>
    </w:p>
    <w:p w:rsidR="00557A6F" w:rsidRDefault="00557A6F" w:rsidP="00557A6F">
      <w:r>
        <w:t>EU har fremmet en regulering som skal legge til rette for at nettbaserte mellomledd, plattformer, følger en harmonisert og forutsigbar regulering i Europa. Målet er å skape et rettferdig, gjenno</w:t>
      </w:r>
      <w:r>
        <w:t>m</w:t>
      </w:r>
      <w:r>
        <w:t>siktig og forutsigbart forretningsmiljø for enkeltindivider og bedrifter som er brukerne av plattfo</w:t>
      </w:r>
      <w:r>
        <w:t>r</w:t>
      </w:r>
      <w:r>
        <w:t>mene. Dette fordi den store betydning disse aktørene får i den digitale økonomien, herunder i re</w:t>
      </w:r>
      <w:r>
        <w:t>a</w:t>
      </w:r>
      <w:r>
        <w:t>liseringen av det digitale indre markedet. Spørsmål vil handle om forbrukervern, opphavsrett, ti</w:t>
      </w:r>
      <w:r>
        <w:t>l</w:t>
      </w:r>
      <w:r>
        <w:t>gang til markeder, handel og fremme av innhold på nett. Å sikre felles regler på europeisk nivå skal sikre forutsigbarhet, likebehandling og bærekraftig og tillitsvekkende regulering av aktørene. R</w:t>
      </w:r>
      <w:r>
        <w:t>e</w:t>
      </w:r>
      <w:r>
        <w:t xml:space="preserve">guleringen vil gjelde aktører også utenfor Europa, gitt visse forutsetninger. </w:t>
      </w:r>
    </w:p>
    <w:p w:rsidR="00557A6F" w:rsidRDefault="00557A6F" w:rsidP="00557A6F">
      <w:r>
        <w:t>Departementet vil vurdere EØS-relevansen av forordningen og koordinere arbeidet med eventuell implement</w:t>
      </w:r>
      <w:r>
        <w:t>e</w:t>
      </w:r>
      <w:r>
        <w:t>ring, da reguleringen berører mange departementers ansvarsområder.</w:t>
      </w:r>
    </w:p>
    <w:p w:rsidR="00557A6F" w:rsidRDefault="00557A6F" w:rsidP="00557A6F">
      <w:pPr>
        <w:pStyle w:val="avsnitt-under-undertittel"/>
      </w:pPr>
      <w:r>
        <w:t>Forordning om Single Digital Gateway</w:t>
      </w:r>
    </w:p>
    <w:p w:rsidR="00557A6F" w:rsidRDefault="00557A6F" w:rsidP="00557A6F">
      <w:r>
        <w:t>Single Digital Gateway omfatter forordning (EU) 2018/1724 (Single Digital Gateway) om etabl</w:t>
      </w:r>
      <w:r>
        <w:t>e</w:t>
      </w:r>
      <w:r>
        <w:t>ring av en felles digital portal for informasjon, prosedyrer, assistanse og problemløsningstjenester og om endring av forordning (EU) 1024/2012. Overordnet formål er å gjøre det enklere for in</w:t>
      </w:r>
      <w:r>
        <w:t>n</w:t>
      </w:r>
      <w:r>
        <w:t>byggere og næringsliv å få tilgang til relevant informasjon når de ønsker å benytte sine rettigheter i det indre marked til å forflytte seg over landegrensene. Formålet er videre å digitalisere enkelte administrative prosedyrer og gjøre dem tilgjengelige også for brukere i andre EØS-land. Portalen skal hjelpe brukerne å finne relevant inform</w:t>
      </w:r>
      <w:r>
        <w:t>a</w:t>
      </w:r>
      <w:r>
        <w:t>sjon om rettigheter, plikter og regler som angår det indre marked, herunder informasjon relatert til arbeid, reise, utdannelse, helsetjenester og forbr</w:t>
      </w:r>
      <w:r>
        <w:t>u</w:t>
      </w:r>
      <w:r>
        <w:t>kerrettigheter. Forordningen pålegger medlemslandene å opprette full digital tilgang til enkelte offentlige tjenester. Forordningen trer delvis i kraft 12. desember 2020 og 12. desember 2022. Fo</w:t>
      </w:r>
      <w:r>
        <w:t>r</w:t>
      </w:r>
      <w:r>
        <w:t>ordningen omfatter flere tjenester enn hva som omfattes av EØS-avtalen, det må derfor vurderes behov for tilpasninger. Det er allerede laget et felles kontaktpunkt i Brønnø</w:t>
      </w:r>
      <w:r>
        <w:t>y</w:t>
      </w:r>
      <w:r>
        <w:lastRenderedPageBreak/>
        <w:t>sundregistrene i tråd med tjenestedirektivet, Europaportalen, som er en portal for utlendinger som ønsker å starte en b</w:t>
      </w:r>
      <w:r>
        <w:t>e</w:t>
      </w:r>
      <w:r>
        <w:t>drift i Norge. Informasjon om en del tjenester er derfor allerede på plass.</w:t>
      </w:r>
    </w:p>
    <w:p w:rsidR="00557A6F" w:rsidRDefault="00557A6F" w:rsidP="00557A6F">
      <w:r>
        <w:t>Departementet har også overtatt ansvaret for lov om elektronisk handel (e-handelsloven) fra N</w:t>
      </w:r>
      <w:r>
        <w:t>æ</w:t>
      </w:r>
      <w:r>
        <w:t>rings- og fisker</w:t>
      </w:r>
      <w:r>
        <w:t>i</w:t>
      </w:r>
      <w:r>
        <w:t>departementet. Departementet vil følge opp utviklingen i EU når det gjelder mulig revisjon av e-handelsdirektivet som lå til grunn for loven og eventuelle behov for lovendringer.</w:t>
      </w:r>
    </w:p>
    <w:p w:rsidR="00557A6F" w:rsidRDefault="00557A6F" w:rsidP="00557A6F">
      <w:pPr>
        <w:pStyle w:val="avsnitt-tittel"/>
      </w:pPr>
      <w:r>
        <w:t>Mål 3 Et likeverdig tilbud av sikre elektroniske kommunikasjonstjenester av høy kvalitet og til rimelige priser over hele landet</w:t>
      </w:r>
    </w:p>
    <w:p w:rsidR="00557A6F" w:rsidRDefault="00557A6F" w:rsidP="00557A6F">
      <w:pPr>
        <w:pStyle w:val="avsnitt-undertittel"/>
      </w:pPr>
      <w:r>
        <w:t>Rapport, strategier og tiltak</w:t>
      </w:r>
    </w:p>
    <w:p w:rsidR="00557A6F" w:rsidRDefault="00557A6F" w:rsidP="00557A6F">
      <w:pPr>
        <w:pStyle w:val="avsnitt-under-undertittel"/>
      </w:pPr>
      <w:r>
        <w:t xml:space="preserve">Legge til rette for konkurranse, utbygging og utvikling av tjenester </w:t>
      </w:r>
    </w:p>
    <w:p w:rsidR="00557A6F" w:rsidRDefault="00557A6F" w:rsidP="00557A6F">
      <w:r>
        <w:t>I det norske ekommarkedet var totalomsetningen om lag 33,9 mrd. kroner i 2018, en økning på 270 mill. kroner fra 2017. Tilbyderne investerte mer enn 9,4 mrd. kroner i elektroniske kommun</w:t>
      </w:r>
      <w:r>
        <w:t>i</w:t>
      </w:r>
      <w:r>
        <w:t>kasjonstjenester og utbygging av tilhørende infrastruktur i 2018. Det er en liten nedgang samme</w:t>
      </w:r>
      <w:r>
        <w:t>n</w:t>
      </w:r>
      <w:r>
        <w:t>lignet med 2017, men utgjorde fortsatt 28 pst. av samlet omsetning. Det er derfor ikke noe som tyder på mindre vilje i markedet til å satse. Investeringenes andel av den samlede omsetningen er blant de aller høyeste i Europa. Nøkke</w:t>
      </w:r>
      <w:r>
        <w:t>l</w:t>
      </w:r>
      <w:r>
        <w:t>tall for investeringer går fram av tabellen under.</w:t>
      </w:r>
    </w:p>
    <w:p w:rsidR="007F3140" w:rsidRDefault="007F3140" w:rsidP="007F3140">
      <w:pPr>
        <w:pStyle w:val="tabell-tittel"/>
      </w:pPr>
      <w:r>
        <w:t>Investeringer i ekomtjenester og -nett i 2018</w:t>
      </w:r>
    </w:p>
    <w:p w:rsidR="00557A6F" w:rsidRDefault="00557A6F" w:rsidP="00557A6F">
      <w:pPr>
        <w:pStyle w:val="Tabellnavn"/>
      </w:pPr>
      <w:r>
        <w:t>07J2xt2</w:t>
      </w:r>
    </w:p>
    <w:tbl>
      <w:tblPr>
        <w:tblStyle w:val="StandardTabell"/>
        <w:tblW w:w="9200" w:type="dxa"/>
        <w:tblLayout w:type="fixed"/>
        <w:tblLook w:val="04A0" w:firstRow="1" w:lastRow="0" w:firstColumn="1" w:lastColumn="0" w:noHBand="0" w:noVBand="1"/>
      </w:tblPr>
      <w:tblGrid>
        <w:gridCol w:w="3680"/>
        <w:gridCol w:w="920"/>
        <w:gridCol w:w="920"/>
        <w:gridCol w:w="920"/>
        <w:gridCol w:w="920"/>
        <w:gridCol w:w="920"/>
        <w:gridCol w:w="920"/>
      </w:tblGrid>
      <w:tr w:rsidR="00557A6F" w:rsidTr="007F3140">
        <w:trPr>
          <w:trHeight w:val="360"/>
        </w:trPr>
        <w:tc>
          <w:tcPr>
            <w:tcW w:w="3680" w:type="dxa"/>
            <w:shd w:val="clear" w:color="auto" w:fill="FFFFFF"/>
          </w:tcPr>
          <w:p w:rsidR="00557A6F" w:rsidRDefault="00557A6F" w:rsidP="007F3140"/>
        </w:tc>
        <w:tc>
          <w:tcPr>
            <w:tcW w:w="920" w:type="dxa"/>
          </w:tcPr>
          <w:p w:rsidR="00557A6F" w:rsidRDefault="00557A6F" w:rsidP="007F3140">
            <w:pPr>
              <w:jc w:val="right"/>
            </w:pPr>
          </w:p>
        </w:tc>
        <w:tc>
          <w:tcPr>
            <w:tcW w:w="920" w:type="dxa"/>
          </w:tcPr>
          <w:p w:rsidR="00557A6F" w:rsidRDefault="00557A6F" w:rsidP="007F3140">
            <w:pPr>
              <w:jc w:val="right"/>
            </w:pPr>
          </w:p>
        </w:tc>
        <w:tc>
          <w:tcPr>
            <w:tcW w:w="920" w:type="dxa"/>
          </w:tcPr>
          <w:p w:rsidR="00557A6F" w:rsidRDefault="00557A6F" w:rsidP="007F3140">
            <w:pPr>
              <w:jc w:val="right"/>
            </w:pPr>
          </w:p>
        </w:tc>
        <w:tc>
          <w:tcPr>
            <w:tcW w:w="920" w:type="dxa"/>
          </w:tcPr>
          <w:p w:rsidR="00557A6F" w:rsidRDefault="00557A6F" w:rsidP="007F3140">
            <w:pPr>
              <w:jc w:val="right"/>
            </w:pPr>
          </w:p>
        </w:tc>
        <w:tc>
          <w:tcPr>
            <w:tcW w:w="920" w:type="dxa"/>
          </w:tcPr>
          <w:p w:rsidR="00557A6F" w:rsidRDefault="00557A6F" w:rsidP="007F3140">
            <w:pPr>
              <w:jc w:val="right"/>
            </w:pPr>
          </w:p>
        </w:tc>
        <w:tc>
          <w:tcPr>
            <w:tcW w:w="920" w:type="dxa"/>
          </w:tcPr>
          <w:p w:rsidR="00557A6F" w:rsidRDefault="00557A6F" w:rsidP="007F3140">
            <w:pPr>
              <w:jc w:val="right"/>
            </w:pPr>
            <w:r>
              <w:t>Mill. kr</w:t>
            </w:r>
          </w:p>
        </w:tc>
      </w:tr>
      <w:tr w:rsidR="00557A6F" w:rsidTr="007F3140">
        <w:trPr>
          <w:trHeight w:val="600"/>
        </w:trPr>
        <w:tc>
          <w:tcPr>
            <w:tcW w:w="3680" w:type="dxa"/>
          </w:tcPr>
          <w:p w:rsidR="00557A6F" w:rsidRDefault="00557A6F" w:rsidP="007F3140"/>
        </w:tc>
        <w:tc>
          <w:tcPr>
            <w:tcW w:w="920" w:type="dxa"/>
          </w:tcPr>
          <w:p w:rsidR="00557A6F" w:rsidRDefault="00557A6F" w:rsidP="007F3140">
            <w:pPr>
              <w:jc w:val="right"/>
            </w:pPr>
            <w:r>
              <w:t>2014</w:t>
            </w:r>
          </w:p>
        </w:tc>
        <w:tc>
          <w:tcPr>
            <w:tcW w:w="920" w:type="dxa"/>
          </w:tcPr>
          <w:p w:rsidR="00557A6F" w:rsidRDefault="00557A6F" w:rsidP="007F3140">
            <w:pPr>
              <w:jc w:val="right"/>
            </w:pPr>
            <w:r>
              <w:t>2015</w:t>
            </w:r>
          </w:p>
        </w:tc>
        <w:tc>
          <w:tcPr>
            <w:tcW w:w="920" w:type="dxa"/>
          </w:tcPr>
          <w:p w:rsidR="00557A6F" w:rsidRDefault="00557A6F" w:rsidP="007F3140">
            <w:pPr>
              <w:jc w:val="right"/>
            </w:pPr>
            <w:r>
              <w:t>2016</w:t>
            </w:r>
          </w:p>
        </w:tc>
        <w:tc>
          <w:tcPr>
            <w:tcW w:w="920" w:type="dxa"/>
          </w:tcPr>
          <w:p w:rsidR="00557A6F" w:rsidRDefault="00557A6F" w:rsidP="007F3140">
            <w:pPr>
              <w:jc w:val="right"/>
            </w:pPr>
            <w:r>
              <w:t>2017</w:t>
            </w:r>
          </w:p>
        </w:tc>
        <w:tc>
          <w:tcPr>
            <w:tcW w:w="920" w:type="dxa"/>
          </w:tcPr>
          <w:p w:rsidR="00557A6F" w:rsidRDefault="00557A6F" w:rsidP="007F3140">
            <w:pPr>
              <w:jc w:val="right"/>
            </w:pPr>
            <w:r>
              <w:t>2018</w:t>
            </w:r>
          </w:p>
        </w:tc>
        <w:tc>
          <w:tcPr>
            <w:tcW w:w="920" w:type="dxa"/>
          </w:tcPr>
          <w:p w:rsidR="00557A6F" w:rsidRDefault="00557A6F" w:rsidP="007F3140">
            <w:pPr>
              <w:jc w:val="right"/>
            </w:pPr>
            <w:r>
              <w:t>En</w:t>
            </w:r>
            <w:r>
              <w:t>d</w:t>
            </w:r>
            <w:r>
              <w:t>ring 2017–18</w:t>
            </w:r>
          </w:p>
        </w:tc>
      </w:tr>
      <w:tr w:rsidR="00557A6F" w:rsidTr="007F3140">
        <w:trPr>
          <w:trHeight w:val="380"/>
        </w:trPr>
        <w:tc>
          <w:tcPr>
            <w:tcW w:w="3680" w:type="dxa"/>
          </w:tcPr>
          <w:p w:rsidR="00557A6F" w:rsidRDefault="00557A6F" w:rsidP="007F3140">
            <w:r>
              <w:t>Fastnett</w:t>
            </w:r>
          </w:p>
        </w:tc>
        <w:tc>
          <w:tcPr>
            <w:tcW w:w="920" w:type="dxa"/>
          </w:tcPr>
          <w:p w:rsidR="00557A6F" w:rsidRDefault="00557A6F" w:rsidP="007F3140">
            <w:pPr>
              <w:jc w:val="right"/>
            </w:pPr>
            <w:r>
              <w:t>4 108</w:t>
            </w:r>
          </w:p>
        </w:tc>
        <w:tc>
          <w:tcPr>
            <w:tcW w:w="920" w:type="dxa"/>
          </w:tcPr>
          <w:p w:rsidR="00557A6F" w:rsidRDefault="00557A6F" w:rsidP="007F3140">
            <w:pPr>
              <w:jc w:val="right"/>
            </w:pPr>
            <w:r>
              <w:t>4 723</w:t>
            </w:r>
          </w:p>
        </w:tc>
        <w:tc>
          <w:tcPr>
            <w:tcW w:w="920" w:type="dxa"/>
          </w:tcPr>
          <w:p w:rsidR="00557A6F" w:rsidRDefault="00557A6F" w:rsidP="007F3140">
            <w:pPr>
              <w:jc w:val="right"/>
            </w:pPr>
            <w:r>
              <w:t>5 886</w:t>
            </w:r>
          </w:p>
        </w:tc>
        <w:tc>
          <w:tcPr>
            <w:tcW w:w="920" w:type="dxa"/>
          </w:tcPr>
          <w:p w:rsidR="00557A6F" w:rsidRDefault="00557A6F" w:rsidP="007F3140">
            <w:pPr>
              <w:jc w:val="right"/>
            </w:pPr>
            <w:r>
              <w:t>5 959</w:t>
            </w:r>
          </w:p>
        </w:tc>
        <w:tc>
          <w:tcPr>
            <w:tcW w:w="920" w:type="dxa"/>
          </w:tcPr>
          <w:p w:rsidR="00557A6F" w:rsidRDefault="00557A6F" w:rsidP="007F3140">
            <w:pPr>
              <w:jc w:val="right"/>
            </w:pPr>
            <w:r>
              <w:t>5 665</w:t>
            </w:r>
          </w:p>
        </w:tc>
        <w:tc>
          <w:tcPr>
            <w:tcW w:w="920" w:type="dxa"/>
          </w:tcPr>
          <w:p w:rsidR="00557A6F" w:rsidRDefault="00557A6F" w:rsidP="007F3140">
            <w:pPr>
              <w:jc w:val="right"/>
            </w:pPr>
            <w:r>
              <w:t>-294</w:t>
            </w:r>
          </w:p>
        </w:tc>
      </w:tr>
      <w:tr w:rsidR="00557A6F" w:rsidTr="007F3140">
        <w:trPr>
          <w:trHeight w:val="380"/>
        </w:trPr>
        <w:tc>
          <w:tcPr>
            <w:tcW w:w="3680" w:type="dxa"/>
          </w:tcPr>
          <w:p w:rsidR="00557A6F" w:rsidRDefault="00557A6F" w:rsidP="007F3140">
            <w:r>
              <w:t> </w:t>
            </w:r>
            <w:r>
              <w:rPr>
                <w:rStyle w:val="kursiv"/>
                <w:sz w:val="21"/>
                <w:szCs w:val="21"/>
              </w:rPr>
              <w:t>Fiber isolert</w:t>
            </w:r>
          </w:p>
        </w:tc>
        <w:tc>
          <w:tcPr>
            <w:tcW w:w="920" w:type="dxa"/>
          </w:tcPr>
          <w:p w:rsidR="00557A6F" w:rsidRDefault="00557A6F" w:rsidP="007F3140">
            <w:pPr>
              <w:jc w:val="right"/>
            </w:pPr>
            <w:r>
              <w:t>2 535</w:t>
            </w:r>
          </w:p>
        </w:tc>
        <w:tc>
          <w:tcPr>
            <w:tcW w:w="920" w:type="dxa"/>
          </w:tcPr>
          <w:p w:rsidR="00557A6F" w:rsidRDefault="00557A6F" w:rsidP="007F3140">
            <w:pPr>
              <w:jc w:val="right"/>
            </w:pPr>
            <w:r>
              <w:t>3 015</w:t>
            </w:r>
          </w:p>
        </w:tc>
        <w:tc>
          <w:tcPr>
            <w:tcW w:w="920" w:type="dxa"/>
          </w:tcPr>
          <w:p w:rsidR="00557A6F" w:rsidRDefault="00557A6F" w:rsidP="007F3140">
            <w:pPr>
              <w:jc w:val="right"/>
            </w:pPr>
            <w:r>
              <w:t>3 972</w:t>
            </w:r>
          </w:p>
        </w:tc>
        <w:tc>
          <w:tcPr>
            <w:tcW w:w="920" w:type="dxa"/>
          </w:tcPr>
          <w:p w:rsidR="00557A6F" w:rsidRDefault="00557A6F" w:rsidP="007F3140">
            <w:pPr>
              <w:jc w:val="right"/>
            </w:pPr>
            <w:r>
              <w:t>4 607</w:t>
            </w:r>
          </w:p>
        </w:tc>
        <w:tc>
          <w:tcPr>
            <w:tcW w:w="920" w:type="dxa"/>
          </w:tcPr>
          <w:p w:rsidR="00557A6F" w:rsidRDefault="00557A6F" w:rsidP="007F3140">
            <w:pPr>
              <w:jc w:val="right"/>
            </w:pPr>
            <w:r>
              <w:t>4 161</w:t>
            </w:r>
          </w:p>
        </w:tc>
        <w:tc>
          <w:tcPr>
            <w:tcW w:w="920" w:type="dxa"/>
          </w:tcPr>
          <w:p w:rsidR="00557A6F" w:rsidRDefault="00557A6F" w:rsidP="007F3140">
            <w:pPr>
              <w:jc w:val="right"/>
            </w:pPr>
            <w:r>
              <w:t>-446</w:t>
            </w:r>
          </w:p>
        </w:tc>
      </w:tr>
      <w:tr w:rsidR="00557A6F" w:rsidTr="007F3140">
        <w:trPr>
          <w:trHeight w:val="380"/>
        </w:trPr>
        <w:tc>
          <w:tcPr>
            <w:tcW w:w="3680" w:type="dxa"/>
          </w:tcPr>
          <w:p w:rsidR="00557A6F" w:rsidRDefault="00557A6F" w:rsidP="007F3140">
            <w:r>
              <w:t>Mobilnett</w:t>
            </w:r>
          </w:p>
        </w:tc>
        <w:tc>
          <w:tcPr>
            <w:tcW w:w="920" w:type="dxa"/>
          </w:tcPr>
          <w:p w:rsidR="00557A6F" w:rsidRDefault="00557A6F" w:rsidP="007F3140">
            <w:pPr>
              <w:jc w:val="right"/>
            </w:pPr>
            <w:r>
              <w:t>2 553</w:t>
            </w:r>
          </w:p>
        </w:tc>
        <w:tc>
          <w:tcPr>
            <w:tcW w:w="920" w:type="dxa"/>
          </w:tcPr>
          <w:p w:rsidR="00557A6F" w:rsidRDefault="00557A6F" w:rsidP="007F3140">
            <w:pPr>
              <w:jc w:val="right"/>
            </w:pPr>
            <w:r>
              <w:t>2 434</w:t>
            </w:r>
          </w:p>
        </w:tc>
        <w:tc>
          <w:tcPr>
            <w:tcW w:w="920" w:type="dxa"/>
          </w:tcPr>
          <w:p w:rsidR="00557A6F" w:rsidRDefault="00557A6F" w:rsidP="007F3140">
            <w:pPr>
              <w:jc w:val="right"/>
            </w:pPr>
            <w:r>
              <w:t>2 934</w:t>
            </w:r>
          </w:p>
        </w:tc>
        <w:tc>
          <w:tcPr>
            <w:tcW w:w="920" w:type="dxa"/>
          </w:tcPr>
          <w:p w:rsidR="00557A6F" w:rsidRDefault="00557A6F" w:rsidP="007F3140">
            <w:pPr>
              <w:jc w:val="right"/>
            </w:pPr>
            <w:r>
              <w:t>2 419</w:t>
            </w:r>
          </w:p>
        </w:tc>
        <w:tc>
          <w:tcPr>
            <w:tcW w:w="920" w:type="dxa"/>
          </w:tcPr>
          <w:p w:rsidR="00557A6F" w:rsidRDefault="00557A6F" w:rsidP="007F3140">
            <w:pPr>
              <w:jc w:val="right"/>
            </w:pPr>
            <w:r>
              <w:t>1 904</w:t>
            </w:r>
          </w:p>
        </w:tc>
        <w:tc>
          <w:tcPr>
            <w:tcW w:w="920" w:type="dxa"/>
          </w:tcPr>
          <w:p w:rsidR="00557A6F" w:rsidRDefault="00557A6F" w:rsidP="007F3140">
            <w:pPr>
              <w:jc w:val="right"/>
            </w:pPr>
            <w:r>
              <w:t>-515</w:t>
            </w:r>
          </w:p>
        </w:tc>
      </w:tr>
      <w:tr w:rsidR="00557A6F" w:rsidTr="007F3140">
        <w:trPr>
          <w:trHeight w:val="380"/>
        </w:trPr>
        <w:tc>
          <w:tcPr>
            <w:tcW w:w="3680" w:type="dxa"/>
          </w:tcPr>
          <w:p w:rsidR="00557A6F" w:rsidRDefault="00557A6F" w:rsidP="007F3140">
            <w:r>
              <w:t> </w:t>
            </w:r>
            <w:r>
              <w:rPr>
                <w:rStyle w:val="kursiv"/>
                <w:sz w:val="21"/>
                <w:szCs w:val="21"/>
              </w:rPr>
              <w:t>LTE isolert</w:t>
            </w:r>
          </w:p>
        </w:tc>
        <w:tc>
          <w:tcPr>
            <w:tcW w:w="920" w:type="dxa"/>
          </w:tcPr>
          <w:p w:rsidR="00557A6F" w:rsidRDefault="00557A6F" w:rsidP="007F3140">
            <w:pPr>
              <w:jc w:val="right"/>
            </w:pPr>
            <w:r>
              <w:t>1 434</w:t>
            </w:r>
          </w:p>
        </w:tc>
        <w:tc>
          <w:tcPr>
            <w:tcW w:w="920" w:type="dxa"/>
          </w:tcPr>
          <w:p w:rsidR="00557A6F" w:rsidRDefault="00557A6F" w:rsidP="007F3140">
            <w:pPr>
              <w:jc w:val="right"/>
            </w:pPr>
            <w:r>
              <w:t>2 069</w:t>
            </w:r>
          </w:p>
        </w:tc>
        <w:tc>
          <w:tcPr>
            <w:tcW w:w="920" w:type="dxa"/>
          </w:tcPr>
          <w:p w:rsidR="00557A6F" w:rsidRDefault="00557A6F" w:rsidP="007F3140">
            <w:pPr>
              <w:jc w:val="right"/>
            </w:pPr>
            <w:r>
              <w:t>1 882</w:t>
            </w:r>
          </w:p>
        </w:tc>
        <w:tc>
          <w:tcPr>
            <w:tcW w:w="920" w:type="dxa"/>
          </w:tcPr>
          <w:p w:rsidR="00557A6F" w:rsidRDefault="00557A6F" w:rsidP="007F3140">
            <w:pPr>
              <w:jc w:val="right"/>
            </w:pPr>
            <w:r>
              <w:t>1 656</w:t>
            </w:r>
          </w:p>
        </w:tc>
        <w:tc>
          <w:tcPr>
            <w:tcW w:w="920" w:type="dxa"/>
          </w:tcPr>
          <w:p w:rsidR="00557A6F" w:rsidRDefault="00557A6F" w:rsidP="007F3140">
            <w:pPr>
              <w:jc w:val="right"/>
            </w:pPr>
            <w:r>
              <w:t>1 356</w:t>
            </w:r>
          </w:p>
        </w:tc>
        <w:tc>
          <w:tcPr>
            <w:tcW w:w="920" w:type="dxa"/>
          </w:tcPr>
          <w:p w:rsidR="00557A6F" w:rsidRDefault="00557A6F" w:rsidP="007F3140">
            <w:pPr>
              <w:jc w:val="right"/>
            </w:pPr>
            <w:r>
              <w:t>-300</w:t>
            </w:r>
          </w:p>
        </w:tc>
      </w:tr>
      <w:tr w:rsidR="00557A6F" w:rsidTr="007F3140">
        <w:trPr>
          <w:trHeight w:val="380"/>
        </w:trPr>
        <w:tc>
          <w:tcPr>
            <w:tcW w:w="3680" w:type="dxa"/>
          </w:tcPr>
          <w:p w:rsidR="00557A6F" w:rsidRDefault="00557A6F" w:rsidP="007F3140">
            <w:r>
              <w:t>Øvrige varige driftsmidler</w:t>
            </w:r>
          </w:p>
        </w:tc>
        <w:tc>
          <w:tcPr>
            <w:tcW w:w="920" w:type="dxa"/>
          </w:tcPr>
          <w:p w:rsidR="00557A6F" w:rsidRDefault="00557A6F" w:rsidP="007F3140">
            <w:pPr>
              <w:jc w:val="right"/>
            </w:pPr>
            <w:r>
              <w:t>1 175</w:t>
            </w:r>
          </w:p>
        </w:tc>
        <w:tc>
          <w:tcPr>
            <w:tcW w:w="920" w:type="dxa"/>
          </w:tcPr>
          <w:p w:rsidR="00557A6F" w:rsidRDefault="00557A6F" w:rsidP="007F3140">
            <w:pPr>
              <w:jc w:val="right"/>
            </w:pPr>
            <w:r>
              <w:t>1 736</w:t>
            </w:r>
          </w:p>
        </w:tc>
        <w:tc>
          <w:tcPr>
            <w:tcW w:w="920" w:type="dxa"/>
          </w:tcPr>
          <w:p w:rsidR="00557A6F" w:rsidRDefault="00557A6F" w:rsidP="007F3140">
            <w:pPr>
              <w:jc w:val="right"/>
            </w:pPr>
            <w:r>
              <w:t>1 423</w:t>
            </w:r>
          </w:p>
        </w:tc>
        <w:tc>
          <w:tcPr>
            <w:tcW w:w="920" w:type="dxa"/>
          </w:tcPr>
          <w:p w:rsidR="00557A6F" w:rsidRDefault="00557A6F" w:rsidP="007F3140">
            <w:pPr>
              <w:jc w:val="right"/>
            </w:pPr>
            <w:r>
              <w:t>1 367</w:t>
            </w:r>
          </w:p>
        </w:tc>
        <w:tc>
          <w:tcPr>
            <w:tcW w:w="920" w:type="dxa"/>
          </w:tcPr>
          <w:p w:rsidR="00557A6F" w:rsidRDefault="00557A6F" w:rsidP="007F3140">
            <w:pPr>
              <w:jc w:val="right"/>
            </w:pPr>
            <w:r>
              <w:t>1 864</w:t>
            </w:r>
          </w:p>
        </w:tc>
        <w:tc>
          <w:tcPr>
            <w:tcW w:w="920" w:type="dxa"/>
          </w:tcPr>
          <w:p w:rsidR="00557A6F" w:rsidRDefault="00557A6F" w:rsidP="007F3140">
            <w:pPr>
              <w:jc w:val="right"/>
            </w:pPr>
            <w:r>
              <w:t>498</w:t>
            </w:r>
          </w:p>
        </w:tc>
      </w:tr>
      <w:tr w:rsidR="00557A6F" w:rsidTr="007F3140">
        <w:trPr>
          <w:trHeight w:val="640"/>
        </w:trPr>
        <w:tc>
          <w:tcPr>
            <w:tcW w:w="3680" w:type="dxa"/>
          </w:tcPr>
          <w:p w:rsidR="00557A6F" w:rsidRDefault="00557A6F" w:rsidP="007F3140">
            <w:r>
              <w:t>Sum (pst. av sluttbrukero</w:t>
            </w:r>
            <w:r>
              <w:t>m</w:t>
            </w:r>
            <w:r>
              <w:t>setning)</w:t>
            </w:r>
          </w:p>
        </w:tc>
        <w:tc>
          <w:tcPr>
            <w:tcW w:w="920" w:type="dxa"/>
          </w:tcPr>
          <w:p w:rsidR="00557A6F" w:rsidRDefault="00557A6F" w:rsidP="007F3140">
            <w:pPr>
              <w:jc w:val="right"/>
            </w:pPr>
            <w:r>
              <w:t>7 835 (24)</w:t>
            </w:r>
          </w:p>
        </w:tc>
        <w:tc>
          <w:tcPr>
            <w:tcW w:w="920" w:type="dxa"/>
          </w:tcPr>
          <w:p w:rsidR="00557A6F" w:rsidRDefault="00557A6F" w:rsidP="007F3140">
            <w:pPr>
              <w:jc w:val="right"/>
            </w:pPr>
            <w:r>
              <w:t>8 893 (26)</w:t>
            </w:r>
          </w:p>
        </w:tc>
        <w:tc>
          <w:tcPr>
            <w:tcW w:w="920" w:type="dxa"/>
          </w:tcPr>
          <w:p w:rsidR="00557A6F" w:rsidRDefault="00557A6F" w:rsidP="007F3140">
            <w:pPr>
              <w:jc w:val="right"/>
            </w:pPr>
            <w:r>
              <w:t>10 243 (30)</w:t>
            </w:r>
          </w:p>
        </w:tc>
        <w:tc>
          <w:tcPr>
            <w:tcW w:w="920" w:type="dxa"/>
          </w:tcPr>
          <w:p w:rsidR="00557A6F" w:rsidRDefault="00557A6F" w:rsidP="007F3140">
            <w:pPr>
              <w:jc w:val="right"/>
            </w:pPr>
            <w:r>
              <w:t>9 745 (28)</w:t>
            </w:r>
          </w:p>
        </w:tc>
        <w:tc>
          <w:tcPr>
            <w:tcW w:w="920" w:type="dxa"/>
          </w:tcPr>
          <w:p w:rsidR="00557A6F" w:rsidRDefault="00557A6F" w:rsidP="007F3140">
            <w:pPr>
              <w:jc w:val="right"/>
            </w:pPr>
            <w:r>
              <w:t>9 434 (28)</w:t>
            </w:r>
          </w:p>
        </w:tc>
        <w:tc>
          <w:tcPr>
            <w:tcW w:w="920" w:type="dxa"/>
          </w:tcPr>
          <w:p w:rsidR="00557A6F" w:rsidRDefault="00557A6F" w:rsidP="007F3140">
            <w:pPr>
              <w:jc w:val="right"/>
            </w:pPr>
            <w:r>
              <w:t>-311</w:t>
            </w:r>
          </w:p>
        </w:tc>
      </w:tr>
      <w:tr w:rsidR="00557A6F" w:rsidTr="007F3140">
        <w:trPr>
          <w:trHeight w:val="380"/>
        </w:trPr>
        <w:tc>
          <w:tcPr>
            <w:tcW w:w="3680" w:type="dxa"/>
          </w:tcPr>
          <w:p w:rsidR="00557A6F" w:rsidRDefault="00557A6F" w:rsidP="007F3140">
            <w:r>
              <w:t>Auksjonsproveny frekve</w:t>
            </w:r>
            <w:r>
              <w:t>n</w:t>
            </w:r>
            <w:r>
              <w:t>ser</w:t>
            </w:r>
          </w:p>
        </w:tc>
        <w:tc>
          <w:tcPr>
            <w:tcW w:w="920" w:type="dxa"/>
          </w:tcPr>
          <w:p w:rsidR="00557A6F" w:rsidRDefault="00557A6F" w:rsidP="007F3140">
            <w:pPr>
              <w:jc w:val="right"/>
            </w:pPr>
            <w:r>
              <w:t>16</w:t>
            </w:r>
          </w:p>
        </w:tc>
        <w:tc>
          <w:tcPr>
            <w:tcW w:w="920" w:type="dxa"/>
          </w:tcPr>
          <w:p w:rsidR="00557A6F" w:rsidRDefault="00557A6F" w:rsidP="007F3140">
            <w:pPr>
              <w:jc w:val="right"/>
            </w:pPr>
            <w:r>
              <w:t>878</w:t>
            </w:r>
          </w:p>
        </w:tc>
        <w:tc>
          <w:tcPr>
            <w:tcW w:w="920" w:type="dxa"/>
          </w:tcPr>
          <w:p w:rsidR="00557A6F" w:rsidRDefault="00557A6F" w:rsidP="007F3140">
            <w:pPr>
              <w:jc w:val="right"/>
            </w:pPr>
            <w:r>
              <w:t>0</w:t>
            </w:r>
          </w:p>
        </w:tc>
        <w:tc>
          <w:tcPr>
            <w:tcW w:w="920" w:type="dxa"/>
          </w:tcPr>
          <w:p w:rsidR="00557A6F" w:rsidRDefault="00557A6F" w:rsidP="007F3140">
            <w:pPr>
              <w:jc w:val="right"/>
            </w:pPr>
            <w:r>
              <w:t>790</w:t>
            </w:r>
          </w:p>
        </w:tc>
        <w:tc>
          <w:tcPr>
            <w:tcW w:w="920" w:type="dxa"/>
          </w:tcPr>
          <w:p w:rsidR="00557A6F" w:rsidRDefault="00557A6F" w:rsidP="007F3140">
            <w:pPr>
              <w:jc w:val="right"/>
            </w:pPr>
            <w:r>
              <w:t>0</w:t>
            </w:r>
          </w:p>
        </w:tc>
        <w:tc>
          <w:tcPr>
            <w:tcW w:w="920" w:type="dxa"/>
          </w:tcPr>
          <w:p w:rsidR="00557A6F" w:rsidRDefault="00557A6F" w:rsidP="007F3140">
            <w:pPr>
              <w:jc w:val="right"/>
            </w:pPr>
          </w:p>
        </w:tc>
      </w:tr>
    </w:tbl>
    <w:p w:rsidR="00557A6F" w:rsidRDefault="00557A6F" w:rsidP="00557A6F">
      <w:r>
        <w:t>I 2018 var om lag 91 pst. av den totale taletrafikken i norske nett fra mobiltelefon, mot 89 pst. i 2017. Mobilnettene brukes også i svært stor grad til oppkobling mot internett. Den totale dat</w:t>
      </w:r>
      <w:r>
        <w:t>a</w:t>
      </w:r>
      <w:r>
        <w:t xml:space="preserve">trafikken i mobilnett økte med over 26 pst. fra 2017 til 2018, fra om lag 236 millioner gigabyte til om lag 298 millioner gigabyte. </w:t>
      </w:r>
    </w:p>
    <w:p w:rsidR="00557A6F" w:rsidRDefault="00557A6F" w:rsidP="00557A6F">
      <w:r>
        <w:t>Mobilkundene kjøper nå i stor grad pakker der data prises og der tjenester som tale og melding</w:t>
      </w:r>
      <w:r>
        <w:t>s</w:t>
      </w:r>
      <w:r>
        <w:t>tjenester inngår. Dedikerte dataabonnement gjelder i dag stort sett m</w:t>
      </w:r>
      <w:r>
        <w:t>a</w:t>
      </w:r>
      <w:r>
        <w:t>skin-til-maskin-kommunikasjon (hytteovner, alarmsystemer og lignende). Basert på trenden de siste to årene ventes det at antall mobilabonnement totalt vil flate ut. Ved u</w:t>
      </w:r>
      <w:r>
        <w:t>t</w:t>
      </w:r>
      <w:r>
        <w:t>gangen av 2018 var det 5,72 millioner mobilabonnement, uendret fra 2017.</w:t>
      </w:r>
    </w:p>
    <w:p w:rsidR="00557A6F" w:rsidRDefault="00557A6F" w:rsidP="00557A6F">
      <w:r>
        <w:t>I Norge er det gitt tillatelser for etablering og drift av flere systemer for offentlig mobilkommun</w:t>
      </w:r>
      <w:r>
        <w:t>i</w:t>
      </w:r>
      <w:r>
        <w:t>kasjon og mobilt bredbånd. De vanligste teknologiene er GSM (2G), UMTS (3G) og LTE (4G). Neste gener</w:t>
      </w:r>
      <w:r>
        <w:t>a</w:t>
      </w:r>
      <w:r>
        <w:t xml:space="preserve">sjons mobilnett (5G) er under utvikling, og det pågår utprøving og introduksjon av denne teknologien i utvalgte byer i Norge. Både Telia og Telenor har gjennomført 5G-testing i 2018 og 2019. Telenor har valgt </w:t>
      </w:r>
      <w:r>
        <w:lastRenderedPageBreak/>
        <w:t>ut Trondheim som første by for lansering av et kommersielt 5G-nett. Dette vil åpne i løpet av høsten 2019. I 2019 begynte også Telia og Telenor slukkingen av sine 3G-nett med sikte på utfasing i løpet av 2020. På lengre sikt vil også GSM-teknologien (2G) gradvis fases ut. Dekningsgraden for de ulike mobilnettene går fram av tabellen under.</w:t>
      </w:r>
    </w:p>
    <w:p w:rsidR="007F3140" w:rsidRDefault="007F3140" w:rsidP="007F3140">
      <w:pPr>
        <w:pStyle w:val="tabell-tittel"/>
      </w:pPr>
      <w:r>
        <w:t>Dekningsgrad etter type nett per første halvår 2019</w:t>
      </w:r>
    </w:p>
    <w:p w:rsidR="00557A6F" w:rsidRDefault="00557A6F" w:rsidP="00557A6F">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557A6F" w:rsidTr="007F3140">
        <w:trPr>
          <w:trHeight w:val="860"/>
        </w:trPr>
        <w:tc>
          <w:tcPr>
            <w:tcW w:w="6080" w:type="dxa"/>
            <w:shd w:val="clear" w:color="auto" w:fill="FFFFFF"/>
          </w:tcPr>
          <w:p w:rsidR="00557A6F" w:rsidRDefault="00557A6F" w:rsidP="007F3140">
            <w:r>
              <w:t>Nett</w:t>
            </w:r>
          </w:p>
        </w:tc>
        <w:tc>
          <w:tcPr>
            <w:tcW w:w="1520" w:type="dxa"/>
          </w:tcPr>
          <w:p w:rsidR="00557A6F" w:rsidRDefault="00557A6F" w:rsidP="007F3140">
            <w:pPr>
              <w:jc w:val="right"/>
            </w:pPr>
            <w:r>
              <w:t>Dekning der</w:t>
            </w:r>
            <w:r>
              <w:br/>
              <w:t xml:space="preserve"> folk bor i pst.</w:t>
            </w:r>
            <w:r>
              <w:br/>
              <w:t xml:space="preserve"> av hussta</w:t>
            </w:r>
            <w:r>
              <w:t>n</w:t>
            </w:r>
            <w:r>
              <w:t>dene</w:t>
            </w:r>
          </w:p>
        </w:tc>
        <w:tc>
          <w:tcPr>
            <w:tcW w:w="1520" w:type="dxa"/>
          </w:tcPr>
          <w:p w:rsidR="00557A6F" w:rsidRDefault="00557A6F" w:rsidP="007F3140">
            <w:pPr>
              <w:jc w:val="right"/>
            </w:pPr>
            <w:r>
              <w:t>Flatedekning</w:t>
            </w:r>
            <w:r>
              <w:br/>
              <w:t xml:space="preserve"> i pst. av </w:t>
            </w:r>
            <w:r>
              <w:br/>
              <w:t>landarealet</w:t>
            </w:r>
          </w:p>
        </w:tc>
      </w:tr>
      <w:tr w:rsidR="00557A6F" w:rsidTr="007F3140">
        <w:trPr>
          <w:trHeight w:val="380"/>
        </w:trPr>
        <w:tc>
          <w:tcPr>
            <w:tcW w:w="6080" w:type="dxa"/>
          </w:tcPr>
          <w:p w:rsidR="00557A6F" w:rsidRDefault="00557A6F" w:rsidP="007F3140">
            <w:r>
              <w:t>Mobil 2G (GSM)</w:t>
            </w:r>
          </w:p>
        </w:tc>
        <w:tc>
          <w:tcPr>
            <w:tcW w:w="1520" w:type="dxa"/>
          </w:tcPr>
          <w:p w:rsidR="00557A6F" w:rsidRDefault="00557A6F" w:rsidP="007F3140">
            <w:pPr>
              <w:jc w:val="right"/>
            </w:pPr>
            <w:r>
              <w:t>99,9</w:t>
            </w:r>
          </w:p>
        </w:tc>
        <w:tc>
          <w:tcPr>
            <w:tcW w:w="1520" w:type="dxa"/>
          </w:tcPr>
          <w:p w:rsidR="00557A6F" w:rsidRDefault="00557A6F" w:rsidP="007F3140">
            <w:pPr>
              <w:jc w:val="right"/>
            </w:pPr>
            <w:r>
              <w:t>90,8</w:t>
            </w:r>
          </w:p>
        </w:tc>
      </w:tr>
      <w:tr w:rsidR="00557A6F" w:rsidTr="007F3140">
        <w:trPr>
          <w:trHeight w:val="380"/>
        </w:trPr>
        <w:tc>
          <w:tcPr>
            <w:tcW w:w="6080" w:type="dxa"/>
          </w:tcPr>
          <w:p w:rsidR="00557A6F" w:rsidRDefault="00557A6F" w:rsidP="007F3140">
            <w:r>
              <w:t>3G (UMTS)</w:t>
            </w:r>
          </w:p>
        </w:tc>
        <w:tc>
          <w:tcPr>
            <w:tcW w:w="1520" w:type="dxa"/>
          </w:tcPr>
          <w:p w:rsidR="00557A6F" w:rsidRDefault="00557A6F" w:rsidP="007F3140">
            <w:pPr>
              <w:jc w:val="right"/>
            </w:pPr>
            <w:r>
              <w:t>97,2</w:t>
            </w:r>
          </w:p>
        </w:tc>
        <w:tc>
          <w:tcPr>
            <w:tcW w:w="1520" w:type="dxa"/>
          </w:tcPr>
          <w:p w:rsidR="00557A6F" w:rsidRDefault="00557A6F" w:rsidP="007F3140">
            <w:pPr>
              <w:jc w:val="right"/>
            </w:pPr>
            <w:r>
              <w:t>50,0</w:t>
            </w:r>
          </w:p>
        </w:tc>
      </w:tr>
      <w:tr w:rsidR="00557A6F" w:rsidTr="007F3140">
        <w:trPr>
          <w:trHeight w:val="380"/>
        </w:trPr>
        <w:tc>
          <w:tcPr>
            <w:tcW w:w="6080" w:type="dxa"/>
          </w:tcPr>
          <w:p w:rsidR="00557A6F" w:rsidRDefault="00557A6F" w:rsidP="007F3140">
            <w:r>
              <w:t>4G (LTE)</w:t>
            </w:r>
            <w:r>
              <w:rPr>
                <w:rStyle w:val="skrift-hevet"/>
                <w:sz w:val="21"/>
                <w:szCs w:val="21"/>
              </w:rPr>
              <w:t>1</w:t>
            </w:r>
          </w:p>
        </w:tc>
        <w:tc>
          <w:tcPr>
            <w:tcW w:w="1520" w:type="dxa"/>
          </w:tcPr>
          <w:p w:rsidR="00557A6F" w:rsidRDefault="00557A6F" w:rsidP="007F3140">
            <w:pPr>
              <w:jc w:val="right"/>
            </w:pPr>
            <w:r>
              <w:t>99,9</w:t>
            </w:r>
          </w:p>
        </w:tc>
        <w:tc>
          <w:tcPr>
            <w:tcW w:w="1520" w:type="dxa"/>
          </w:tcPr>
          <w:p w:rsidR="00557A6F" w:rsidRDefault="00557A6F" w:rsidP="007F3140">
            <w:pPr>
              <w:jc w:val="right"/>
            </w:pPr>
            <w:r>
              <w:t>82,8</w:t>
            </w:r>
          </w:p>
        </w:tc>
      </w:tr>
      <w:tr w:rsidR="00557A6F" w:rsidTr="007F3140">
        <w:trPr>
          <w:trHeight w:val="380"/>
        </w:trPr>
        <w:tc>
          <w:tcPr>
            <w:tcW w:w="6080" w:type="dxa"/>
          </w:tcPr>
          <w:p w:rsidR="00557A6F" w:rsidRPr="00557A6F" w:rsidRDefault="00557A6F" w:rsidP="007F3140">
            <w:pPr>
              <w:rPr>
                <w:lang w:val="en-US"/>
              </w:rPr>
            </w:pPr>
            <w:r w:rsidRPr="00557A6F">
              <w:rPr>
                <w:lang w:val="en-US"/>
              </w:rPr>
              <w:t>Bredbånd over 4 Mbit/s / 30 Mbit/s / 100 Mbit/s</w:t>
            </w:r>
            <w:r w:rsidRPr="00557A6F">
              <w:rPr>
                <w:rStyle w:val="skrift-hevet"/>
                <w:sz w:val="21"/>
                <w:szCs w:val="21"/>
                <w:lang w:val="en-US"/>
              </w:rPr>
              <w:t>2</w:t>
            </w:r>
          </w:p>
        </w:tc>
        <w:tc>
          <w:tcPr>
            <w:tcW w:w="1520" w:type="dxa"/>
          </w:tcPr>
          <w:p w:rsidR="00557A6F" w:rsidRDefault="00557A6F" w:rsidP="007F3140">
            <w:pPr>
              <w:jc w:val="right"/>
            </w:pPr>
            <w:r>
              <w:t>100 / 89 / 86</w:t>
            </w:r>
          </w:p>
        </w:tc>
        <w:tc>
          <w:tcPr>
            <w:tcW w:w="1520" w:type="dxa"/>
          </w:tcPr>
          <w:p w:rsidR="00557A6F" w:rsidRDefault="00557A6F" w:rsidP="007F3140">
            <w:pPr>
              <w:jc w:val="right"/>
            </w:pPr>
          </w:p>
        </w:tc>
      </w:tr>
    </w:tbl>
    <w:p w:rsidR="00557A6F" w:rsidRDefault="00557A6F" w:rsidP="00557A6F">
      <w:pPr>
        <w:pStyle w:val="tabell-noter"/>
        <w:rPr>
          <w:rStyle w:val="skrift-hevet"/>
          <w:sz w:val="24"/>
          <w:szCs w:val="24"/>
        </w:rPr>
      </w:pPr>
      <w:r>
        <w:rPr>
          <w:rStyle w:val="skrift-hevet"/>
          <w:sz w:val="17"/>
          <w:szCs w:val="17"/>
        </w:rPr>
        <w:t>1</w:t>
      </w:r>
      <w:r>
        <w:tab/>
        <w:t>Tallene for 4G-dekning er oppdaterte per 30. juni 2019.</w:t>
      </w:r>
    </w:p>
    <w:p w:rsidR="00557A6F" w:rsidRDefault="00557A6F" w:rsidP="00557A6F">
      <w:pPr>
        <w:pStyle w:val="tabell-noter"/>
        <w:rPr>
          <w:rFonts w:ascii="UniMyriad Regular" w:hAnsi="UniMyriad Regular" w:cs="UniMyriad Regular"/>
          <w:sz w:val="21"/>
          <w:szCs w:val="21"/>
        </w:rPr>
      </w:pPr>
      <w:r>
        <w:rPr>
          <w:rStyle w:val="skrift-hevet"/>
          <w:sz w:val="17"/>
          <w:szCs w:val="17"/>
        </w:rPr>
        <w:t>2</w:t>
      </w:r>
      <w:r>
        <w:tab/>
        <w:t>Tallene for bredbåndsdekning er hentet fra rapporten Bredbåndsdekning 2019, laget av Analysys Mason.</w:t>
      </w:r>
    </w:p>
    <w:p w:rsidR="00557A6F" w:rsidRDefault="00557A6F" w:rsidP="00557A6F">
      <w:r>
        <w:t>Tallene for flatedekning og befolkningsdekning er hentet fra teoretiske beregninger foretatt av N</w:t>
      </w:r>
      <w:r>
        <w:t>a</w:t>
      </w:r>
      <w:r>
        <w:t>sjonal kommunikasjonsmyndighet. Tallene for 2G har økt noe siden 2018 på grunn av at det noen steder har blitt etablert nye 2G-sendere i forbindelse med utbygging av nye 4G-sendere. Dekning</w:t>
      </w:r>
      <w:r>
        <w:t>s</w:t>
      </w:r>
      <w:r>
        <w:t>graden for 3G er redusert betydelig sammenlignet med første halvår 2018 ettersom tilbyderne har satt i gang et arbeid for å fase ut 3G-nettet, for å gi plass til satsing på 4G og 5G. 3G-dekningen forventes å forsvinne i løpet av et par år. Dekningstallet for 4G er den samlede dekningen for de tre mobilnettene til Telenor, Telia og Ice og inkluderer 450 MHz-båndet. Mobiltelefoner som br</w:t>
      </w:r>
      <w:r>
        <w:t>u</w:t>
      </w:r>
      <w:r>
        <w:t>ker 450 MHz-båndet er ikke ti</w:t>
      </w:r>
      <w:r>
        <w:t>l</w:t>
      </w:r>
      <w:r>
        <w:t>gjengelig. Flatedekningen uten bidraget fra 450 MHz-båndet er på 81,2 pst., mens befolkningsde</w:t>
      </w:r>
      <w:r>
        <w:t>k</w:t>
      </w:r>
      <w:r>
        <w:t>ningen uten bidraget fra 450 MHz-båndet er 99,9 pst.</w:t>
      </w:r>
    </w:p>
    <w:p w:rsidR="00557A6F" w:rsidRDefault="00557A6F" w:rsidP="00557A6F">
      <w:r>
        <w:t>Etterspørselen og konkurransen i markedet har bidratt til en utbygging som langt overgår utby</w:t>
      </w:r>
      <w:r>
        <w:t>g</w:t>
      </w:r>
      <w:r>
        <w:t>gingskravene som ble fastsatt ved nettetablering og i forbindelse med tildeling av enkelte fr</w:t>
      </w:r>
      <w:r>
        <w:t>e</w:t>
      </w:r>
      <w:r>
        <w:t>kvensressurser.</w:t>
      </w:r>
    </w:p>
    <w:p w:rsidR="00557A6F" w:rsidRDefault="00557A6F" w:rsidP="00557A6F">
      <w:r>
        <w:t>I dag har Telenor Norge AS, Telia Norge AS og ICE Norge AS frekvenstillatelser som gir grunnlag for utbygging av mobilnett. Mobilnettene oppgraderes stadig for å tilby nye og mer avanserte tj</w:t>
      </w:r>
      <w:r>
        <w:t>e</w:t>
      </w:r>
      <w:r>
        <w:t>nester, høyere dataoverf</w:t>
      </w:r>
      <w:r>
        <w:t>ø</w:t>
      </w:r>
      <w:r>
        <w:t>ringshastigheter og bedre dekning.</w:t>
      </w:r>
    </w:p>
    <w:p w:rsidR="00557A6F" w:rsidRDefault="00557A6F" w:rsidP="00557A6F">
      <w:r>
        <w:t>En av Nasjonal kommunikasjonsmyndighets oppgaver er å legge til rette for videre utvikling av tjenester og konkurranse i markedet for elektronisk kommunikasjon. Regjeringens mål om minst tre konkurrerende mobilnett står fast. Det legges til grunn at dette vil styrke konkurransen i mobi</w:t>
      </w:r>
      <w:r>
        <w:t>l</w:t>
      </w:r>
      <w:r>
        <w:t>markedet og bidra til mer konkurransedy</w:t>
      </w:r>
      <w:r>
        <w:t>k</w:t>
      </w:r>
      <w:r>
        <w:t xml:space="preserve">tige priser og innovative tjenester for sluttbrukere. </w:t>
      </w:r>
    </w:p>
    <w:p w:rsidR="00557A6F" w:rsidRDefault="00557A6F" w:rsidP="00557A6F">
      <w:r>
        <w:t>Nasjonal kommunikasjonsmyndighet skal i 2020 fortsatt følge opp markedsreguleringen gjennom analyser og vedtak i de ulike markedene. I dag analyserer Nasjonal kommunikasjonsmyndighet seks forhåndsdefinerte ma</w:t>
      </w:r>
      <w:r>
        <w:t>r</w:t>
      </w:r>
      <w:r>
        <w:t>keder. Etaten avgjør hvilke tilbydere som har sterk markedsstilling og pålegger de</w:t>
      </w:r>
      <w:r>
        <w:t>r</w:t>
      </w:r>
      <w:r>
        <w:t xml:space="preserve">etter virkemidler for å hindre at den sterke markedsstillingen misbrukes. Arbeidet er en kontinuerlig, ressurskrevende prosess og følges opp gjennom tilsyn og behandling av klagesaker. </w:t>
      </w:r>
    </w:p>
    <w:p w:rsidR="00557A6F" w:rsidRDefault="00557A6F" w:rsidP="00557A6F">
      <w:r>
        <w:t>EU vedtok 11. desember 2018 en ny regelverkspakke (European Electronic Communications Code (EECC)) til erstatning for EUs ekompakke som er gjennomført i ekomloven med forskrifter. Den nye reguleringen er EØS-relevant. Kommunal- og moderniseringsdepartementet og Nasjonal kommunikasjonsmyndighet har påbegynt arbeidet med å revidere ekomloven og tar sikte på et lo</w:t>
      </w:r>
      <w:r>
        <w:t>v</w:t>
      </w:r>
      <w:r>
        <w:t>fremlegg for Stor</w:t>
      </w:r>
      <w:r>
        <w:lastRenderedPageBreak/>
        <w:t>tinget i høstsesjonen 2020. EUs reviderte ekomregelverk trer i kraft for EUs me</w:t>
      </w:r>
      <w:r>
        <w:t>d</w:t>
      </w:r>
      <w:r>
        <w:t xml:space="preserve">lemsstater ved årsskiftet 2020/2021. </w:t>
      </w:r>
    </w:p>
    <w:p w:rsidR="00557A6F" w:rsidRDefault="00557A6F" w:rsidP="00557A6F">
      <w:r>
        <w:t>Regjeringen vil videreføre en markedsbasert, teknologinøytral bredbåndpolitikk og arbeide for mest mulig kostnadseffektive føringsveier, slik at det blir lønnsomt å bygge ut bredbånd. Depart</w:t>
      </w:r>
      <w:r>
        <w:t>e</w:t>
      </w:r>
      <w:r>
        <w:t>mentet vil i 2020 fortsatt prioritere tiltak som bidrar til størst mulig grad av markedsbasert utby</w:t>
      </w:r>
      <w:r>
        <w:t>g</w:t>
      </w:r>
      <w:r>
        <w:t>ging av bredbånd med tilstrekkelig god kapas</w:t>
      </w:r>
      <w:r>
        <w:t>i</w:t>
      </w:r>
      <w:r>
        <w:t xml:space="preserve">tet. </w:t>
      </w:r>
    </w:p>
    <w:p w:rsidR="00557A6F" w:rsidRDefault="00557A6F" w:rsidP="00557A6F">
      <w:r>
        <w:t>Regjeringen har startet arbeidet med et nytt tiltak knyttet til forenklet fiberutbygging, som består av to deler. Ekommarkedet er deregulert, og det finnes ingen nasjonal koordinering eller samordning av f</w:t>
      </w:r>
      <w:r>
        <w:t>ø</w:t>
      </w:r>
      <w:r>
        <w:t>ringsveier som sikrer robusthet og diversitet i nettene. Det er derfor behov for å etablere en tjeneste hos Nasjonal kommunik</w:t>
      </w:r>
      <w:r>
        <w:t>a</w:t>
      </w:r>
      <w:r>
        <w:t>sjonsmyndighet som bidrar til at tilbydere som vil legge ny fiber eller leie fiberkap</w:t>
      </w:r>
      <w:r>
        <w:t>a</w:t>
      </w:r>
      <w:r>
        <w:t>sitet fra andre tilbydere, får kjennskap til eksisterende fibertraseer, slik at de kan velge nye, alternative føringsveier som sikrer økt sikkerhet og robusthet. Tiltaket skal bidra til både nasjonal samordning av fiberinfrastruktur og dekning av nødvendige kostnader ved offentlige op</w:t>
      </w:r>
      <w:r>
        <w:t>p</w:t>
      </w:r>
      <w:r>
        <w:t>gaver som følger av bredbånd</w:t>
      </w:r>
      <w:r>
        <w:t>s</w:t>
      </w:r>
      <w:r>
        <w:t>utbyggingsloven.</w:t>
      </w:r>
    </w:p>
    <w:p w:rsidR="00557A6F" w:rsidRDefault="00557A6F" w:rsidP="00557A6F">
      <w:pPr>
        <w:pStyle w:val="avsnitt-under-undertittel"/>
      </w:pPr>
      <w:r>
        <w:t>Bredbånd</w:t>
      </w:r>
    </w:p>
    <w:p w:rsidR="00557A6F" w:rsidRDefault="00557A6F" w:rsidP="00557A6F">
      <w:r>
        <w:t>En forsert utbygging av høyhastighets mobilt bredbånd basert på LTE-teknologi har gitt et godt tilbud til store deler av landet i løpet av svært kort tid, jf. tabell ovenfor.</w:t>
      </w:r>
    </w:p>
    <w:p w:rsidR="00557A6F" w:rsidRDefault="00557A6F" w:rsidP="00557A6F">
      <w:r>
        <w:t>I dag har nesten alle et bredbåndstilbud der de bor. Utbyggingen av bredbånd med høy kapasitet p</w:t>
      </w:r>
      <w:r>
        <w:t>å</w:t>
      </w:r>
      <w:r>
        <w:t xml:space="preserve">går for fullt, men det er fortsatt betydelige geografiske forskjeller i tilbudet av bredbånd med de høyeste kapasitetene. Videre er kapasitetsbehovet hos bredbåndsbrukere stadig økende. </w:t>
      </w:r>
    </w:p>
    <w:p w:rsidR="00557A6F" w:rsidRDefault="00557A6F" w:rsidP="00557A6F">
      <w:r>
        <w:t>Ved utgangen av 2018 var det i underkant av 2,21 millioner faste bredbåndsabonnement i Norge, fordelt på 2,08 millioner privatabonnement og 127 000 bedriftsabonnement. 87 pst. av alle hu</w:t>
      </w:r>
      <w:r>
        <w:t>s</w:t>
      </w:r>
      <w:r>
        <w:t>stander har abonnement på fast bredbånd. Fiber var den mest utbredte teknologien og passerte én million privat</w:t>
      </w:r>
      <w:r>
        <w:t>a</w:t>
      </w:r>
      <w:r>
        <w:t>bonnement dette året. Antall bredbåndsabonnement via kabel-TV-nett (HFC) lå rett i overkant av 600 000, mens bredbånd over kobbernettet (DSL) hadde en klart fallende tendens ned til 427 000 abonnement. Dette har naturlig sammenheng med at gamle kobberkabler erstattes med fibernett. Telenor har varslet at kobbernettet skal fases helt ut innen utgangen av 2022. Bredbånd</w:t>
      </w:r>
      <w:r>
        <w:t>s</w:t>
      </w:r>
      <w:r>
        <w:t>kundene abonnerer på stadig høyere hastigheter, og ved utgangen av 2018 hadde nesten 35 pst. (721 000) av alle privatkunder et bredbånds</w:t>
      </w:r>
      <w:r>
        <w:t>a</w:t>
      </w:r>
      <w:r>
        <w:t xml:space="preserve">bonnement med hastighet 100 Mbit/s eller høyere. </w:t>
      </w:r>
    </w:p>
    <w:p w:rsidR="00557A6F" w:rsidRDefault="00557A6F" w:rsidP="00557A6F">
      <w:r>
        <w:t>Gjennomsnittlig hastighet for private bredbåndsabonnement var 112 Mbit/s (nedlasting) (median: 52 Mbit/s) ved utgangen av 2018, mot 81 Mbit/s i 2017 (median: 43 Mbit/s). For bedrifter var ti</w:t>
      </w:r>
      <w:r>
        <w:t>l</w:t>
      </w:r>
      <w:r>
        <w:t>svarende om lag 56 Mbit/s (m</w:t>
      </w:r>
      <w:r>
        <w:t>e</w:t>
      </w:r>
      <w:r>
        <w:t>dian: 21 Mbit/s) ved utgangen av 2018, mot om lag 46 Mbit/s i 2017 (median: 17 Mbit/s) (kilde: Statistisk sen</w:t>
      </w:r>
      <w:r>
        <w:t>t</w:t>
      </w:r>
      <w:r>
        <w:t>ralbyrå). Disse tallene illustrerer den raske utviklingen og økte etterspørs</w:t>
      </w:r>
      <w:r>
        <w:t>e</w:t>
      </w:r>
      <w:r>
        <w:t>len i befolkningen etter høyhastighets bredbåndstjenester.</w:t>
      </w:r>
    </w:p>
    <w:p w:rsidR="00557A6F" w:rsidRDefault="00557A6F" w:rsidP="00557A6F">
      <w:r>
        <w:t>Regjeringens mål er et bredbåndstilbud med hastighet 100 Mbit/s (nedlasting) til 90 pst. av hu</w:t>
      </w:r>
      <w:r>
        <w:t>s</w:t>
      </w:r>
      <w:r>
        <w:t>standene i 2020 basert på kommersiell utbygging, og på sikt er målet at alle husstander skal ha ti</w:t>
      </w:r>
      <w:r>
        <w:t>l</w:t>
      </w:r>
      <w:r>
        <w:t>bud om høyhastighetsbredbånd. Ved utgangen av første halvår 2019 hadde 86 pst. tilbud om slik nedlastingsha</w:t>
      </w:r>
      <w:r>
        <w:t>s</w:t>
      </w:r>
      <w:r>
        <w:t>tighet. Satsingen på forenklet fiberutbygging skal, sammen med allerede vedtatte endringer i ledningsforskriften, legge til rette for viktige fo</w:t>
      </w:r>
      <w:r>
        <w:t>r</w:t>
      </w:r>
      <w:r>
        <w:t>enklinger og effektiviseringer som vil bidra til mer kostnadseffe</w:t>
      </w:r>
      <w:r>
        <w:t>k</w:t>
      </w:r>
      <w:r>
        <w:t>tiv fiberutbygging. Dette skal bidra til bedre bredbåndstilbud og gjøre det på en måte som øker sikkerheten og robustheten. I enkelte geografiske områder er det ikke kommersielt grunnlag for investering i bredbåndsutbygging. Den statlige ordningen med tilskudd til utbygging i slike områder blir videreført i 2020. Fra og med 2020 skal forvaltningen av or</w:t>
      </w:r>
      <w:r>
        <w:t>d</w:t>
      </w:r>
      <w:r>
        <w:t>ningen overtas av fylkeskommunene, jf. nærmere omtale under kap. 541, post 60.</w:t>
      </w:r>
    </w:p>
    <w:p w:rsidR="00557A6F" w:rsidRDefault="00557A6F" w:rsidP="00557A6F">
      <w:r>
        <w:t>I 2018 ble det bevilget 149,7 mill. kroner i statlig bredbåndsstøtte. I tillegg bevilget kommuner og fylkeskommuner om lag 180 mill. kroner, og private bidro med om lag 140 mill. kroner. Til sa</w:t>
      </w:r>
      <w:r>
        <w:t>m</w:t>
      </w:r>
      <w:r>
        <w:t>men utløste altså de statlige midlene om lag 320 mill. kroner i lokal medfinansiering. Utbyggers antatte andel av prosjektene var om lag 380 mill. kroner. Sammen med offentlig og privat støtte, medførte dette bredbåndsprosjekter i ulønnsomme o</w:t>
      </w:r>
      <w:r>
        <w:t>m</w:t>
      </w:r>
      <w:r>
        <w:t xml:space="preserve">råder til en samlet verdi av mer enn 850 mill. kroner. </w:t>
      </w:r>
    </w:p>
    <w:p w:rsidR="00557A6F" w:rsidRDefault="00557A6F" w:rsidP="00557A6F">
      <w:r>
        <w:lastRenderedPageBreak/>
        <w:t>Prosjektene gir over 17 000 husholdninger ny eller bedre bredbåndstilknytning. Hver tilknytning koster i gjennomsnitt om lag 50 000 kroner, hvorav statlig støtte utgjør om lag 8 600 kroner og lokal o</w:t>
      </w:r>
      <w:r>
        <w:t>f</w:t>
      </w:r>
      <w:r>
        <w:t xml:space="preserve">fentlig støtte utgjør om lag 10 400 kroner. </w:t>
      </w:r>
    </w:p>
    <w:p w:rsidR="00557A6F" w:rsidRDefault="00557A6F" w:rsidP="00557A6F">
      <w:r>
        <w:t>Det vil være en prioritert oppgave å sikre langsiktige løsninger og et tilstrekkelig tjenestetilbud for elektronisk kommunikasjon til alle. Departementet sendte 3. september 2019 et forslag om endring av ekomloven på alminnelig høring som vil gi hjemmel for å inkludere bredbånd med en viss ha</w:t>
      </w:r>
      <w:r>
        <w:t>s</w:t>
      </w:r>
      <w:r>
        <w:t>tighet i leveringsplikten. Høringsfristen er 3. desember 2019.</w:t>
      </w:r>
    </w:p>
    <w:p w:rsidR="00557A6F" w:rsidRDefault="00557A6F" w:rsidP="00557A6F">
      <w:pPr>
        <w:pStyle w:val="avsnitt-under-undertittel"/>
      </w:pPr>
      <w:r>
        <w:t>Frekvensforvaltning</w:t>
      </w:r>
    </w:p>
    <w:p w:rsidR="00557A6F" w:rsidRDefault="00557A6F" w:rsidP="00557A6F">
      <w:r>
        <w:t>I 2018 ble det inngått avtale mellom staten og Norges televisjon AS (NTV) om tidlig frigjøring av frekve</w:t>
      </w:r>
      <w:r>
        <w:t>n</w:t>
      </w:r>
      <w:r>
        <w:t>sene i 700 MHz-båndet, slik at disse kan brukes til mobilkommunikasjon og etter hvert 5G allerede fra 1. november 2019. I 2018 arbeidet Nasjonal kommunikasjonsmyndighet og depart</w:t>
      </w:r>
      <w:r>
        <w:t>e</w:t>
      </w:r>
      <w:r>
        <w:t>mentet videre med pla</w:t>
      </w:r>
      <w:r>
        <w:t>n</w:t>
      </w:r>
      <w:r>
        <w:t>leggingen av frekvensressurser til 5G og mobilkommunikasjon, for å sikre at tilbyderne tidlig skal få tilgang til og ta i bruk tilgjengelige ressurser til nye tjenester og teknol</w:t>
      </w:r>
      <w:r>
        <w:t>o</w:t>
      </w:r>
      <w:r>
        <w:t>gier. I dette arbeidet er det viktig å følge opp regjeringens mål om minst tre konkurrerende mobi</w:t>
      </w:r>
      <w:r>
        <w:t>l</w:t>
      </w:r>
      <w:r>
        <w:t xml:space="preserve">nett. Ved tildelingen av 700 MHz-båndet har det også vært viktig å legge til rette for økt dekning langs viktige vei- og jernbanestrekninger. </w:t>
      </w:r>
    </w:p>
    <w:p w:rsidR="00557A6F" w:rsidRDefault="00557A6F" w:rsidP="00557A6F">
      <w:r>
        <w:t>Mange basestasjoner og TV- og radiosendere har ikke tilgang til fiber eller andre faste aksesslø</w:t>
      </w:r>
      <w:r>
        <w:t>s</w:t>
      </w:r>
      <w:r>
        <w:t>ninger, men er i stedet avhengig av trådløse kommunikasjonsløsninger som radiolinje for å kunne sende og motta data. Nasjonal kommunikasjonsmyndighet har arbeidet med å tildele store fr</w:t>
      </w:r>
      <w:r>
        <w:t>e</w:t>
      </w:r>
      <w:r>
        <w:t>kvensressurser som benyttes til radiolinje. Dette er ressurser som er svært viktige for å kunne tilby mobilnett i Norge, inklusive Nødne</w:t>
      </w:r>
      <w:r>
        <w:t>t</w:t>
      </w:r>
      <w:r>
        <w:t>tet.</w:t>
      </w:r>
    </w:p>
    <w:p w:rsidR="00557A6F" w:rsidRDefault="00557A6F" w:rsidP="00557A6F">
      <w:r>
        <w:t>Neste generasjons mobilnett (5G) vil være viktig blant annet for å sikre bredbånd til hele befol</w:t>
      </w:r>
      <w:r>
        <w:t>k</w:t>
      </w:r>
      <w:r>
        <w:t>ningen, for å utnytte ny teknologi og for å bidra til offentlig tjenesteproduksjon på tvers av sekt</w:t>
      </w:r>
      <w:r>
        <w:t>o</w:t>
      </w:r>
      <w:r>
        <w:t>rer. Særlig viktig blir planlegging og tilrettelegging av nye frekvensressurser til mobil bredbånd</w:t>
      </w:r>
      <w:r>
        <w:t>s</w:t>
      </w:r>
      <w:r>
        <w:t>kommunikasjon, og spesielt frekvensressurser som er identifisert for tidlig innføring av 5G. Tild</w:t>
      </w:r>
      <w:r>
        <w:t>e</w:t>
      </w:r>
      <w:r>
        <w:t>ling og bruk av disse frekvensbåndene, spesielt 3,6 GHz-båndet (3400–3800 MHz) vil være avgj</w:t>
      </w:r>
      <w:r>
        <w:t>ø</w:t>
      </w:r>
      <w:r>
        <w:t>rende for fullverdige 5G-tjenester i Norge. Nasjonal kommunik</w:t>
      </w:r>
      <w:r>
        <w:t>a</w:t>
      </w:r>
      <w:r>
        <w:t>sjonsmyndighet vil forberede og tildele disse frekvensressursene for at tilbyderne tidlig skal få tilgang til og ta i bruk tilgjengelige ressurser til nye tjenester eller teknologier. Dette vil være spesielt viktig for å legge til rette for konkurranse, tidlig oppstart av 5G og for næringsutvikling som bruker tingenes internett (IoT). Nasjonal kommunikasjonsmyndighet gjennomførte den før</w:t>
      </w:r>
      <w:r>
        <w:t>s</w:t>
      </w:r>
      <w:r>
        <w:t>te 5G-frekvensauksjonen allerede i 2019, og har dermed lagt til rette for at mobiloperatører kan begynne å bruke 5G tidlig.</w:t>
      </w:r>
    </w:p>
    <w:p w:rsidR="00557A6F" w:rsidRDefault="00557A6F" w:rsidP="00557A6F">
      <w:r>
        <w:t>Nasjonal kommunikasjonsmyndighet skal i 2020 gjennomføre tilsyn etter regelverk for satellit</w:t>
      </w:r>
      <w:r>
        <w:t>t</w:t>
      </w:r>
      <w:r>
        <w:t>jordstasjoner på Svalbard og i Antarktis. Samtidig vil det introduseres nye analyseverktøy som vil effektivisere tilsynet og gjøre Nasjonal kommunikasjonsmyndighet bedre i stand til å analysere hvilke satellitter jor</w:t>
      </w:r>
      <w:r>
        <w:t>d</w:t>
      </w:r>
      <w:r>
        <w:t>stasjonene kommuniserer med.</w:t>
      </w:r>
    </w:p>
    <w:p w:rsidR="00557A6F" w:rsidRDefault="00557A6F" w:rsidP="00557A6F">
      <w:pPr>
        <w:pStyle w:val="avsnitt-under-undertittel"/>
      </w:pPr>
      <w:r>
        <w:t>Samfunnssikkerhet</w:t>
      </w:r>
    </w:p>
    <w:p w:rsidR="00557A6F" w:rsidRDefault="00557A6F" w:rsidP="00557A6F">
      <w:r>
        <w:t>Nasjonal kommunikasjonsmyndighet arbeider med sikkerhet og beredskap i de norske ekomnettene gjennom tilsyn, veiledning, risiko- og sårbarhetsanalyser, hendelsesrapportering, øvelser, system</w:t>
      </w:r>
      <w:r>
        <w:t>a</w:t>
      </w:r>
      <w:r>
        <w:t>tisk kartlegging av infrastruktur og forvaltning av tilskuddsmidler. Formålet er at myndighetene skal være oppdatert på sikkerhetstilstanden i nettene, gjennomføre nødvendige tiltak og foreslå kostnadseffektive tiltak dersom det er nødvendig.</w:t>
      </w:r>
    </w:p>
    <w:p w:rsidR="00557A6F" w:rsidRDefault="00557A6F" w:rsidP="00557A6F">
      <w:r>
        <w:t>I 2019 startet Nasjonal kommunikasjonsmyndighet vurdering av ny teknologi for å øke beredsk</w:t>
      </w:r>
      <w:r>
        <w:t>a</w:t>
      </w:r>
      <w:r>
        <w:t>pen i norske mobilnett. Befolkningen har behov for mobildekning ved hendelser, som for eksempel jordras, flom og uvær. Det vil, i samråd med fagmiljøer, bli vurdert mulige løsninger for å sikre raskere gjenop</w:t>
      </w:r>
      <w:r>
        <w:t>p</w:t>
      </w:r>
      <w:r>
        <w:t xml:space="preserve">rettelse av mobilnett ved utfall. Et eksempel på en slik løsning kan være droner med mobildekning. </w:t>
      </w:r>
    </w:p>
    <w:p w:rsidR="00557A6F" w:rsidRDefault="00557A6F" w:rsidP="00557A6F">
      <w:r>
        <w:t>Den første helhetlige, nasjonale risiko- og sårbarhetsanalysen for ekomsektoren (EkomROS 2016) ble levert i april 2016. Nasjonal kommunikasjonsmyndighet leverte den nyeste utgaven av Eko</w:t>
      </w:r>
      <w:r>
        <w:t>m</w:t>
      </w:r>
      <w:r>
        <w:t xml:space="preserve">ROS i juni 2019. Denne analysen rettet blant annet søkelyset mot ekomsektorens stadig viktigere rolle som digital grunnmur i det norske samfunnet. </w:t>
      </w:r>
    </w:p>
    <w:p w:rsidR="00557A6F" w:rsidRDefault="00557A6F" w:rsidP="00557A6F">
      <w:r>
        <w:lastRenderedPageBreak/>
        <w:t>I utredningene «Nasjonal autonomi i norske elektroniske kommunikasjonsnett» (mars 2017) og «R</w:t>
      </w:r>
      <w:r>
        <w:t>o</w:t>
      </w:r>
      <w:r>
        <w:t>buste og sikre nasjonale transportnett» (april 2017) har Nasjonal kommunikasjonsmyndighet gjennomført risikovurd</w:t>
      </w:r>
      <w:r>
        <w:t>e</w:t>
      </w:r>
      <w:r>
        <w:t>ringer i tilknytning til fiberinfrastrukturen i landet og mellom Norge og utlandet. Særlig har det blitt lagt vekt på å utforme målbilder for den nasjonale ekominfrastrukturen for å redusere de identif</w:t>
      </w:r>
      <w:r>
        <w:t>i</w:t>
      </w:r>
      <w:r>
        <w:t>serte sårbarhetene. De nevnte risikovurderingene danner også et viktig grunnlag for arbeidet med pilot for alternativt kjernenett (transportnett) og for å legge til rette for fiberkabler til utlandet.</w:t>
      </w:r>
    </w:p>
    <w:p w:rsidR="00557A6F" w:rsidRDefault="00557A6F" w:rsidP="00557A6F">
      <w:r>
        <w:t>Nasjonal kommunikasjonsmyndighet har styrket tilsynsvirksomheten på sikkerhetsområdet. Det ble i 2019 ført omfattende stedlige tilsyn og dokumenttilsyn etter hendelser med ekomtilbydere, for å sikre at krav satt i eko</w:t>
      </w:r>
      <w:r>
        <w:t>m</w:t>
      </w:r>
      <w:r>
        <w:t>loven og i sikkerhetsloven tilfredsstilles. Flere av tilsynsbesøkene avdekket avvik som selskapene ble pålagt å rette. I tilsynene ble det særlig sett på fysisk sikring og sikke</w:t>
      </w:r>
      <w:r>
        <w:t>r</w:t>
      </w:r>
      <w:r>
        <w:t xml:space="preserve">hetskompetanse. </w:t>
      </w:r>
    </w:p>
    <w:p w:rsidR="00557A6F" w:rsidRDefault="00557A6F" w:rsidP="00557A6F">
      <w:r>
        <w:t>EkomCERT (Computer Emergency Response Team) ble satt i drift i juli 2017 som sektorrespon</w:t>
      </w:r>
      <w:r>
        <w:t>s</w:t>
      </w:r>
      <w:r>
        <w:t>miljø (SRM) for ekomsektoren. Responsmiljøet har et grunnleggende operativt aktivitetsnivå i fo</w:t>
      </w:r>
      <w:r>
        <w:t>r</w:t>
      </w:r>
      <w:r>
        <w:t>bindelse med innhenting, sammenstilling og analyse av sikkerhetsrelatert informasjon, koordin</w:t>
      </w:r>
      <w:r>
        <w:t>e</w:t>
      </w:r>
      <w:r>
        <w:t>ring og håndtering av cyberhendelser og uta</w:t>
      </w:r>
      <w:r>
        <w:t>r</w:t>
      </w:r>
      <w:r>
        <w:t>beiding av situasjonsbilde.</w:t>
      </w:r>
    </w:p>
    <w:p w:rsidR="00557A6F" w:rsidRDefault="00557A6F" w:rsidP="00557A6F">
      <w:r>
        <w:t>I 2019 ble det satt i gang tiltak i seks nye kommuner under programmet for forsterket ekom, og planer ble lagt for ytterligere syv kommuner i 2020. Til sammen er forsterket ekom etablert, under etablering eller planlagt etablert i 50 kommuner. Videre er det etablert en ny fiberkabel mellom Bodø og Røst. Fiberkabelen og etablering av fo</w:t>
      </w:r>
      <w:r>
        <w:t>r</w:t>
      </w:r>
      <w:r>
        <w:t>sterket ekom i de seks kommunene i Lofoten ble ferdigstilt våren 2018 og har gitt hele regionen en betydelig styrket ekominfrastruktur. I tillegg har midler fra programmet delf</w:t>
      </w:r>
      <w:r>
        <w:t>i</w:t>
      </w:r>
      <w:r>
        <w:t>nansiert ny fiberforbindelse mellom Lom og Stryn.</w:t>
      </w:r>
    </w:p>
    <w:p w:rsidR="00557A6F" w:rsidRDefault="00557A6F" w:rsidP="00557A6F">
      <w:r>
        <w:t>I 2018 og videre i 2019 ble det iverksatt nye tiltak i pilot for alternativt kjernenett, som redundante koblinger mellom fastlandet og Svalbardfiberen, og økt redundans i det sentrale transportne</w:t>
      </w:r>
      <w:r>
        <w:t>t</w:t>
      </w:r>
      <w:r>
        <w:t xml:space="preserve">tet/kjernenettet. Piloten har som formål å teste ut løsninger som fører til høyere robusthet i norske ekomnett. </w:t>
      </w:r>
    </w:p>
    <w:p w:rsidR="00557A6F" w:rsidRDefault="00557A6F" w:rsidP="00557A6F">
      <w:r>
        <w:t>I 2019 har departementet og Nasjonal kommunikasjonsmyndighet jobbet med implementeringen av ny sikke</w:t>
      </w:r>
      <w:r>
        <w:t>r</w:t>
      </w:r>
      <w:r>
        <w:t>hetslov for norske ekomnett. Grunnleggende nasjonale funksjoner (GNF) er definert for ekomsektoren, og arbeidet med å bryte ned GNF til underfunksjoner er startet og planer for skad</w:t>
      </w:r>
      <w:r>
        <w:t>e</w:t>
      </w:r>
      <w:r>
        <w:t>vurderinger er lagt. Norske ekomnett er en stadig viktigere bærebjelke i det norske samfunnet, og fokus på sikkerhet øker i takt med denne utviklingen.</w:t>
      </w:r>
    </w:p>
    <w:p w:rsidR="00557A6F" w:rsidRDefault="00557A6F" w:rsidP="00557A6F">
      <w:r>
        <w:t>Til tross for positiv utvikling i den senere tid, er fortsatt samtlige ekomtilbydere avhengig av sen</w:t>
      </w:r>
      <w:r>
        <w:t>t</w:t>
      </w:r>
      <w:r>
        <w:t>rale funksjoner i Telenors kjernenett for å kunne levere sine tjenester. Større feil i dette nettet vil kunne lamme ekomnett- og tjenester over hele landet, og få alvorlige konsekvenser på tvers av sektorer. Arbeidet med pilottiltak for alternativt kjernenett/transportnett vil fortsette i 2020, og har som mål å teste ut lø</w:t>
      </w:r>
      <w:r>
        <w:t>s</w:t>
      </w:r>
      <w:r>
        <w:t>ninger som styrker robustheten i norske ekomnett.</w:t>
      </w:r>
    </w:p>
    <w:p w:rsidR="00557A6F" w:rsidRDefault="00557A6F" w:rsidP="00557A6F">
      <w:r>
        <w:t>For å legge til rette for fiberkabler til utlandet skal det settes av totalt 100 mill. kroner, jf. Prop. 1 S (2017–2018) for Samferdselsdepartementet. Bakgrunnen er at Nasjonal kommunikasjonsmyndi</w:t>
      </w:r>
      <w:r>
        <w:t>g</w:t>
      </w:r>
      <w:r>
        <w:t>het har avdekket en betydelig sårbarhet. Bevilgningen skal først og fremst bidra til å bøte på så</w:t>
      </w:r>
      <w:r>
        <w:t>r</w:t>
      </w:r>
      <w:r>
        <w:t>barheten som følger av at mesteparten av norsk ekomtrafikk går via samme trasé gjennom Sverige, men vil samtidig kunne legge til rette for databasert næringsvirksomhet, blant annet datasenteri</w:t>
      </w:r>
      <w:r>
        <w:t>n</w:t>
      </w:r>
      <w:r>
        <w:t xml:space="preserve">dustri, og bedre forbindelser langs kysten og til Nord-Norge. </w:t>
      </w:r>
    </w:p>
    <w:p w:rsidR="00557A6F" w:rsidRDefault="00557A6F" w:rsidP="00557A6F">
      <w:r>
        <w:t>Nasjonal kommunikasjonsmyndighet skal føre tilsyn med og følge opp klassifisering og sikring av anlegg, sikkerhet/beredskap/varslingsrutiner hos tilbyderne, nettkonfidensialitet og -integritet, u</w:t>
      </w:r>
      <w:r>
        <w:t>t</w:t>
      </w:r>
      <w:r>
        <w:t>fallshendelser, tjenesteutsetting, personvern og datalagring, samt relevante bestemmelser i sikke</w:t>
      </w:r>
      <w:r>
        <w:t>r</w:t>
      </w:r>
      <w:r>
        <w:t xml:space="preserve">hetsloven. </w:t>
      </w:r>
    </w:p>
    <w:p w:rsidR="00557A6F" w:rsidRDefault="00557A6F" w:rsidP="00557A6F">
      <w:r>
        <w:t>Videre skal Nasjonal kommunikasjonsmyndighet fortsette arbeidet med å tydeliggjøre og skjerpe kravene til robusthet i ekomnettene. Årlige nasjonale risiko- og sårbarhetsanalyser, med løpende op</w:t>
      </w:r>
      <w:r>
        <w:t>p</w:t>
      </w:r>
      <w:r>
        <w:t>datering av nettenes logiske og fysiske oppbygning, vil styrke evnen til tidlig identifisering og kost-/nytteanalyse av aktuelle tiltak. Økende kompleksitet i tjenesteproduksjonen og avhengigheter stiller økte krav til sårbarhetsanalyser, veiledning og tilsynsvirksomhet, og disse områdene vil bli pri</w:t>
      </w:r>
      <w:r>
        <w:t>o</w:t>
      </w:r>
      <w:r>
        <w:t xml:space="preserve">ritert i 2020. </w:t>
      </w:r>
    </w:p>
    <w:p w:rsidR="00557A6F" w:rsidRDefault="00557A6F" w:rsidP="00557A6F">
      <w:r>
        <w:t>Ekomtilbydernes evne til å samarbeide seg imellom og med myndighetene for å håndtere kritiske situ</w:t>
      </w:r>
      <w:r>
        <w:t>a</w:t>
      </w:r>
      <w:r>
        <w:t>sjoner bedres gjennom hendelser, øvelser og videreutvikling av rutiner. Erfaringer fra øvelser og hendelser er benyttet til å styrke hendelseshåndteringen ved cyberangrep. Nasjonal kommunik</w:t>
      </w:r>
      <w:r>
        <w:t>a</w:t>
      </w:r>
      <w:r>
        <w:t xml:space="preserve">sjonsmyndighet vil i </w:t>
      </w:r>
      <w:r>
        <w:lastRenderedPageBreak/>
        <w:t>2020 fortsette å styrke egen evne til hendelseshåndtering, blant annet ved å videreutvikle verktøy for krisehåndtering og kompetanse for å hån</w:t>
      </w:r>
      <w:r>
        <w:t>d</w:t>
      </w:r>
      <w:r>
        <w:t xml:space="preserve">tere cyberhendelser. </w:t>
      </w:r>
    </w:p>
    <w:p w:rsidR="00557A6F" w:rsidRDefault="00557A6F" w:rsidP="00557A6F">
      <w:r>
        <w:t>Nasjonal kommunikasjonsmyndighet har styrket arbeidet med regelverksveiledning for tilbyderne på sikkerhets- og beredskapsområdet. Arbeidet har gitt god effekt og videreføres i 2020.</w:t>
      </w:r>
    </w:p>
    <w:p w:rsidR="00557A6F" w:rsidRDefault="00557A6F" w:rsidP="00557A6F">
      <w:r>
        <w:t>I dialog med bransjen og øvrige myndigheter, vurderer Nasjonal kommunikasjonsmyndighet og departementet om det er behov for presiseringer eller endring i ekomregelverkets sikkerhetsb</w:t>
      </w:r>
      <w:r>
        <w:t>e</w:t>
      </w:r>
      <w:r>
        <w:t>stemmelser. Arbeidet fortsetter i 2020, og det vises her til relevante regelverksprosesser nasjonalt og i EU, herunder den nye sikkerhetsloven som trådte i kraft 1. januar 2019, EUs nye regelverk for elektronisk kommunikasjon (EECC), EU-direktivet for info</w:t>
      </w:r>
      <w:r>
        <w:t>r</w:t>
      </w:r>
      <w:r>
        <w:t>masjonssikkerhet (NIS-direktivet) og utarbeidelse av den nye ko</w:t>
      </w:r>
      <w:r>
        <w:t>m</w:t>
      </w:r>
      <w:r>
        <w:t>munikasjonsvernforordningen (E-privacy).</w:t>
      </w:r>
    </w:p>
    <w:p w:rsidR="00557A6F" w:rsidRDefault="00557A6F" w:rsidP="00557A6F">
      <w:r>
        <w:t>Programmet Forsterket ekom er svært viktig for å understøtte en bedre lokal og regional kris</w:t>
      </w:r>
      <w:r>
        <w:t>e</w:t>
      </w:r>
      <w:r>
        <w:t>håndteringsevne med mobil kommunikasjon i krisesituasjoner, og videreføres og styrkes i 2020 med utbygging i nye kommuner. Det langsiktige målet er å etablere ett område i alle landets ko</w:t>
      </w:r>
      <w:r>
        <w:t>m</w:t>
      </w:r>
      <w:r>
        <w:t>muner med forsterket ekom, slik at lokal krisel</w:t>
      </w:r>
      <w:r>
        <w:t>e</w:t>
      </w:r>
      <w:r>
        <w:t>delse og den øvrige befolkningen skal ha ett sted i nærområdet for å gi og motta beskjeder, selv ved bortfall av strøm over lengre tid.</w:t>
      </w:r>
    </w:p>
    <w:p w:rsidR="00557A6F" w:rsidRDefault="00557A6F" w:rsidP="00557A6F">
      <w:pPr>
        <w:pStyle w:val="avsnitt-under-undertittel"/>
      </w:pPr>
      <w:r>
        <w:t>Legge til rette for at Norge er klargjort for neste generasjons mobilnett/5G</w:t>
      </w:r>
    </w:p>
    <w:p w:rsidR="00557A6F" w:rsidRDefault="00557A6F" w:rsidP="00557A6F">
      <w:r>
        <w:t>Neste generasjons mobilnett (5G) baner vei for en teknologisk revolusjon med muligheter for store sa</w:t>
      </w:r>
      <w:r>
        <w:t>m</w:t>
      </w:r>
      <w:r>
        <w:t>funnsøkonomiske gevinster. Tidlig innføring av 5G vil være til nytte for samfunnet som helhet og berøre både myndigheter, mobiloperatører og befolkningen generelt. Innføringen av 5G vil bli en viktig del av regjeringens mål om økt digitalisering. Norge, sammen med de nordiske og balti</w:t>
      </w:r>
      <w:r>
        <w:t>s</w:t>
      </w:r>
      <w:r>
        <w:t>ke landene, har et tydelig mål om å være i front av 5G-innføringen. Regjeringen har vist både ønske og vilje til å lede an i sa</w:t>
      </w:r>
      <w:r>
        <w:t>t</w:t>
      </w:r>
      <w:r>
        <w:t xml:space="preserve">singen på 5G, blant annet ved bruk av 150 mill. kroner til frigjøring av frekvensressurser i 700 MHz-båndet for å legge til rette for tidlig innføring av 5G. </w:t>
      </w:r>
    </w:p>
    <w:p w:rsidR="00557A6F" w:rsidRDefault="00557A6F" w:rsidP="00557A6F">
      <w:r>
        <w:t>Vellykket omlegging til digitale tjenester vil gi samfunnet store gevinster, både for privat og o</w:t>
      </w:r>
      <w:r>
        <w:t>f</w:t>
      </w:r>
      <w:r>
        <w:t>fentlig sektor. Neste generasjons mobilnett vil være viktig blant annet for å sikre bredbånd til hele befolkningen, for å ta i bruk ny teknologi for offentlig tjenesteproduksjon på tvers av sektorer (for eksempel helsete</w:t>
      </w:r>
      <w:r>
        <w:t>k</w:t>
      </w:r>
      <w:r>
        <w:t>nologi, land- og havbruk etc.) og for å utvikle transportsektoren ved blant annet introduksjon av autonome kjøretøy.</w:t>
      </w:r>
    </w:p>
    <w:p w:rsidR="00557A6F" w:rsidRDefault="00557A6F" w:rsidP="00557A6F">
      <w:r>
        <w:t>Regjeringen har lagt til rette for at nødvendige frekvensressurser blir gjort tilgjengelige for mark</w:t>
      </w:r>
      <w:r>
        <w:t>e</w:t>
      </w:r>
      <w:r>
        <w:t>det slik at tilgang til nødvendige ressurser ikke hindrer rask innføring av 5G i Norge. Nasjonal kommunikasjonsmyndi</w:t>
      </w:r>
      <w:r>
        <w:t>g</w:t>
      </w:r>
      <w:r>
        <w:t>het vil gjennom sitt tilsyn kontrollere og verifisere at 5G-nettene har en robust og redundant infrastruktur med høy kvalitet. I dialog og samarbeid med andre relevante myndigheter, fylker og kommuner vil Nasjonal kommunikasjonsmyndighet bidra til at 5G-lokasjoner for basestasjoner og føringsveier gjøres enkelt tilgjengelige slik at en rask utbygging av 5G blir mulig. Det må også legges til rette for økt samlokalisering av operatører, spesielt ette</w:t>
      </w:r>
      <w:r>
        <w:t>r</w:t>
      </w:r>
      <w:r>
        <w:t>som 5G i tettbygde strøk vil medføre økt tetthet av basestasjoner og dermed et større innplass</w:t>
      </w:r>
      <w:r>
        <w:t>e</w:t>
      </w:r>
      <w:r>
        <w:t xml:space="preserve">ringsbehov. </w:t>
      </w:r>
    </w:p>
    <w:p w:rsidR="00557A6F" w:rsidRDefault="00557A6F" w:rsidP="00557A6F">
      <w:r>
        <w:t>Gode 4G- og 5G-nett er en forutsetning for hurtig innføring av tingenes internett. Antall komm</w:t>
      </w:r>
      <w:r>
        <w:t>u</w:t>
      </w:r>
      <w:r>
        <w:t>niserende enheter i mobilnettene vil mangedobles de nærmeste årene. Nasjonal kommunikasjon</w:t>
      </w:r>
      <w:r>
        <w:t>s</w:t>
      </w:r>
      <w:r>
        <w:t>myndighet må forholde seg til denne veksten og styrke kapasiteten til å føre tilsyn med ulovlig r</w:t>
      </w:r>
      <w:r>
        <w:t>a</w:t>
      </w:r>
      <w:r>
        <w:t>dioutstyr som sk</w:t>
      </w:r>
      <w:r>
        <w:t>a</w:t>
      </w:r>
      <w:r>
        <w:t>per forstyrrelser i nettene. Samtidig må kompetansen på måling av stråling fra 5G-utstyr videreutvikles for å kunne gi god og relevant i</w:t>
      </w:r>
      <w:r>
        <w:t>n</w:t>
      </w:r>
      <w:r>
        <w:t>formasjon til befolkningen.</w:t>
      </w:r>
    </w:p>
    <w:p w:rsidR="00557A6F" w:rsidRDefault="00557A6F" w:rsidP="00557A6F">
      <w:pPr>
        <w:pStyle w:val="avsnitt-under-undertittel"/>
      </w:pPr>
      <w:r>
        <w:t>Leveringspliktige tjenester</w:t>
      </w:r>
    </w:p>
    <w:p w:rsidR="00557A6F" w:rsidRDefault="00557A6F" w:rsidP="00557A6F">
      <w:r>
        <w:t>Telenor Norge AS og departementet inngikk i juli 2019 en ny avtale om leveringspliktige tjenester, med ikrafttredelse 3. august 2019. Avtalen erstatter avtalen som ble inngått i februar 2019, og har i utgangspunktet en varighet på seks måneder, men med mulighet for forlengelse. Den omfatter o</w:t>
      </w:r>
      <w:r>
        <w:t>f</w:t>
      </w:r>
      <w:r>
        <w:t>fentlig telefo</w:t>
      </w:r>
      <w:r>
        <w:t>n</w:t>
      </w:r>
      <w:r>
        <w:t>tjeneste og tilknytning som gjør det mulig å bruke internett, men innebærer ingen plikt til å levere bre</w:t>
      </w:r>
      <w:r>
        <w:t>d</w:t>
      </w:r>
      <w:r>
        <w:t>bånd. Telenor kan oppfylle pliktene etter avtalen ved å tilby faste eller mobile tjenester. Dersom telefo</w:t>
      </w:r>
      <w:r>
        <w:t>n</w:t>
      </w:r>
      <w:r>
        <w:t>tjenesten baseres på mobilnett, skal Telenor tilby løsning for innendørs dekning for kunder som i dag kun har utendørs mobildekning fra Telenor eller andre mobilnet</w:t>
      </w:r>
      <w:r>
        <w:t>t</w:t>
      </w:r>
      <w:r>
        <w:t>eiere.</w:t>
      </w:r>
    </w:p>
    <w:p w:rsidR="00557A6F" w:rsidRDefault="00557A6F" w:rsidP="00557A6F">
      <w:r>
        <w:lastRenderedPageBreak/>
        <w:t>Avtalen omfatter ikke tjenester til funksjonshemmede og andre sluttbrukere med spesielle behov, der avtalen gjaldt til 1. september 2018. Departementet har pålagt Telenor å tilby tjenester til pe</w:t>
      </w:r>
      <w:r>
        <w:t>r</w:t>
      </w:r>
      <w:r>
        <w:t>soner med nedsatt fun</w:t>
      </w:r>
      <w:r>
        <w:t>k</w:t>
      </w:r>
      <w:r>
        <w:t>sjonsevne og andre sluttbrukere med spesielle behov frem til august 2020. Telenor har klaget på vedtaket.</w:t>
      </w:r>
    </w:p>
    <w:p w:rsidR="00557A6F" w:rsidRDefault="00557A6F" w:rsidP="00557A6F">
      <w:r>
        <w:t>Det vil være en prioritert oppgave å sikre langsiktige løsninger og et tilstrekkelig tjenestetilbud for elektronisk kommunikasjon til alle.</w:t>
      </w:r>
    </w:p>
    <w:p w:rsidR="00557A6F" w:rsidRDefault="00557A6F" w:rsidP="00557A6F">
      <w:r>
        <w:t>Departementet sendte 3. september 2019 et forslag om endring av ekomloven på alminnelig høring som vil gi hjemmel for å inkludere bredbånd med en viss hastighet i leveringsplikten. Høringsfri</w:t>
      </w:r>
      <w:r>
        <w:t>s</w:t>
      </w:r>
      <w:r>
        <w:t>ten er 3. desember 2019.</w:t>
      </w:r>
    </w:p>
    <w:p w:rsidR="00557A6F" w:rsidRDefault="00557A6F" w:rsidP="00557A6F">
      <w:pPr>
        <w:pStyle w:val="avsnitt-under-undertittel"/>
      </w:pPr>
      <w:r>
        <w:t>Internett</w:t>
      </w:r>
    </w:p>
    <w:p w:rsidR="00557A6F" w:rsidRDefault="00557A6F" w:rsidP="00557A6F">
      <w:r>
        <w:t>For å sikre at Internett forblir en åpen og demokratisk plattform som stimulerer til økonomisk u</w:t>
      </w:r>
      <w:r>
        <w:t>t</w:t>
      </w:r>
      <w:r>
        <w:t xml:space="preserve">vikling og innovasjon, vil departementet og Nasjonal kommunikasjonsmyndighet i 2020 </w:t>
      </w:r>
      <w:proofErr w:type="gramStart"/>
      <w:r>
        <w:t>fortsette</w:t>
      </w:r>
      <w:proofErr w:type="gramEnd"/>
      <w:r>
        <w:t xml:space="preserve"> arbeidet i inte</w:t>
      </w:r>
      <w:r>
        <w:t>r</w:t>
      </w:r>
      <w:r>
        <w:t>nasjonale fora der utviklingen formes. Det er behov for nasjonal og internasjonal koordinering for å bidra til god internettforvaltning og internettsikkerhet og -stabilitet, herunder sikring av domenenavnshiera</w:t>
      </w:r>
      <w:r>
        <w:t>r</w:t>
      </w:r>
      <w:r>
        <w:t>kiet og tildeling av IP-adresser.</w:t>
      </w:r>
    </w:p>
    <w:p w:rsidR="00557A6F" w:rsidRDefault="00557A6F" w:rsidP="00557A6F">
      <w:r>
        <w:t>Nasjonal kommunikasjonsmyndighet deltar blant annet i den internasjonale domenenavnsforvalt</w:t>
      </w:r>
      <w:r>
        <w:t>e</w:t>
      </w:r>
      <w:r>
        <w:t>ren ICANNs arbeid. Videre deltar ekommyndigheten i arbeid på europeisk nivå samt i OECDs og FNs arbeid med internet</w:t>
      </w:r>
      <w:r>
        <w:t>t</w:t>
      </w:r>
      <w:r>
        <w:t>forvaltning. Det foregår også arbeid i regi av Den internasjonale teleunion (ITU) knyttet til «Internet governance» som må følges opp, særlig i forbindelse med ITUs høyn</w:t>
      </w:r>
      <w:r>
        <w:t>i</w:t>
      </w:r>
      <w:r>
        <w:t>våkonferanser. Fra norsk side vil det være fokus på forvaltning av internasjonale domenenavn, ITUs rolle i internasjonal politikk for internett og forvaltning av inte</w:t>
      </w:r>
      <w:r>
        <w:t>r</w:t>
      </w:r>
      <w:r>
        <w:t>netts ressurser samt forhold innenfor sikkerhetsområdet. Norges aktive engasjement i internasjonale fora og a</w:t>
      </w:r>
      <w:r>
        <w:t>r</w:t>
      </w:r>
      <w:r>
        <w:t xml:space="preserve">beidsgrupper vil videreføres. </w:t>
      </w:r>
    </w:p>
    <w:p w:rsidR="00557A6F" w:rsidRDefault="00557A6F" w:rsidP="00557A6F">
      <w:pPr>
        <w:pStyle w:val="avsnitt-undertittel"/>
      </w:pPr>
      <w:r>
        <w:t>Anmodningsvedtak nr. 1004, 20. juni 2017</w:t>
      </w:r>
    </w:p>
    <w:p w:rsidR="00557A6F" w:rsidRDefault="00557A6F" w:rsidP="00557A6F">
      <w:r>
        <w:t>Det vises til omtale av følgende vedtak i del I, pkt. 4:</w:t>
      </w:r>
    </w:p>
    <w:p w:rsidR="00557A6F" w:rsidRDefault="00557A6F" w:rsidP="00557A6F">
      <w:pPr>
        <w:pStyle w:val="blokksit"/>
      </w:pPr>
      <w:r>
        <w:t>«Stortinget ber regjeringen gjøre en gjennomgang av prinsipper og retningslinjer for samarbeid mellom staten og private aktører, med siktemål å redusere offentlige aktiviteter i velfungerende private/kommersielle markeder. Gjennomgangen bør være klar i løpet av 2018.»</w:t>
      </w:r>
    </w:p>
    <w:p w:rsidR="00557A6F" w:rsidRDefault="00557A6F" w:rsidP="00557A6F">
      <w:r>
        <w:t>I begrunnelsen for representantforslaget gjengis eksempler som representantene mener viser at st</w:t>
      </w:r>
      <w:r>
        <w:t>a</w:t>
      </w:r>
      <w:r>
        <w:t>ten tar på seg oppgaver som burde ha vært overlatt til markedet, deriblant eksempler på at staten tilbyr eller vil tilby tjenester til publikum som allerede blir tilbudt av kommersielle aktører. Det vises også til tilfeller der statlige virksomheter selv utfører oppgaver som tidligere ble satt ut i markedet, dette gjelder spesielt forskning</w:t>
      </w:r>
      <w:r>
        <w:t>s</w:t>
      </w:r>
      <w:r>
        <w:t xml:space="preserve">oppdrag. </w:t>
      </w:r>
    </w:p>
    <w:p w:rsidR="00557A6F" w:rsidRDefault="00557A6F" w:rsidP="00557A6F">
      <w:r>
        <w:t>Tilsvarende problemstilling har også blitt kommentert av Produktivitetskommisjonen. I kommisj</w:t>
      </w:r>
      <w:r>
        <w:t>o</w:t>
      </w:r>
      <w:r>
        <w:t>nens første rapport, NOU 2015: 1, står følgende i kapittel 10.2: «Offentlig eide virksomheter op</w:t>
      </w:r>
      <w:r>
        <w:t>e</w:t>
      </w:r>
      <w:r>
        <w:t>rerer på en rekke ulike o</w:t>
      </w:r>
      <w:r>
        <w:t>m</w:t>
      </w:r>
      <w:r>
        <w:t>råder, ofte i konkurranse med private. Videre ser man at private i økende grad ønsker å tilby samme type tjenester som det offentlige tradisjonelt har hatt ansvaret for. De siste tiårene har det funnet sted en liberalisering av markeder slik at mer av den tradisjonelt offen</w:t>
      </w:r>
      <w:r>
        <w:t>t</w:t>
      </w:r>
      <w:r>
        <w:t>lige tjenesteproduksjonen drives som kommersiell virksomhet, og private har også sluppet til. E</w:t>
      </w:r>
      <w:r>
        <w:t>k</w:t>
      </w:r>
      <w:r>
        <w:t>sempler er parkeringstjenester, avfallshåndtering, undervisning, drift av sykehjem mv. Utviklingen innebærer at det offentlige har blitt aktive både på tilbuds- og innkjøpssiden i markedet, og grens</w:t>
      </w:r>
      <w:r>
        <w:t>e</w:t>
      </w:r>
      <w:r>
        <w:t>dragningen mellom offentlig og privat tj</w:t>
      </w:r>
      <w:r>
        <w:t>e</w:t>
      </w:r>
      <w:r>
        <w:t xml:space="preserve">nesteproduksjon er blitt langt mindre klar.» </w:t>
      </w:r>
    </w:p>
    <w:p w:rsidR="00557A6F" w:rsidRDefault="00557A6F" w:rsidP="00557A6F">
      <w:r>
        <w:t>Anmodningsvedtaket uttrykker at siktemålet er å unngå at statlige virksomheter starter eller op</w:t>
      </w:r>
      <w:r>
        <w:t>p</w:t>
      </w:r>
      <w:r>
        <w:t>rettholder aktiv</w:t>
      </w:r>
      <w:r>
        <w:t>i</w:t>
      </w:r>
      <w:r>
        <w:t>tet på områder der det allerede finnes et velfungerende kommersielt marked av private akt</w:t>
      </w:r>
      <w:r>
        <w:t>ø</w:t>
      </w:r>
      <w:r>
        <w:t>rer. Perspektivet kan imidlertid utvides til også å omfatte aktiviteter der man kan tenke seg at det kunne bli et velfungerende marked for tjenesten dersom staten ikke hadde gått inn, selv om det ikke nødvendi</w:t>
      </w:r>
      <w:r>
        <w:t>g</w:t>
      </w:r>
      <w:r>
        <w:t xml:space="preserve">vis er det i dag. </w:t>
      </w:r>
    </w:p>
    <w:p w:rsidR="00557A6F" w:rsidRDefault="00557A6F" w:rsidP="00557A6F">
      <w:pPr>
        <w:pStyle w:val="avsnitt-under-undertittel"/>
      </w:pPr>
      <w:r>
        <w:lastRenderedPageBreak/>
        <w:t>Kartlegging av prinsipper, retningslinjer og praksis</w:t>
      </w:r>
    </w:p>
    <w:p w:rsidR="00557A6F" w:rsidRDefault="00557A6F" w:rsidP="00557A6F">
      <w:r>
        <w:t>Departementet gjennomførte våren 2018 en kartlegging blant alle departementene av hva som fi</w:t>
      </w:r>
      <w:r>
        <w:t>n</w:t>
      </w:r>
      <w:r>
        <w:t>nes i ulike statlige virksomheter av prinsipper, retningslinjer og praksis knyttet til bruk av ma</w:t>
      </w:r>
      <w:r>
        <w:t>r</w:t>
      </w:r>
      <w:r>
        <w:t>kedsaktører. I materialet som departementet fikk inn, finnes eksempler både på konkrete retning</w:t>
      </w:r>
      <w:r>
        <w:t>s</w:t>
      </w:r>
      <w:r>
        <w:t>linjer og på etablert praksis uten nedskrevne regler eller retningslinjer. Omtrent halvparten av de ca. 70 virksomhetene som ga tilbakemelding, oppgis å ha offisielle dokumenter som gir retning</w:t>
      </w:r>
      <w:r>
        <w:t>s</w:t>
      </w:r>
      <w:r>
        <w:t>linjer for deres forhold til markedet. De mest vanlige dokumentene det henvises til, er tildeling</w:t>
      </w:r>
      <w:r>
        <w:t>s</w:t>
      </w:r>
      <w:r>
        <w:t>brev og instrukser. Selv om halvparten av virksomhetene ikke har formelle dokumenter som omt</w:t>
      </w:r>
      <w:r>
        <w:t>a</w:t>
      </w:r>
      <w:r>
        <w:t>ler hvordan de skal forholde seg til mark</w:t>
      </w:r>
      <w:r>
        <w:t>e</w:t>
      </w:r>
      <w:r>
        <w:t>det, oppgir de fleste å ha et bevisst forhold til dette. Dette gjelder særlig virksomheter som har aktiviteter både i velfungerende markeder og i i</w:t>
      </w:r>
      <w:r>
        <w:t>k</w:t>
      </w:r>
      <w:r>
        <w:t>ke-velfungerende markeder. Mange av virksomhetene op</w:t>
      </w:r>
      <w:r>
        <w:t>p</w:t>
      </w:r>
      <w:r>
        <w:t>gir at de er i gang med å utarbeide egne strategier for valget mellom å utføre aktiviteter selv eller å se</w:t>
      </w:r>
      <w:r>
        <w:t>t</w:t>
      </w:r>
      <w:r>
        <w:t xml:space="preserve">te ut aktivitetene til markedet, særlig innenfor IKT. </w:t>
      </w:r>
    </w:p>
    <w:p w:rsidR="00557A6F" w:rsidRDefault="00557A6F" w:rsidP="00557A6F">
      <w:r>
        <w:t>Enkelte virksomheter oppgir at det er ønskelig å øke kompetansen hos og stimulere tilbudet av pr</w:t>
      </w:r>
      <w:r>
        <w:t>i</w:t>
      </w:r>
      <w:r>
        <w:t>vate leveran</w:t>
      </w:r>
      <w:r>
        <w:t>d</w:t>
      </w:r>
      <w:r>
        <w:t>ører. For eksempel er Norges vassdrags- og energidirektorat (NVE) i tildelingsbrevet for 2019 blitt bedt om å fortsette omstillingen av anleggsvirksomheten, slik at private entreprenører i større grad brukes til å utføre pe</w:t>
      </w:r>
      <w:r>
        <w:t>r</w:t>
      </w:r>
      <w:r>
        <w:t>manente sikringstiltak mot flom- og skredskader. NVEs egen utførelse av anlegg skal begrenses til sikringstiltak som er spesielt viktig for å opprettholde ko</w:t>
      </w:r>
      <w:r>
        <w:t>m</w:t>
      </w:r>
      <w:r>
        <w:t>petanse i NVE, for å kunne bistå og rådgi kommunene i beredskap</w:t>
      </w:r>
      <w:r>
        <w:t>s</w:t>
      </w:r>
      <w:r>
        <w:t>situasjoner.</w:t>
      </w:r>
    </w:p>
    <w:p w:rsidR="00557A6F" w:rsidRDefault="00557A6F" w:rsidP="00557A6F">
      <w:r>
        <w:t>Hovedinntrykket fra departementets kartlegging er at virksomhetene er bevisste på hvorvidt de opererer i et såkalt velfungerende marked eller ikke, men at de har ulik oppfatning av hvordan de er berørt av dette. Noen er mest op</w:t>
      </w:r>
      <w:r>
        <w:t>p</w:t>
      </w:r>
      <w:r>
        <w:t>tatt av hvordan de organiserer virksomheten sin internt, hvilke aktiviteter de gjør selv, og hva som settes ut til ma</w:t>
      </w:r>
      <w:r>
        <w:t>r</w:t>
      </w:r>
      <w:r>
        <w:t>kedet. Andre er også opptatt av hvordan deres tjenester fungerer i markedet, mens noen ikke oppfatter at de tjene</w:t>
      </w:r>
      <w:r>
        <w:t>s</w:t>
      </w:r>
      <w:r>
        <w:t xml:space="preserve">tene de tilbyr, berører markedet. De statlige virksomhetene har ulike rammebetingelser og behov selv innenfor samme sektor. Dette tilsier at det bør gis rom for skjønn, for å unngå løsninger som gir dårligere ressursbruk. </w:t>
      </w:r>
    </w:p>
    <w:p w:rsidR="00557A6F" w:rsidRDefault="00557A6F" w:rsidP="00557A6F">
      <w:pPr>
        <w:pStyle w:val="avsnitt-under-undertittel"/>
      </w:pPr>
      <w:r>
        <w:t>Mye er gjort</w:t>
      </w:r>
    </w:p>
    <w:p w:rsidR="00557A6F" w:rsidRDefault="00557A6F" w:rsidP="00557A6F">
      <w:r>
        <w:t>Regjeringen har de siste årene gjennomført en rekke tiltak som skal sikre samarbeid mellom offen</w:t>
      </w:r>
      <w:r>
        <w:t>t</w:t>
      </w:r>
      <w:r>
        <w:t>lige og private virksomheter, øke konkurransen og stimulere innovasjonskraften hos private ma</w:t>
      </w:r>
      <w:r>
        <w:t>r</w:t>
      </w:r>
      <w:r>
        <w:t xml:space="preserve">kedsaktører: </w:t>
      </w:r>
    </w:p>
    <w:p w:rsidR="00557A6F" w:rsidRDefault="00557A6F" w:rsidP="00557A6F">
      <w:pPr>
        <w:pStyle w:val="Liste"/>
      </w:pPr>
      <w:r>
        <w:t xml:space="preserve">Nøytral merverdiavgift i staten og i helseforetakene. </w:t>
      </w:r>
    </w:p>
    <w:p w:rsidR="00557A6F" w:rsidRDefault="00557A6F" w:rsidP="00557A6F">
      <w:pPr>
        <w:pStyle w:val="Liste"/>
      </w:pPr>
      <w:r>
        <w:t xml:space="preserve">Økt deling av offentlige data for viderebruk. </w:t>
      </w:r>
    </w:p>
    <w:p w:rsidR="00557A6F" w:rsidRDefault="00557A6F" w:rsidP="00557A6F">
      <w:pPr>
        <w:pStyle w:val="Liste"/>
      </w:pPr>
      <w:r>
        <w:t xml:space="preserve">Forenklet anskaffelsesregelverk. </w:t>
      </w:r>
    </w:p>
    <w:p w:rsidR="00557A6F" w:rsidRDefault="00557A6F" w:rsidP="00557A6F">
      <w:pPr>
        <w:pStyle w:val="Liste"/>
      </w:pPr>
      <w:r>
        <w:t>Påslag for kostnader til tjenestepensjon for virksomhetene i staten. Det innebærer at en a</w:t>
      </w:r>
      <w:r>
        <w:t>r</w:t>
      </w:r>
      <w:r>
        <w:t xml:space="preserve">beidsgiverandel av pensjonspremien belastes virksomheten og dermed bedre reflekterer virksomhetenes lønnskostnader. Ordningen, i kombinasjon med nøytral merverdiavgift, har bidratt til en riktigere avveining mellom lønns- og andre kostnader ved egenproduksjon versus kjøp av tjenester. </w:t>
      </w:r>
    </w:p>
    <w:p w:rsidR="00557A6F" w:rsidRDefault="00557A6F" w:rsidP="00557A6F">
      <w:pPr>
        <w:pStyle w:val="Liste"/>
      </w:pPr>
      <w:r>
        <w:t>Metoder for og veiledning i bruk av innovative anskaffelser, blant annet gjennom Lev</w:t>
      </w:r>
      <w:r>
        <w:t>e</w:t>
      </w:r>
      <w:r>
        <w:t xml:space="preserve">randørutviklingsprogrammet. Dette er et samarbeid mellom NHO, KS, Difi, Innovasjon Norge og Forskningsrådet for å få mer innovasjon gjennom offentlige anskaffelser. </w:t>
      </w:r>
    </w:p>
    <w:p w:rsidR="00557A6F" w:rsidRDefault="00557A6F" w:rsidP="00557A6F">
      <w:pPr>
        <w:pStyle w:val="Liste"/>
      </w:pPr>
      <w:r>
        <w:t>Krav i Digitaliseringsrundskrivet (rundskriv H-8/18) om at statlige virksomheter skal uta</w:t>
      </w:r>
      <w:r>
        <w:t>r</w:t>
      </w:r>
      <w:r>
        <w:t xml:space="preserve">beide en strategi for hvordan oppgaven skal løses. Som veiledning står: </w:t>
      </w:r>
      <w:r>
        <w:rPr>
          <w:rStyle w:val="kursiv"/>
          <w:sz w:val="21"/>
          <w:szCs w:val="21"/>
        </w:rPr>
        <w:t>«Ved utvikling, fo</w:t>
      </w:r>
      <w:r>
        <w:rPr>
          <w:rStyle w:val="kursiv"/>
          <w:sz w:val="21"/>
          <w:szCs w:val="21"/>
        </w:rPr>
        <w:t>r</w:t>
      </w:r>
      <w:r>
        <w:rPr>
          <w:rStyle w:val="kursiv"/>
          <w:sz w:val="21"/>
          <w:szCs w:val="21"/>
        </w:rPr>
        <w:t>valtning og drift av digitale løsninger, må virksomheten ta stilling til hva de skal utføre selv gjennom intern organisering og a</w:t>
      </w:r>
      <w:r>
        <w:rPr>
          <w:rStyle w:val="kursiv"/>
          <w:sz w:val="21"/>
          <w:szCs w:val="21"/>
        </w:rPr>
        <w:t>n</w:t>
      </w:r>
      <w:r>
        <w:rPr>
          <w:rStyle w:val="kursiv"/>
          <w:sz w:val="21"/>
          <w:szCs w:val="21"/>
        </w:rPr>
        <w:t xml:space="preserve">settelser, og hva som helt eller delvis skal overlates til eksterne aktører.» </w:t>
      </w:r>
    </w:p>
    <w:p w:rsidR="00557A6F" w:rsidRDefault="00557A6F" w:rsidP="00557A6F">
      <w:pPr>
        <w:pStyle w:val="Liste"/>
      </w:pPr>
      <w:r>
        <w:t>Tiltak for støtte til oppstartsbedrifter og utvikling av nye produkter. Siden 2013 er bevil</w:t>
      </w:r>
      <w:r>
        <w:t>g</w:t>
      </w:r>
      <w:r>
        <w:t>ningene til ti</w:t>
      </w:r>
      <w:r>
        <w:t>l</w:t>
      </w:r>
      <w:r>
        <w:t>tak for å legge til rette for innovasjon og omstilling økt betydelig, blant annet gjennom økte midler til etablerertilskudd, miljøteknologi, muliggjørende teknologier, bi</w:t>
      </w:r>
      <w:r>
        <w:t>o</w:t>
      </w:r>
      <w:r>
        <w:t>økonomi, presåkornfond, FO</w:t>
      </w:r>
      <w:r>
        <w:t>R</w:t>
      </w:r>
      <w:r>
        <w:t>NY2020 og næringsrettet forskning. Videre er det etablert en ordning med tilskudd til testfasiliteter (katapultordningen). Katapultordningen gir ind</w:t>
      </w:r>
      <w:r>
        <w:t>u</w:t>
      </w:r>
      <w:r>
        <w:t>strien tilgang til testfasiliteter for økt innovasjon og verdiskaping. Målgruppen er bedrifter og utviklings- og forskningsmiljø over hele landet. Det er så langt utpekt fem katapultsen</w:t>
      </w:r>
      <w:r>
        <w:t>t</w:t>
      </w:r>
      <w:r>
        <w:t xml:space="preserve">re, lokalisert på Raufoss, Stord, Bergen, Kristiansand og Ålesund. </w:t>
      </w:r>
    </w:p>
    <w:p w:rsidR="00557A6F" w:rsidRDefault="00557A6F" w:rsidP="00557A6F">
      <w:pPr>
        <w:pStyle w:val="avsnitt-under-undertittel"/>
      </w:pPr>
      <w:r>
        <w:lastRenderedPageBreak/>
        <w:t>Pågående arbeider</w:t>
      </w:r>
    </w:p>
    <w:p w:rsidR="00557A6F" w:rsidRDefault="00557A6F" w:rsidP="00557A6F">
      <w:r>
        <w:t>Flere departementer er berørt av anmodningsvedtaket og tilgrensende og pågående arbe</w:t>
      </w:r>
      <w:r>
        <w:t>i</w:t>
      </w:r>
      <w:r>
        <w:t xml:space="preserve">der/utredninger. Viktige tilgrensende saker som er under arbeid, er: </w:t>
      </w:r>
    </w:p>
    <w:p w:rsidR="00557A6F" w:rsidRDefault="00557A6F" w:rsidP="00557A6F">
      <w:pPr>
        <w:pStyle w:val="Liste"/>
      </w:pPr>
      <w:r>
        <w:t>Nærings- og fiskeridepartementet arbeider med oppfølging av en ekstern arbeidsgruppes rapport fra 2018 om konkurranse på like vilkår. Regjeringen ønsker å finne fornuftige lø</w:t>
      </w:r>
      <w:r>
        <w:t>s</w:t>
      </w:r>
      <w:r>
        <w:t>ninger som sikrer like konku</w:t>
      </w:r>
      <w:r>
        <w:t>r</w:t>
      </w:r>
      <w:r>
        <w:t>ransevilkår mellom offentlige og private aktører når de driver økonomisk aktivitet. Saken handler overordnet om hvilke regler vi skal ha når det offentl</w:t>
      </w:r>
      <w:r>
        <w:t>i</w:t>
      </w:r>
      <w:r>
        <w:t xml:space="preserve">ge driver kommersielt. </w:t>
      </w:r>
    </w:p>
    <w:p w:rsidR="00557A6F" w:rsidRDefault="00557A6F" w:rsidP="00557A6F">
      <w:pPr>
        <w:pStyle w:val="Liste"/>
      </w:pPr>
      <w:r>
        <w:t>Regjeringen nedsatte i september 2018 et ekspertutvalg som skal gå igjennom og kartlegge bruk av private aktører i offentlig finansierte velferdstjenester. Etter mandatet skal eksper</w:t>
      </w:r>
      <w:r>
        <w:t>t</w:t>
      </w:r>
      <w:r>
        <w:t>utvalget blant annet kartlegge ulike former for offentlig finansierte velferdstjenester der private aktører tar del i tjenesteproduksjonen og gi en oversikt over tjenester som kun utf</w:t>
      </w:r>
      <w:r>
        <w:t>ø</w:t>
      </w:r>
      <w:r>
        <w:t>res i egenregi. Videre skal utvalget kartlegge begrunnelser for å bruke private aktører på de ulike velferdstjenesteområdene og om målene for bruk av private aktører er nådd. Utvalget skal også se på private velferdsleverandørers eierskap, organisering og pengestrømmer og hvordan private velferdsleverandører tilpasser seg o</w:t>
      </w:r>
      <w:r>
        <w:t>f</w:t>
      </w:r>
      <w:r>
        <w:t xml:space="preserve">fentlige reguleringer. </w:t>
      </w:r>
    </w:p>
    <w:p w:rsidR="00557A6F" w:rsidRDefault="00557A6F" w:rsidP="00557A6F">
      <w:pPr>
        <w:pStyle w:val="Liste"/>
      </w:pPr>
      <w:r>
        <w:t>Regjeringen ønsker større rolleklarhet på e-helseområdet. Dette skal oppnås ved å etablere et tydelig skille mellom Direktoratet for e-helses rolle som fagorgan, premissgiver og p</w:t>
      </w:r>
      <w:r>
        <w:t>å</w:t>
      </w:r>
      <w:r>
        <w:t xml:space="preserve">driver på e-helseområdet fra funksjonen som tjenesteleverandør. Regjeringen tar sikte på å etablere ny tjenesteleverandør på e-helseområdet med utgangspunkt i Norsk Helsenett SF fra 1. januar 2020, jf. Prop. 114 S (2018–2019) </w:t>
      </w:r>
      <w:r>
        <w:rPr>
          <w:rStyle w:val="kursiv"/>
          <w:sz w:val="21"/>
          <w:szCs w:val="21"/>
        </w:rPr>
        <w:t>Tilleggsbevilgninger og omprioriteringer i stat</w:t>
      </w:r>
      <w:r>
        <w:rPr>
          <w:rStyle w:val="kursiv"/>
          <w:sz w:val="21"/>
          <w:szCs w:val="21"/>
        </w:rPr>
        <w:t>s</w:t>
      </w:r>
      <w:r>
        <w:rPr>
          <w:rStyle w:val="kursiv"/>
          <w:sz w:val="21"/>
          <w:szCs w:val="21"/>
        </w:rPr>
        <w:t xml:space="preserve">budsjettet 2019 </w:t>
      </w:r>
      <w:r>
        <w:t>(side 97).</w:t>
      </w:r>
    </w:p>
    <w:p w:rsidR="00557A6F" w:rsidRDefault="00557A6F" w:rsidP="00557A6F">
      <w:pPr>
        <w:pStyle w:val="Liste"/>
      </w:pPr>
      <w:r>
        <w:t>Kunnskapsdepartementet gjennomgår, i samarbeid med andre berørte departementer, den norske forskningsinstituttsektoren og politikken som angår sektoren. Ett av temaene som blir belyst, er forholdet me</w:t>
      </w:r>
      <w:r>
        <w:t>l</w:t>
      </w:r>
      <w:r>
        <w:t>lom departementenes konkurranseutsetting av forskningsmidler og direktetildeling av midler fra departementer til forskningsinstitusjoner. Granavo</w:t>
      </w:r>
      <w:r>
        <w:t>l</w:t>
      </w:r>
      <w:r>
        <w:t>den-plattformen slår fast at mest mulig av forskningen i Norge skal finansieres gjennom frie bevilgninger og gjennom åpne, nasjonale forskningsprogrammer. Et hovedprinsipp i forskningspolitikken ble formulert i den såkalte Langslet-doktrinen, som ble introdusert a</w:t>
      </w:r>
      <w:r>
        <w:t>l</w:t>
      </w:r>
      <w:r>
        <w:t xml:space="preserve">lerede i St.meld. nr. 60 (1984–85) </w:t>
      </w:r>
      <w:r>
        <w:rPr>
          <w:rStyle w:val="kursiv"/>
          <w:spacing w:val="2"/>
          <w:sz w:val="21"/>
          <w:szCs w:val="21"/>
        </w:rPr>
        <w:t>Om forskningen i Norge</w:t>
      </w:r>
      <w:r>
        <w:t>. Den har siden ligget til grunn for departementenes forskningspolitikk. Hovedprinsippet i doktrinen er at det enkelte depart</w:t>
      </w:r>
      <w:r>
        <w:t>e</w:t>
      </w:r>
      <w:r>
        <w:t>ment skal ha ansvar for forskningen innenfor sin sektor slik at departementene kanaliserer sine langsiktige forsknings-/kunnskapsbehov gjennom forskningsrådssystemet, mens de kortsiktige, beslutningsrettede forskningsbehovene dekkes gjennom kjøp av forskningstj</w:t>
      </w:r>
      <w:r>
        <w:t>e</w:t>
      </w:r>
      <w:r>
        <w:t>nester i et oppdragsmarked. Det følger av Langslet-doktrinen at midler til forskning og u</w:t>
      </w:r>
      <w:r>
        <w:t>t</w:t>
      </w:r>
      <w:r>
        <w:t>viklingsarbeid (FoU) fortrinnsvis bør konkurranseutsettes. For institutter som i stor grad opererer i et oppdragsmarked, er dette særlig viktig. På den annen side kan direktetild</w:t>
      </w:r>
      <w:r>
        <w:t>e</w:t>
      </w:r>
      <w:r>
        <w:t>linger ha en god strategisk eller politisk begrunnelse. Det gjelder for eksempel grunnb</w:t>
      </w:r>
      <w:r>
        <w:t>e</w:t>
      </w:r>
      <w:r>
        <w:t>vilgning til forskningsinstitutter og forskning som vanskelig kan skilles fra forvaltning. Det er viktig at departementene er bevisste på hvilken kanal de velger for finansiering av fors</w:t>
      </w:r>
      <w:r>
        <w:t>k</w:t>
      </w:r>
      <w:r>
        <w:t xml:space="preserve">ning, jf. </w:t>
      </w:r>
      <w:r>
        <w:rPr>
          <w:rStyle w:val="kursiv"/>
          <w:spacing w:val="2"/>
          <w:sz w:val="21"/>
          <w:szCs w:val="21"/>
        </w:rPr>
        <w:t>Veileder for sektoransvaret for forskning</w:t>
      </w:r>
      <w:r>
        <w:t xml:space="preserve"> (Kunnskapsdepartementet 2017). Departeme</w:t>
      </w:r>
      <w:r>
        <w:t>n</w:t>
      </w:r>
      <w:r>
        <w:t>tene bør være tilbakeholdne med direktetildelinger der det eksisterer et velfungerende marked.</w:t>
      </w:r>
    </w:p>
    <w:p w:rsidR="00557A6F" w:rsidRDefault="00557A6F" w:rsidP="00557A6F">
      <w:pPr>
        <w:pStyle w:val="avsnitt-under-undertittel"/>
      </w:pPr>
      <w:r>
        <w:t>Regjeringens prinsipielle holdning til forholdet mellom offentlig sektor og markedet</w:t>
      </w:r>
    </w:p>
    <w:p w:rsidR="00557A6F" w:rsidRDefault="00557A6F" w:rsidP="00557A6F">
      <w:r>
        <w:t>Regjeringsplattformen (Granavolden) inneholder flere punkter og tiltak om forholdet mellom o</w:t>
      </w:r>
      <w:r>
        <w:t>f</w:t>
      </w:r>
      <w:r>
        <w:t>fentlig sektor og markedet. Konkret heter det her blant annet at regjeringen vil:</w:t>
      </w:r>
    </w:p>
    <w:p w:rsidR="00557A6F" w:rsidRDefault="00557A6F" w:rsidP="00557A6F">
      <w:pPr>
        <w:pStyle w:val="Liste"/>
      </w:pPr>
      <w:r>
        <w:t>Legge til rette for å la private tilbydere konkurrere om å levere offentlig finansierte tjene</w:t>
      </w:r>
      <w:r>
        <w:t>s</w:t>
      </w:r>
      <w:r>
        <w:t>ter der det er fornuftig.</w:t>
      </w:r>
    </w:p>
    <w:p w:rsidR="00557A6F" w:rsidRDefault="00557A6F" w:rsidP="00557A6F">
      <w:pPr>
        <w:pStyle w:val="Liste"/>
      </w:pPr>
      <w:r>
        <w:t>Klargjøre arbeidsdeling mellom privat og offentlig sektor i tråd med markeds- og teknol</w:t>
      </w:r>
      <w:r>
        <w:t>o</w:t>
      </w:r>
      <w:r>
        <w:t xml:space="preserve">giutviklingen. </w:t>
      </w:r>
    </w:p>
    <w:p w:rsidR="00557A6F" w:rsidRDefault="00557A6F" w:rsidP="00557A6F">
      <w:r>
        <w:t xml:space="preserve">I tillegg står det i regjeringsplattformen at regjeringen vil: </w:t>
      </w:r>
    </w:p>
    <w:p w:rsidR="00557A6F" w:rsidRDefault="00557A6F" w:rsidP="00557A6F">
      <w:pPr>
        <w:pStyle w:val="Liste"/>
      </w:pPr>
      <w:r>
        <w:t>Hindre at offentlige økonomiske virksomheter gis særfordeler som fører til konkurrans</w:t>
      </w:r>
      <w:r>
        <w:t>e</w:t>
      </w:r>
      <w:r>
        <w:t>vridning.</w:t>
      </w:r>
    </w:p>
    <w:p w:rsidR="00557A6F" w:rsidRDefault="00557A6F" w:rsidP="00557A6F">
      <w:pPr>
        <w:pStyle w:val="Liste"/>
      </w:pPr>
      <w:r>
        <w:t>Gjennomføre tiltak for å sikre like konkurransevilkår mellom offentlig og privat sektor, slik at flere pr</w:t>
      </w:r>
      <w:r>
        <w:t>i</w:t>
      </w:r>
      <w:r>
        <w:t>vate tjenestetilbydere i større grad kan bidra til å løse fellesskapets oppgaver.</w:t>
      </w:r>
    </w:p>
    <w:p w:rsidR="00557A6F" w:rsidRDefault="00557A6F" w:rsidP="00557A6F">
      <w:r>
        <w:lastRenderedPageBreak/>
        <w:t>Ideelle aktører er også en viktig del av velferdssamfunnet og utgjør et viktig alternativ til både det offen</w:t>
      </w:r>
      <w:r>
        <w:t>t</w:t>
      </w:r>
      <w:r>
        <w:t>lige og kommersielle tilbudet. Regjeringen er derfor opptatt av å tilrettelegge for økt bruk av ideell vir</w:t>
      </w:r>
      <w:r>
        <w:t>k</w:t>
      </w:r>
      <w:r>
        <w:t xml:space="preserve">somhet innen relevante samfunnssektorer. </w:t>
      </w:r>
    </w:p>
    <w:p w:rsidR="00557A6F" w:rsidRDefault="00557A6F" w:rsidP="00557A6F">
      <w:r>
        <w:t>Regjeringens prinsipielle holdning til forholdet mellom offentlig sektor og markedet er tydelig u</w:t>
      </w:r>
      <w:r>
        <w:t>t</w:t>
      </w:r>
      <w:r>
        <w:t xml:space="preserve">trykt i flere dokumenter, blant annet i Nasjonalbudsjettet 2017: </w:t>
      </w:r>
      <w:r>
        <w:rPr>
          <w:rStyle w:val="kursiv"/>
          <w:sz w:val="21"/>
          <w:szCs w:val="21"/>
        </w:rPr>
        <w:t>«Samfunnets samlede ressurser må u</w:t>
      </w:r>
      <w:r>
        <w:rPr>
          <w:rStyle w:val="kursiv"/>
          <w:sz w:val="21"/>
          <w:szCs w:val="21"/>
        </w:rPr>
        <w:t>t</w:t>
      </w:r>
      <w:r>
        <w:rPr>
          <w:rStyle w:val="kursiv"/>
          <w:sz w:val="21"/>
          <w:szCs w:val="21"/>
        </w:rPr>
        <w:t>nyttes på en god måte. Offentlig sektor bør i utgangspunktet ikke skjermes fra konkurranse fra private. Effektiv ressursbruk tilsier at en gitt tjeneste må leveres av den mest effektive leverandøren, uavhengig av om den er pr</w:t>
      </w:r>
      <w:r>
        <w:rPr>
          <w:rStyle w:val="kursiv"/>
          <w:sz w:val="21"/>
          <w:szCs w:val="21"/>
        </w:rPr>
        <w:t>i</w:t>
      </w:r>
      <w:r>
        <w:rPr>
          <w:rStyle w:val="kursiv"/>
          <w:sz w:val="21"/>
          <w:szCs w:val="21"/>
        </w:rPr>
        <w:t>vat eller offentlig.».</w:t>
      </w:r>
      <w:r>
        <w:t xml:space="preserve"> </w:t>
      </w:r>
    </w:p>
    <w:p w:rsidR="00557A6F" w:rsidRDefault="00557A6F" w:rsidP="00557A6F">
      <w:r>
        <w:t>Ulike sektorvise, strategiske dokumenter markerer også tilsvarende prinsipper:</w:t>
      </w:r>
    </w:p>
    <w:p w:rsidR="00557A6F" w:rsidRDefault="00557A6F" w:rsidP="00557A6F">
      <w:pPr>
        <w:pStyle w:val="Liste"/>
      </w:pPr>
      <w:r>
        <w:t xml:space="preserve">Regjeringen la våren 2019 fram Meld. St. 18 (2018–2019) </w:t>
      </w:r>
      <w:r>
        <w:rPr>
          <w:rStyle w:val="kursiv"/>
          <w:sz w:val="21"/>
          <w:szCs w:val="21"/>
        </w:rPr>
        <w:t>Helsenæringen – Sammen om verd</w:t>
      </w:r>
      <w:r>
        <w:rPr>
          <w:rStyle w:val="kursiv"/>
          <w:sz w:val="21"/>
          <w:szCs w:val="21"/>
        </w:rPr>
        <w:t>i</w:t>
      </w:r>
      <w:r>
        <w:rPr>
          <w:rStyle w:val="kursiv"/>
          <w:sz w:val="21"/>
          <w:szCs w:val="21"/>
        </w:rPr>
        <w:t>skaping og bedre tjenester</w:t>
      </w:r>
      <w:r>
        <w:t>. Stortingsmeldingen ser regjeringens næringspolitiske og helsepol</w:t>
      </w:r>
      <w:r>
        <w:t>i</w:t>
      </w:r>
      <w:r>
        <w:t>tiske mål i sammenheng, og omtaler en rekke temaer som belyser behovet for samarbeid mellom helse- og omsorgssektoren og næringslivet. Da kan det dras nytte av innovasjon</w:t>
      </w:r>
      <w:r>
        <w:t>s</w:t>
      </w:r>
      <w:r>
        <w:t>kraften, kompetansen og ressursene som finnes i norske bedrifter. Innledningsvis i kapittel 5 om de næringspolitiske og helsepolitiske målene markeres blant annet at markedslø</w:t>
      </w:r>
      <w:r>
        <w:t>s</w:t>
      </w:r>
      <w:r>
        <w:t xml:space="preserve">ninger skal prioriteres (s. 37): </w:t>
      </w:r>
      <w:r>
        <w:rPr>
          <w:rStyle w:val="kursiv"/>
          <w:sz w:val="21"/>
          <w:szCs w:val="21"/>
        </w:rPr>
        <w:t>«En effektiv offentlig sektor er nødvendig for å møte behovet for ve</w:t>
      </w:r>
      <w:r>
        <w:rPr>
          <w:rStyle w:val="kursiv"/>
          <w:sz w:val="21"/>
          <w:szCs w:val="21"/>
        </w:rPr>
        <w:t>l</w:t>
      </w:r>
      <w:r>
        <w:rPr>
          <w:rStyle w:val="kursiv"/>
          <w:sz w:val="21"/>
          <w:szCs w:val="21"/>
        </w:rPr>
        <w:t>ferdstjenester uten at dette reduserer tilgangen på arbeidskraft i privat sektor. R</w:t>
      </w:r>
      <w:r>
        <w:rPr>
          <w:rStyle w:val="kursiv"/>
          <w:sz w:val="21"/>
          <w:szCs w:val="21"/>
        </w:rPr>
        <w:t>e</w:t>
      </w:r>
      <w:r>
        <w:rPr>
          <w:rStyle w:val="kursiv"/>
          <w:sz w:val="21"/>
          <w:szCs w:val="21"/>
        </w:rPr>
        <w:t>gjeringen vil føre en politikk der offentlig sektor i større grad samarbeider med næringslivet. Dette innebærer at den offen</w:t>
      </w:r>
      <w:r>
        <w:rPr>
          <w:rStyle w:val="kursiv"/>
          <w:sz w:val="21"/>
          <w:szCs w:val="21"/>
        </w:rPr>
        <w:t>t</w:t>
      </w:r>
      <w:r>
        <w:rPr>
          <w:rStyle w:val="kursiv"/>
          <w:sz w:val="21"/>
          <w:szCs w:val="21"/>
        </w:rPr>
        <w:t>lige helse- og omsorgstjenesten både kjøper varer og tjenester i markedet, og at den etterspør løsninger fra privat sektor framfor å utvikle egne løsninger.»</w:t>
      </w:r>
    </w:p>
    <w:p w:rsidR="00557A6F" w:rsidRDefault="00557A6F" w:rsidP="00557A6F">
      <w:pPr>
        <w:pStyle w:val="Liste"/>
      </w:pPr>
      <w:r>
        <w:rPr>
          <w:rStyle w:val="kursiv"/>
          <w:sz w:val="21"/>
          <w:szCs w:val="21"/>
        </w:rPr>
        <w:t>Digitaliseringsstrategi for offentlig sektor 2019–2025</w:t>
      </w:r>
      <w:r>
        <w:t xml:space="preserve"> slår fast at offentlig sektor skal unngå å utvikle digitale løsninger i konkurranse med privat sektor. Offentlig sektor skal utnytte i</w:t>
      </w:r>
      <w:r>
        <w:t>n</w:t>
      </w:r>
      <w:r>
        <w:t>novasjonskraften i privat sektor i utviklingen av digitale løsninger og tjenester. I tillegg skal offentlig sektor publisere åpne, offentlige data for å stimulere til innovasjon, både i offentlig og privat sektor. Erfaringer viser at offentlige oppdragsgivere i stor grad detal</w:t>
      </w:r>
      <w:r>
        <w:t>j</w:t>
      </w:r>
      <w:r>
        <w:t>spesifiserer løsninger når de lyser ut oppdrag istedenfor å beskrive behovet sitt. Oppstart</w:t>
      </w:r>
      <w:r>
        <w:t>s</w:t>
      </w:r>
      <w:r>
        <w:t>selskaper og andre små og mellomstore IT-leverandører med gode og innovative løsninger på offentlige behov blir da sjelden aktuelle. I USA har offentlig sektor i mange år hatt ulike ordninger som stimulerer til samarbeid mellom offentlig sektor og oppstartsselskaper. Nå begynner også slike ordninger å bre om seg i Europa. Nederland, Spania og Storbritannia har etablert programmer som kobler offentlig sektors behov sammen med oppstartsselsk</w:t>
      </w:r>
      <w:r>
        <w:t>a</w:t>
      </w:r>
      <w:r>
        <w:t>per og legger til rette for samhandling. Regjeringen vil nå forberede tiltak for økt samhan</w:t>
      </w:r>
      <w:r>
        <w:t>d</w:t>
      </w:r>
      <w:r>
        <w:t xml:space="preserve">ling mellom offentlig sektor og oppstartsselskaper også i Norge, etter modell av liknende programmer i USA og Europa. </w:t>
      </w:r>
    </w:p>
    <w:p w:rsidR="00557A6F" w:rsidRDefault="00557A6F" w:rsidP="00557A6F">
      <w:r>
        <w:t>Som det går fram av redegjørelsen foran, er det utført mye, og det pågår fortsatt mye viktig arbeid som utvikler samarbeidet mellom staten og private aktører. Departementet anser med dette at a</w:t>
      </w:r>
      <w:r>
        <w:t>n</w:t>
      </w:r>
      <w:r>
        <w:t xml:space="preserve">modningsvedtaket er fulgt opp. </w:t>
      </w:r>
    </w:p>
    <w:p w:rsidR="00557A6F" w:rsidRDefault="00557A6F" w:rsidP="00557A6F">
      <w:pPr>
        <w:pStyle w:val="b-budkaptit"/>
      </w:pPr>
      <w:r>
        <w:t>Kap. 540 Digitaliseringsdirektoratet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7A6F" w:rsidTr="00557A6F">
        <w:trPr>
          <w:trHeight w:val="640"/>
        </w:trPr>
        <w:tc>
          <w:tcPr>
            <w:tcW w:w="1140" w:type="dxa"/>
            <w:shd w:val="clear" w:color="auto" w:fill="FFFFFF"/>
          </w:tcPr>
          <w:p w:rsidR="00557A6F" w:rsidRDefault="00557A6F" w:rsidP="00557A6F">
            <w:pPr>
              <w:pStyle w:val="Tabellnavn"/>
            </w:pPr>
            <w:r>
              <w:t>KPAL</w:t>
            </w:r>
          </w:p>
        </w:tc>
        <w:tc>
          <w:tcPr>
            <w:tcW w:w="4560" w:type="dxa"/>
          </w:tcPr>
          <w:p w:rsidR="00557A6F" w:rsidRDefault="00557A6F" w:rsidP="00557A6F"/>
        </w:tc>
        <w:tc>
          <w:tcPr>
            <w:tcW w:w="1140" w:type="dxa"/>
          </w:tcPr>
          <w:p w:rsidR="00557A6F" w:rsidRDefault="00557A6F" w:rsidP="00557A6F">
            <w:pPr>
              <w:pStyle w:val="Tabellnavn"/>
              <w:jc w:val="right"/>
            </w:pPr>
          </w:p>
        </w:tc>
        <w:tc>
          <w:tcPr>
            <w:tcW w:w="1140" w:type="dxa"/>
          </w:tcPr>
          <w:p w:rsidR="00557A6F" w:rsidRDefault="00557A6F" w:rsidP="00557A6F">
            <w:pPr>
              <w:pStyle w:val="Tabellnavn"/>
              <w:jc w:val="right"/>
            </w:pPr>
          </w:p>
        </w:tc>
        <w:tc>
          <w:tcPr>
            <w:tcW w:w="1140" w:type="dxa"/>
          </w:tcPr>
          <w:p w:rsidR="00557A6F" w:rsidRDefault="00557A6F" w:rsidP="00557A6F">
            <w:pPr>
              <w:jc w:val="right"/>
            </w:pPr>
            <w:r>
              <w:t>(i 1 000 kr)</w:t>
            </w:r>
          </w:p>
        </w:tc>
      </w:tr>
      <w:tr w:rsidR="00557A6F" w:rsidTr="00557A6F">
        <w:trPr>
          <w:trHeight w:val="600"/>
        </w:trPr>
        <w:tc>
          <w:tcPr>
            <w:tcW w:w="1140" w:type="dxa"/>
          </w:tcPr>
          <w:p w:rsidR="00557A6F" w:rsidRDefault="00557A6F" w:rsidP="00557A6F">
            <w:r>
              <w:t>Post</w:t>
            </w:r>
          </w:p>
        </w:tc>
        <w:tc>
          <w:tcPr>
            <w:tcW w:w="4560" w:type="dxa"/>
          </w:tcPr>
          <w:p w:rsidR="00557A6F" w:rsidRDefault="00557A6F" w:rsidP="00557A6F">
            <w:r>
              <w:t>Betegnelse</w:t>
            </w:r>
          </w:p>
        </w:tc>
        <w:tc>
          <w:tcPr>
            <w:tcW w:w="1140" w:type="dxa"/>
          </w:tcPr>
          <w:p w:rsidR="00557A6F" w:rsidRDefault="00557A6F" w:rsidP="00557A6F">
            <w:pPr>
              <w:jc w:val="right"/>
            </w:pPr>
            <w:r>
              <w:t>Regnskap 2018</w:t>
            </w:r>
          </w:p>
        </w:tc>
        <w:tc>
          <w:tcPr>
            <w:tcW w:w="1140" w:type="dxa"/>
          </w:tcPr>
          <w:p w:rsidR="00557A6F" w:rsidRDefault="00557A6F" w:rsidP="00557A6F">
            <w:pPr>
              <w:jc w:val="right"/>
            </w:pPr>
            <w:r>
              <w:t xml:space="preserve">Saldert </w:t>
            </w:r>
            <w:r>
              <w:br/>
              <w:t>budsjett 2019</w:t>
            </w:r>
          </w:p>
        </w:tc>
        <w:tc>
          <w:tcPr>
            <w:tcW w:w="1140" w:type="dxa"/>
          </w:tcPr>
          <w:p w:rsidR="00557A6F" w:rsidRDefault="00557A6F" w:rsidP="00557A6F">
            <w:pPr>
              <w:jc w:val="right"/>
            </w:pPr>
            <w:r>
              <w:t xml:space="preserve">Forslag </w:t>
            </w:r>
            <w:r>
              <w:br/>
              <w:t>2020</w:t>
            </w:r>
          </w:p>
        </w:tc>
      </w:tr>
      <w:tr w:rsidR="00557A6F" w:rsidTr="00557A6F">
        <w:trPr>
          <w:trHeight w:val="380"/>
        </w:trPr>
        <w:tc>
          <w:tcPr>
            <w:tcW w:w="1140" w:type="dxa"/>
          </w:tcPr>
          <w:p w:rsidR="00557A6F" w:rsidRDefault="00557A6F" w:rsidP="00557A6F">
            <w:r>
              <w:t>01</w:t>
            </w:r>
          </w:p>
        </w:tc>
        <w:tc>
          <w:tcPr>
            <w:tcW w:w="4560" w:type="dxa"/>
          </w:tcPr>
          <w:p w:rsidR="00557A6F" w:rsidRDefault="00557A6F" w:rsidP="00557A6F">
            <w:r>
              <w:t xml:space="preserve">Driftsutgifter </w:t>
            </w:r>
          </w:p>
        </w:tc>
        <w:tc>
          <w:tcPr>
            <w:tcW w:w="1140" w:type="dxa"/>
          </w:tcPr>
          <w:p w:rsidR="00557A6F" w:rsidRDefault="00557A6F" w:rsidP="00557A6F">
            <w:pPr>
              <w:jc w:val="right"/>
            </w:pPr>
            <w:r>
              <w:t>289 552</w:t>
            </w:r>
          </w:p>
        </w:tc>
        <w:tc>
          <w:tcPr>
            <w:tcW w:w="1140" w:type="dxa"/>
          </w:tcPr>
          <w:p w:rsidR="00557A6F" w:rsidRDefault="00557A6F" w:rsidP="00557A6F">
            <w:pPr>
              <w:jc w:val="right"/>
            </w:pPr>
            <w:r>
              <w:t>291 044</w:t>
            </w:r>
          </w:p>
        </w:tc>
        <w:tc>
          <w:tcPr>
            <w:tcW w:w="1140" w:type="dxa"/>
          </w:tcPr>
          <w:p w:rsidR="00557A6F" w:rsidRDefault="00557A6F" w:rsidP="00557A6F">
            <w:pPr>
              <w:jc w:val="right"/>
            </w:pPr>
            <w:r>
              <w:t>233 339</w:t>
            </w:r>
          </w:p>
        </w:tc>
      </w:tr>
      <w:tr w:rsidR="00557A6F" w:rsidTr="00557A6F">
        <w:trPr>
          <w:trHeight w:val="380"/>
        </w:trPr>
        <w:tc>
          <w:tcPr>
            <w:tcW w:w="1140" w:type="dxa"/>
          </w:tcPr>
          <w:p w:rsidR="00557A6F" w:rsidRDefault="00557A6F" w:rsidP="00557A6F">
            <w:r>
              <w:t>21</w:t>
            </w:r>
          </w:p>
        </w:tc>
        <w:tc>
          <w:tcPr>
            <w:tcW w:w="4560" w:type="dxa"/>
          </w:tcPr>
          <w:p w:rsidR="00557A6F" w:rsidRDefault="00557A6F" w:rsidP="00557A6F">
            <w:r>
              <w:t>Spesielle driftsutgifter</w:t>
            </w:r>
            <w:r>
              <w:rPr>
                <w:rStyle w:val="kursiv"/>
                <w:sz w:val="21"/>
                <w:szCs w:val="21"/>
              </w:rPr>
              <w:t xml:space="preserve">, kan overføres </w:t>
            </w:r>
          </w:p>
        </w:tc>
        <w:tc>
          <w:tcPr>
            <w:tcW w:w="1140" w:type="dxa"/>
          </w:tcPr>
          <w:p w:rsidR="00557A6F" w:rsidRDefault="00557A6F" w:rsidP="00557A6F">
            <w:pPr>
              <w:jc w:val="right"/>
            </w:pPr>
            <w:r>
              <w:t>45 799</w:t>
            </w:r>
          </w:p>
        </w:tc>
        <w:tc>
          <w:tcPr>
            <w:tcW w:w="1140" w:type="dxa"/>
          </w:tcPr>
          <w:p w:rsidR="00557A6F" w:rsidRDefault="00557A6F" w:rsidP="00557A6F">
            <w:pPr>
              <w:jc w:val="right"/>
            </w:pPr>
            <w:r>
              <w:t>24 436</w:t>
            </w:r>
          </w:p>
        </w:tc>
        <w:tc>
          <w:tcPr>
            <w:tcW w:w="1140" w:type="dxa"/>
          </w:tcPr>
          <w:p w:rsidR="00557A6F" w:rsidRDefault="00557A6F" w:rsidP="00557A6F">
            <w:pPr>
              <w:jc w:val="right"/>
            </w:pPr>
            <w:r>
              <w:t>44 108</w:t>
            </w:r>
          </w:p>
        </w:tc>
      </w:tr>
      <w:tr w:rsidR="00557A6F" w:rsidTr="00557A6F">
        <w:trPr>
          <w:trHeight w:val="380"/>
        </w:trPr>
        <w:tc>
          <w:tcPr>
            <w:tcW w:w="1140" w:type="dxa"/>
          </w:tcPr>
          <w:p w:rsidR="00557A6F" w:rsidRDefault="00557A6F" w:rsidP="00557A6F">
            <w:r>
              <w:t>22</w:t>
            </w:r>
          </w:p>
        </w:tc>
        <w:tc>
          <w:tcPr>
            <w:tcW w:w="4560" w:type="dxa"/>
          </w:tcPr>
          <w:p w:rsidR="00557A6F" w:rsidRDefault="00557A6F" w:rsidP="00557A6F">
            <w:r>
              <w:t xml:space="preserve">Bruk av nasjonale felleskomponenter </w:t>
            </w:r>
          </w:p>
        </w:tc>
        <w:tc>
          <w:tcPr>
            <w:tcW w:w="1140" w:type="dxa"/>
          </w:tcPr>
          <w:p w:rsidR="00557A6F" w:rsidRDefault="00557A6F" w:rsidP="00557A6F">
            <w:pPr>
              <w:jc w:val="right"/>
            </w:pPr>
            <w:r>
              <w:t>53 411</w:t>
            </w:r>
          </w:p>
        </w:tc>
        <w:tc>
          <w:tcPr>
            <w:tcW w:w="1140" w:type="dxa"/>
          </w:tcPr>
          <w:p w:rsidR="00557A6F" w:rsidRDefault="00557A6F" w:rsidP="00557A6F">
            <w:pPr>
              <w:jc w:val="right"/>
            </w:pPr>
            <w:r>
              <w:t>73 700</w:t>
            </w:r>
          </w:p>
        </w:tc>
        <w:tc>
          <w:tcPr>
            <w:tcW w:w="1140" w:type="dxa"/>
          </w:tcPr>
          <w:p w:rsidR="00557A6F" w:rsidRDefault="00557A6F" w:rsidP="00557A6F">
            <w:pPr>
              <w:jc w:val="right"/>
            </w:pPr>
            <w:r>
              <w:t>80 000</w:t>
            </w:r>
          </w:p>
        </w:tc>
      </w:tr>
      <w:tr w:rsidR="00557A6F" w:rsidTr="00557A6F">
        <w:trPr>
          <w:trHeight w:val="640"/>
        </w:trPr>
        <w:tc>
          <w:tcPr>
            <w:tcW w:w="1140" w:type="dxa"/>
          </w:tcPr>
          <w:p w:rsidR="00557A6F" w:rsidRDefault="00557A6F" w:rsidP="00557A6F">
            <w:r>
              <w:t>23</w:t>
            </w:r>
          </w:p>
        </w:tc>
        <w:tc>
          <w:tcPr>
            <w:tcW w:w="4560" w:type="dxa"/>
          </w:tcPr>
          <w:p w:rsidR="00557A6F" w:rsidRDefault="00557A6F" w:rsidP="00557A6F">
            <w:r>
              <w:t>Utvikling og forvaltning av nasjonale felle</w:t>
            </w:r>
            <w:r>
              <w:t>s</w:t>
            </w:r>
            <w:r>
              <w:t>komponenter</w:t>
            </w:r>
            <w:r>
              <w:rPr>
                <w:rStyle w:val="kursiv"/>
                <w:sz w:val="21"/>
                <w:szCs w:val="21"/>
              </w:rPr>
              <w:t xml:space="preserve">, kan overføres </w:t>
            </w:r>
          </w:p>
        </w:tc>
        <w:tc>
          <w:tcPr>
            <w:tcW w:w="1140" w:type="dxa"/>
          </w:tcPr>
          <w:p w:rsidR="00557A6F" w:rsidRDefault="00557A6F" w:rsidP="00557A6F">
            <w:pPr>
              <w:jc w:val="right"/>
            </w:pPr>
            <w:r>
              <w:t>103 858</w:t>
            </w:r>
          </w:p>
        </w:tc>
        <w:tc>
          <w:tcPr>
            <w:tcW w:w="1140" w:type="dxa"/>
          </w:tcPr>
          <w:p w:rsidR="00557A6F" w:rsidRDefault="00557A6F" w:rsidP="00557A6F">
            <w:pPr>
              <w:jc w:val="right"/>
            </w:pPr>
            <w:r>
              <w:t>107 786</w:t>
            </w:r>
          </w:p>
        </w:tc>
        <w:tc>
          <w:tcPr>
            <w:tcW w:w="1140" w:type="dxa"/>
          </w:tcPr>
          <w:p w:rsidR="00557A6F" w:rsidRDefault="00557A6F" w:rsidP="00557A6F">
            <w:pPr>
              <w:jc w:val="right"/>
            </w:pPr>
            <w:r>
              <w:t>111 585</w:t>
            </w:r>
          </w:p>
        </w:tc>
      </w:tr>
      <w:tr w:rsidR="00557A6F" w:rsidTr="00557A6F">
        <w:trPr>
          <w:trHeight w:val="640"/>
        </w:trPr>
        <w:tc>
          <w:tcPr>
            <w:tcW w:w="1140" w:type="dxa"/>
          </w:tcPr>
          <w:p w:rsidR="00557A6F" w:rsidRDefault="00557A6F" w:rsidP="00557A6F">
            <w:r>
              <w:lastRenderedPageBreak/>
              <w:t>25</w:t>
            </w:r>
          </w:p>
        </w:tc>
        <w:tc>
          <w:tcPr>
            <w:tcW w:w="4560" w:type="dxa"/>
          </w:tcPr>
          <w:p w:rsidR="00557A6F" w:rsidRDefault="00557A6F" w:rsidP="00557A6F">
            <w:r>
              <w:t>Medfinansieringsordning for digitaliseringspr</w:t>
            </w:r>
            <w:r>
              <w:t>o</w:t>
            </w:r>
            <w:r>
              <w:t>sjekter</w:t>
            </w:r>
            <w:r>
              <w:rPr>
                <w:rStyle w:val="kursiv"/>
                <w:sz w:val="21"/>
                <w:szCs w:val="21"/>
              </w:rPr>
              <w:t xml:space="preserve">, kan overføres </w:t>
            </w:r>
          </w:p>
        </w:tc>
        <w:tc>
          <w:tcPr>
            <w:tcW w:w="1140" w:type="dxa"/>
          </w:tcPr>
          <w:p w:rsidR="00557A6F" w:rsidRDefault="00557A6F" w:rsidP="00557A6F">
            <w:pPr>
              <w:jc w:val="right"/>
            </w:pPr>
            <w:r>
              <w:t>101 730</w:t>
            </w:r>
          </w:p>
        </w:tc>
        <w:tc>
          <w:tcPr>
            <w:tcW w:w="1140" w:type="dxa"/>
          </w:tcPr>
          <w:p w:rsidR="00557A6F" w:rsidRDefault="00557A6F" w:rsidP="00557A6F">
            <w:pPr>
              <w:jc w:val="right"/>
            </w:pPr>
            <w:r>
              <w:t>120 947</w:t>
            </w:r>
          </w:p>
        </w:tc>
        <w:tc>
          <w:tcPr>
            <w:tcW w:w="1140" w:type="dxa"/>
          </w:tcPr>
          <w:p w:rsidR="00557A6F" w:rsidRDefault="00557A6F" w:rsidP="00557A6F">
            <w:pPr>
              <w:jc w:val="right"/>
            </w:pPr>
            <w:r>
              <w:t>146 077</w:t>
            </w:r>
          </w:p>
        </w:tc>
      </w:tr>
      <w:tr w:rsidR="00557A6F" w:rsidTr="00557A6F">
        <w:trPr>
          <w:trHeight w:val="380"/>
        </w:trPr>
        <w:tc>
          <w:tcPr>
            <w:tcW w:w="1140" w:type="dxa"/>
          </w:tcPr>
          <w:p w:rsidR="00557A6F" w:rsidRDefault="00557A6F" w:rsidP="00557A6F">
            <w:r>
              <w:t>26</w:t>
            </w:r>
          </w:p>
        </w:tc>
        <w:tc>
          <w:tcPr>
            <w:tcW w:w="4560" w:type="dxa"/>
          </w:tcPr>
          <w:p w:rsidR="00557A6F" w:rsidRDefault="00557A6F" w:rsidP="00557A6F">
            <w:r>
              <w:t>StimuLab</w:t>
            </w:r>
            <w:r>
              <w:rPr>
                <w:rStyle w:val="kursiv"/>
                <w:sz w:val="21"/>
                <w:szCs w:val="21"/>
              </w:rPr>
              <w:t xml:space="preserve">, kan overføres </w:t>
            </w:r>
          </w:p>
        </w:tc>
        <w:tc>
          <w:tcPr>
            <w:tcW w:w="1140" w:type="dxa"/>
          </w:tcPr>
          <w:p w:rsidR="00557A6F" w:rsidRDefault="00557A6F" w:rsidP="00557A6F">
            <w:pPr>
              <w:jc w:val="right"/>
            </w:pPr>
          </w:p>
        </w:tc>
        <w:tc>
          <w:tcPr>
            <w:tcW w:w="1140" w:type="dxa"/>
          </w:tcPr>
          <w:p w:rsidR="00557A6F" w:rsidRDefault="00557A6F" w:rsidP="00557A6F">
            <w:pPr>
              <w:jc w:val="right"/>
            </w:pPr>
            <w:r>
              <w:t>20 000</w:t>
            </w:r>
          </w:p>
        </w:tc>
        <w:tc>
          <w:tcPr>
            <w:tcW w:w="1140" w:type="dxa"/>
          </w:tcPr>
          <w:p w:rsidR="00557A6F" w:rsidRDefault="00557A6F" w:rsidP="00557A6F">
            <w:pPr>
              <w:jc w:val="right"/>
            </w:pPr>
            <w:r>
              <w:t>20 298</w:t>
            </w:r>
          </w:p>
        </w:tc>
      </w:tr>
      <w:tr w:rsidR="00557A6F" w:rsidTr="00557A6F">
        <w:trPr>
          <w:trHeight w:val="380"/>
        </w:trPr>
        <w:tc>
          <w:tcPr>
            <w:tcW w:w="1140" w:type="dxa"/>
          </w:tcPr>
          <w:p w:rsidR="00557A6F" w:rsidRDefault="00557A6F" w:rsidP="00557A6F">
            <w:r>
              <w:t>27</w:t>
            </w:r>
          </w:p>
        </w:tc>
        <w:tc>
          <w:tcPr>
            <w:tcW w:w="4560" w:type="dxa"/>
          </w:tcPr>
          <w:p w:rsidR="00557A6F" w:rsidRDefault="00557A6F" w:rsidP="00557A6F">
            <w:r>
              <w:t xml:space="preserve">Opplæringskontoret OK stat </w:t>
            </w:r>
          </w:p>
        </w:tc>
        <w:tc>
          <w:tcPr>
            <w:tcW w:w="1140" w:type="dxa"/>
          </w:tcPr>
          <w:p w:rsidR="00557A6F" w:rsidRDefault="00557A6F" w:rsidP="00557A6F">
            <w:pPr>
              <w:jc w:val="right"/>
            </w:pPr>
            <w:r>
              <w:t>5 081</w:t>
            </w:r>
          </w:p>
        </w:tc>
        <w:tc>
          <w:tcPr>
            <w:tcW w:w="1140" w:type="dxa"/>
          </w:tcPr>
          <w:p w:rsidR="00557A6F" w:rsidRDefault="00557A6F" w:rsidP="00557A6F">
            <w:pPr>
              <w:jc w:val="right"/>
            </w:pPr>
            <w:r>
              <w:t>10 285</w:t>
            </w:r>
          </w:p>
        </w:tc>
        <w:tc>
          <w:tcPr>
            <w:tcW w:w="1140" w:type="dxa"/>
          </w:tcPr>
          <w:p w:rsidR="00557A6F" w:rsidRDefault="00557A6F" w:rsidP="00557A6F">
            <w:pPr>
              <w:jc w:val="right"/>
            </w:pPr>
          </w:p>
        </w:tc>
      </w:tr>
      <w:tr w:rsidR="00557A6F" w:rsidTr="00557A6F">
        <w:trPr>
          <w:trHeight w:val="380"/>
        </w:trPr>
        <w:tc>
          <w:tcPr>
            <w:tcW w:w="1140" w:type="dxa"/>
          </w:tcPr>
          <w:p w:rsidR="00557A6F" w:rsidRDefault="00557A6F" w:rsidP="00557A6F">
            <w:r>
              <w:t>28</w:t>
            </w:r>
          </w:p>
        </w:tc>
        <w:tc>
          <w:tcPr>
            <w:tcW w:w="4560" w:type="dxa"/>
          </w:tcPr>
          <w:p w:rsidR="00557A6F" w:rsidRDefault="00557A6F" w:rsidP="00557A6F">
            <w:r>
              <w:t>Altinn</w:t>
            </w:r>
            <w:r>
              <w:rPr>
                <w:rStyle w:val="kursiv"/>
                <w:sz w:val="21"/>
                <w:szCs w:val="21"/>
              </w:rPr>
              <w:t xml:space="preserve">, kan overføres </w:t>
            </w:r>
          </w:p>
        </w:tc>
        <w:tc>
          <w:tcPr>
            <w:tcW w:w="1140" w:type="dxa"/>
          </w:tcPr>
          <w:p w:rsidR="00557A6F" w:rsidRDefault="00557A6F" w:rsidP="00557A6F">
            <w:pPr>
              <w:jc w:val="right"/>
            </w:pPr>
          </w:p>
        </w:tc>
        <w:tc>
          <w:tcPr>
            <w:tcW w:w="1140" w:type="dxa"/>
          </w:tcPr>
          <w:p w:rsidR="00557A6F" w:rsidRDefault="00557A6F" w:rsidP="00557A6F">
            <w:pPr>
              <w:jc w:val="right"/>
            </w:pPr>
          </w:p>
        </w:tc>
        <w:tc>
          <w:tcPr>
            <w:tcW w:w="1140" w:type="dxa"/>
          </w:tcPr>
          <w:p w:rsidR="00557A6F" w:rsidRDefault="00557A6F" w:rsidP="00557A6F">
            <w:pPr>
              <w:jc w:val="right"/>
            </w:pPr>
            <w:r>
              <w:t>221 548</w:t>
            </w:r>
          </w:p>
        </w:tc>
      </w:tr>
      <w:tr w:rsidR="00557A6F" w:rsidTr="00557A6F">
        <w:trPr>
          <w:trHeight w:val="380"/>
        </w:trPr>
        <w:tc>
          <w:tcPr>
            <w:tcW w:w="1140" w:type="dxa"/>
          </w:tcPr>
          <w:p w:rsidR="00557A6F" w:rsidRDefault="00557A6F" w:rsidP="00557A6F">
            <w:r>
              <w:t>71</w:t>
            </w:r>
          </w:p>
        </w:tc>
        <w:tc>
          <w:tcPr>
            <w:tcW w:w="4560" w:type="dxa"/>
          </w:tcPr>
          <w:p w:rsidR="00557A6F" w:rsidRDefault="00557A6F" w:rsidP="00557A6F">
            <w:r>
              <w:t xml:space="preserve">IT-standardisering </w:t>
            </w:r>
          </w:p>
        </w:tc>
        <w:tc>
          <w:tcPr>
            <w:tcW w:w="1140" w:type="dxa"/>
          </w:tcPr>
          <w:p w:rsidR="00557A6F" w:rsidRDefault="00557A6F" w:rsidP="00557A6F">
            <w:pPr>
              <w:jc w:val="right"/>
            </w:pPr>
            <w:r>
              <w:t>815</w:t>
            </w:r>
          </w:p>
        </w:tc>
        <w:tc>
          <w:tcPr>
            <w:tcW w:w="1140" w:type="dxa"/>
          </w:tcPr>
          <w:p w:rsidR="00557A6F" w:rsidRDefault="00557A6F" w:rsidP="00557A6F">
            <w:pPr>
              <w:jc w:val="right"/>
            </w:pPr>
            <w:r>
              <w:t>815</w:t>
            </w:r>
          </w:p>
        </w:tc>
        <w:tc>
          <w:tcPr>
            <w:tcW w:w="1140" w:type="dxa"/>
          </w:tcPr>
          <w:p w:rsidR="00557A6F" w:rsidRDefault="00557A6F" w:rsidP="00557A6F">
            <w:pPr>
              <w:jc w:val="right"/>
            </w:pPr>
            <w:r>
              <w:t>811</w:t>
            </w:r>
          </w:p>
        </w:tc>
      </w:tr>
      <w:tr w:rsidR="00557A6F" w:rsidTr="00557A6F">
        <w:trPr>
          <w:trHeight w:val="380"/>
        </w:trPr>
        <w:tc>
          <w:tcPr>
            <w:tcW w:w="1140" w:type="dxa"/>
          </w:tcPr>
          <w:p w:rsidR="00557A6F" w:rsidRDefault="00557A6F" w:rsidP="00557A6F"/>
        </w:tc>
        <w:tc>
          <w:tcPr>
            <w:tcW w:w="4560" w:type="dxa"/>
          </w:tcPr>
          <w:p w:rsidR="00557A6F" w:rsidRDefault="00557A6F" w:rsidP="00557A6F">
            <w:r>
              <w:t>Sum kap. 0540</w:t>
            </w:r>
          </w:p>
        </w:tc>
        <w:tc>
          <w:tcPr>
            <w:tcW w:w="1140" w:type="dxa"/>
          </w:tcPr>
          <w:p w:rsidR="00557A6F" w:rsidRDefault="00557A6F" w:rsidP="00557A6F">
            <w:pPr>
              <w:jc w:val="right"/>
            </w:pPr>
            <w:r>
              <w:t>600 246</w:t>
            </w:r>
          </w:p>
        </w:tc>
        <w:tc>
          <w:tcPr>
            <w:tcW w:w="1140" w:type="dxa"/>
          </w:tcPr>
          <w:p w:rsidR="00557A6F" w:rsidRDefault="00557A6F" w:rsidP="00557A6F">
            <w:pPr>
              <w:jc w:val="right"/>
            </w:pPr>
            <w:r>
              <w:t>649 013</w:t>
            </w:r>
          </w:p>
        </w:tc>
        <w:tc>
          <w:tcPr>
            <w:tcW w:w="1140" w:type="dxa"/>
          </w:tcPr>
          <w:p w:rsidR="00557A6F" w:rsidRDefault="00557A6F" w:rsidP="00557A6F">
            <w:pPr>
              <w:jc w:val="right"/>
            </w:pPr>
            <w:r>
              <w:t>857 766</w:t>
            </w:r>
          </w:p>
        </w:tc>
      </w:tr>
    </w:tbl>
    <w:p w:rsidR="00557A6F" w:rsidRDefault="00557A6F" w:rsidP="00557A6F">
      <w:pPr>
        <w:pStyle w:val="tabell-noter"/>
      </w:pPr>
      <w:r>
        <w:t>Vedrørende 2019: Ved Stortingets vedtak av 21. juni 2019 ble post 01 økt med 0,9 mill. kroner til 292 mill. kroner og post 21 økt med 0,5 mill. kroner til 24,9 mill. kroner, jf. Prop. 114 S og Innst. 391 S (2018–2019).</w:t>
      </w:r>
    </w:p>
    <w:p w:rsidR="00557A6F" w:rsidRDefault="00557A6F" w:rsidP="00557A6F">
      <w:r>
        <w:t>Digitaliseringsdirektoratet skal bidra til å nå målene om at forvaltningen i Norge er effektiv, åpen, samordnet og har høy tillit i befolkningen og at digitaliseringen i samfunnet gir gode vilkår for de</w:t>
      </w:r>
      <w:r>
        <w:t>l</w:t>
      </w:r>
      <w:r>
        <w:t>takelse, verdiskaping og innovasjon i offentlig og privat sektor.</w:t>
      </w:r>
    </w:p>
    <w:p w:rsidR="00557A6F" w:rsidRDefault="00557A6F" w:rsidP="00557A6F">
      <w:pPr>
        <w:pStyle w:val="b-post"/>
      </w:pPr>
      <w:r>
        <w:t>Post 01 Driftsutgifter</w:t>
      </w:r>
    </w:p>
    <w:p w:rsidR="00557A6F" w:rsidRDefault="00557A6F" w:rsidP="00557A6F">
      <w:r>
        <w:t>Bevilgningen dekker lønn til ansatte, husleie og andre faste driftsutgifter for Digitaliseringsdire</w:t>
      </w:r>
      <w:r>
        <w:t>k</w:t>
      </w:r>
      <w:r>
        <w:t>toratet. Direktoratet er lokalisert i Brønnøysund, Leikanger og Oslo.</w:t>
      </w:r>
    </w:p>
    <w:p w:rsidR="00557A6F" w:rsidRDefault="00557A6F" w:rsidP="00557A6F">
      <w:pPr>
        <w:pStyle w:val="avsnitt-tittel"/>
      </w:pPr>
      <w:r>
        <w:t>Budsjettforslag</w:t>
      </w:r>
    </w:p>
    <w:p w:rsidR="00557A6F" w:rsidRDefault="00557A6F" w:rsidP="00557A6F">
      <w:r>
        <w:t>Som følge av overføring av ansvarsområdene under avdelingene for ledelse og for utredning og analyse til Direktoratet for forvalting og økonomistyring fra 1. januar 2020, foreslås bevilgningen redusert med om lag 63,1 mill. kroner mot en tilsvarende økning på kap. 1605 Direktoratet for fo</w:t>
      </w:r>
      <w:r>
        <w:t>r</w:t>
      </w:r>
      <w:r>
        <w:t>valtning og økonomistyring, post 01 Driftsutgifter. Utgiftsanslagene er usikre, og det kan være b</w:t>
      </w:r>
      <w:r>
        <w:t>e</w:t>
      </w:r>
      <w:r>
        <w:t>hov for senere justeringer. Overføringsbeløpet inkluderer 4 mill. kroner til et forsøksprosjekt for OK stat i Nord-Norge som er pla</w:t>
      </w:r>
      <w:r>
        <w:t>n</w:t>
      </w:r>
      <w:r>
        <w:t>lagt ut 2021. Midlene til OK stat er redusert med 2 mill. kroner som følge av at antall nye lærlinger har flatet ut, jf. nærmere omtale under kap. 540, post 27.</w:t>
      </w:r>
    </w:p>
    <w:p w:rsidR="00557A6F" w:rsidRDefault="00557A6F" w:rsidP="00557A6F">
      <w:r>
        <w:t>Som følge av at Digitaliseringsdirektoratet ikke lenger skal bistå departementer og direktorater i forvaltningsu</w:t>
      </w:r>
      <w:r>
        <w:t>t</w:t>
      </w:r>
      <w:r>
        <w:t>vikling og institusjonsbygging i andre land, foreslås det at bevilgningen reduseres med 0,7 mill. kroner mot en tilsvarende reduksjon av kap. 3540, post 04.</w:t>
      </w:r>
    </w:p>
    <w:p w:rsidR="00557A6F" w:rsidRDefault="00557A6F" w:rsidP="00557A6F">
      <w:r>
        <w:t>Det foreslås videre at bevilgningen på posten økes med 1 mill. kroner til forvaltning av medfina</w:t>
      </w:r>
      <w:r>
        <w:t>n</w:t>
      </w:r>
      <w:r>
        <w:t xml:space="preserve">sieringsordning for digitaliseringsprosjekter i forbindelse med at rammen for ordningen økes, jf. kap. 540, post 25. </w:t>
      </w:r>
    </w:p>
    <w:p w:rsidR="00557A6F" w:rsidRDefault="00557A6F" w:rsidP="00557A6F">
      <w:r>
        <w:t>Samlet foreslås det å redusere bevilgningen med 57,7 mill. kroner til 233,3 mill. kroner, inkludert endringer som følge av avbyråkratiserings- og effektiviseringsreformen og lønns- og prisjustering.</w:t>
      </w:r>
    </w:p>
    <w:p w:rsidR="00557A6F" w:rsidRDefault="00557A6F" w:rsidP="00557A6F">
      <w:r>
        <w:t>Det foreslås at bevilgningen kan overskrides mot tilsvarende merinntekter under kap. 3540, post 03, jf. forslag til romertallsvedtak.</w:t>
      </w:r>
    </w:p>
    <w:p w:rsidR="00557A6F" w:rsidRDefault="00557A6F" w:rsidP="00557A6F">
      <w:pPr>
        <w:pStyle w:val="b-post"/>
      </w:pPr>
      <w:r>
        <w:t>Post 21 Spesielle driftsutgifter, kan overføres</w:t>
      </w:r>
    </w:p>
    <w:p w:rsidR="00557A6F" w:rsidRDefault="00557A6F" w:rsidP="00557A6F">
      <w:r>
        <w:t>Bevilgningen dekker utgifter til Digitaliseringsdirektoratets utviklingsoppgaver og IT-prosjekter. Bevilgningen dekker videre midler til program for digitale anskaffelser som har en ramme på 13 mill. kroner i 2020. Programmet varer til 2024, og de direkte gjennomføringskostnadene fo</w:t>
      </w:r>
      <w:r>
        <w:t>r</w:t>
      </w:r>
      <w:r>
        <w:t>ventes å være 91 mill. kr</w:t>
      </w:r>
      <w:r>
        <w:t>o</w:t>
      </w:r>
      <w:r>
        <w:t xml:space="preserve">ner, jf. omtale i Prop. 1 S (2017–2018). </w:t>
      </w:r>
    </w:p>
    <w:p w:rsidR="00557A6F" w:rsidRDefault="00557A6F" w:rsidP="00557A6F">
      <w:pPr>
        <w:pStyle w:val="avsnitt-tittel"/>
      </w:pPr>
      <w:r>
        <w:lastRenderedPageBreak/>
        <w:t>Budsjettforslag</w:t>
      </w:r>
    </w:p>
    <w:p w:rsidR="00557A6F" w:rsidRDefault="00557A6F" w:rsidP="00557A6F">
      <w:r>
        <w:t>Bevilgningen foreslås økt med 11 mill. kroner til etablering og drift av en markedsplass for skytj</w:t>
      </w:r>
      <w:r>
        <w:t>e</w:t>
      </w:r>
      <w:r>
        <w:t>nester rettet mot offentlig sektor. Markedsplassen skal gjøre det enklere for virksomhetene å a</w:t>
      </w:r>
      <w:r>
        <w:t>n</w:t>
      </w:r>
      <w:r>
        <w:t>skaffe sikre, lovlige og kostnadseffektive skytjenester.</w:t>
      </w:r>
    </w:p>
    <w:p w:rsidR="00557A6F" w:rsidRDefault="00557A6F" w:rsidP="00557A6F">
      <w:r>
        <w:t>Økt deling og gjenbruk av data er en av de viktigste forutsetningene for utvikling av mer samme</w:t>
      </w:r>
      <w:r>
        <w:t>n</w:t>
      </w:r>
      <w:r>
        <w:t xml:space="preserve">hengende og brukerrettede tjenester. Bevilgningen foreslås økt med 10 mill. kroner til en styrking av direktoratets arbeid med deling av data. </w:t>
      </w:r>
    </w:p>
    <w:p w:rsidR="00557A6F" w:rsidRDefault="00557A6F" w:rsidP="00557A6F">
      <w:r>
        <w:t>Som følge av overføring av ansvarsområder til Direktoratet for forvalting og økonomistyring fra 1. j</w:t>
      </w:r>
      <w:r>
        <w:t>a</w:t>
      </w:r>
      <w:r>
        <w:t>nuar 2020, foreslås bevilgningen redusert med om lag 2,5 mill. kroner mot en tilsvarende økning på kap. 1605, post 01.</w:t>
      </w:r>
    </w:p>
    <w:p w:rsidR="00557A6F" w:rsidRDefault="00557A6F" w:rsidP="00557A6F">
      <w:r>
        <w:t>Bevilgningen foreslås videre økt med 0,5 mill. kroner mot en tilsvarende reduksjon under kap. 541, post 22 som følge av at Digitaliseringsdirektoratet skal følge opp tilskudd til IT-statistikk til Stati</w:t>
      </w:r>
      <w:r>
        <w:t>s</w:t>
      </w:r>
      <w:r>
        <w:t>tisk sentralbyrå.</w:t>
      </w:r>
    </w:p>
    <w:p w:rsidR="00557A6F" w:rsidRDefault="00557A6F" w:rsidP="00557A6F">
      <w:r>
        <w:t>Samlet foreslås det å øke bevilgningen med 19,7 mill. kroner til 44,1 mill. kroner, inkludert en</w:t>
      </w:r>
      <w:r>
        <w:t>d</w:t>
      </w:r>
      <w:r>
        <w:t>ringer som følge av avbyråkratiserings- og effektiviseringsreformen og prisjustering.</w:t>
      </w:r>
    </w:p>
    <w:p w:rsidR="00557A6F" w:rsidRDefault="00557A6F" w:rsidP="00557A6F">
      <w:r>
        <w:t>Det foreslås at bevilgningen kan overskrides mot tilsvarende merinntekter under kap. 3540, post 03, jf. forslag til romertallsvedtak.</w:t>
      </w:r>
    </w:p>
    <w:p w:rsidR="00557A6F" w:rsidRDefault="00557A6F" w:rsidP="00557A6F">
      <w:pPr>
        <w:pStyle w:val="b-post"/>
      </w:pPr>
      <w:r>
        <w:t>Post 22 Bruk av nasjonale felleskomponenter</w:t>
      </w:r>
    </w:p>
    <w:p w:rsidR="00557A6F" w:rsidRDefault="00557A6F" w:rsidP="00557A6F">
      <w:r>
        <w:t>Bevilgningen dekker utgifter for bruk av elektronisk ID på høyt sikkerhetsnivå utstedt av private lev</w:t>
      </w:r>
      <w:r>
        <w:t>e</w:t>
      </w:r>
      <w:r>
        <w:t>randører, samt elektronisk ID med lavere sikkerhetsnivå ved sending av SMS. På vegne av offentlige virksomheter har Difi inngått avtale med flere kommersielle aktører. Hver gang en in</w:t>
      </w:r>
      <w:r>
        <w:t>n</w:t>
      </w:r>
      <w:r>
        <w:t>bygger bruker en elektronisk ID utstedt av disse til en offentlig tjeneste, vil det utløse et betaling</w:t>
      </w:r>
      <w:r>
        <w:t>s</w:t>
      </w:r>
      <w:r>
        <w:t xml:space="preserve">krav. Bevilgningsforslaget er basert på forventet volum for den enkelte virksomhet. </w:t>
      </w:r>
    </w:p>
    <w:p w:rsidR="00557A6F" w:rsidRDefault="00557A6F" w:rsidP="00557A6F">
      <w:r>
        <w:t>Posten dekker også utgifter for bruk av Digital postkasse til innbyggere, hvor det er inngått avtale med Digipost og e-Boks, samt kostnader for innlogging til postkassene via ID-porten og signatu</w:t>
      </w:r>
      <w:r>
        <w:t>r</w:t>
      </w:r>
      <w:r>
        <w:t>kostnader knyttet til Sign</w:t>
      </w:r>
      <w:r>
        <w:t>e</w:t>
      </w:r>
      <w:r>
        <w:t>ringstjenesten. Disse kostnadene vil den enkelte virksomhet bli fakturert for, jf. kap. 3540, post 05. Det er usi</w:t>
      </w:r>
      <w:r>
        <w:t>k</w:t>
      </w:r>
      <w:r>
        <w:t>kerhet knyttet til bevilgningsanslaget.</w:t>
      </w:r>
    </w:p>
    <w:p w:rsidR="00557A6F" w:rsidRDefault="00557A6F" w:rsidP="00557A6F">
      <w:pPr>
        <w:pStyle w:val="avsnitt-tittel"/>
      </w:pPr>
      <w:r>
        <w:t>Budsjettforslag</w:t>
      </w:r>
    </w:p>
    <w:p w:rsidR="00557A6F" w:rsidRDefault="00557A6F" w:rsidP="00557A6F">
      <w:r>
        <w:t>På bakgrunn av forventede kostnader for bruk av løsningene, foreslås det å øke bevilgningen med 6,3 mill. kroner til 80 mill. kroner.</w:t>
      </w:r>
    </w:p>
    <w:p w:rsidR="00557A6F" w:rsidRDefault="00557A6F" w:rsidP="00557A6F">
      <w:r>
        <w:t>Det foreslås at bevilgningen kan overskrides mot tilsvarende merinntekter under kap. 3540, post 05, jf. forslag til romertallsvedtak.</w:t>
      </w:r>
    </w:p>
    <w:p w:rsidR="00557A6F" w:rsidRDefault="00557A6F" w:rsidP="00557A6F">
      <w:pPr>
        <w:pStyle w:val="b-post"/>
      </w:pPr>
      <w:r>
        <w:t>Post 23 Utvikling og forvaltning av nasjonale felleskomponenter, kan overføres</w:t>
      </w:r>
    </w:p>
    <w:p w:rsidR="00557A6F" w:rsidRDefault="00557A6F" w:rsidP="00557A6F">
      <w:r>
        <w:t>Bevilgningen dekker utvikling, forvaltning og drift av nasjonale felleskomponenter, som inkluderer ID-porten, Digital postkasse til innbyggere og Kontakt- og reservasjonsregisteret. I tillegg dekker posten utvikling, forvaltning og drift av Signeringstjenesten og nødvendige tilpasninger som følger av CEF Dig</w:t>
      </w:r>
      <w:r>
        <w:t>i</w:t>
      </w:r>
      <w:r>
        <w:t>tal og nordisk-baltisk samarbeid. Videre dekker posten deler av arbeidet med strategi og samordning av nasjonale felleskomponenter, slik at de forvaltes og videreutvikles på en helhe</w:t>
      </w:r>
      <w:r>
        <w:t>t</w:t>
      </w:r>
      <w:r>
        <w:t>lig måte.</w:t>
      </w:r>
    </w:p>
    <w:p w:rsidR="00557A6F" w:rsidRDefault="00557A6F" w:rsidP="00557A6F">
      <w:r>
        <w:t>Som en del av oppgavene med å drifte, forvalte og utvikle løsningene utfører Difi enkelte oppdrag knyttet til utvikling av særskilt funksjonalitet og tilleggstjenester som er etterspurt av en offentlig vir</w:t>
      </w:r>
      <w:r>
        <w:t>k</w:t>
      </w:r>
      <w:r>
        <w:t>somhet. Denne typen utgifter vil den virksomheten det gjelder bli fakturert for, jf. omtale under kap. 3540, post 06.</w:t>
      </w:r>
    </w:p>
    <w:p w:rsidR="00557A6F" w:rsidRDefault="00557A6F" w:rsidP="00557A6F">
      <w:pPr>
        <w:pStyle w:val="avsnitt-tittel"/>
      </w:pPr>
      <w:r>
        <w:t>Budsjettforslag</w:t>
      </w:r>
    </w:p>
    <w:p w:rsidR="00557A6F" w:rsidRDefault="00557A6F" w:rsidP="00557A6F">
      <w:r>
        <w:t>I statsbudsjettet for 2018 ble det bevilget 7,2 mill. kroner til å etablere et felles integrasjonspunkt for me</w:t>
      </w:r>
      <w:r>
        <w:t>l</w:t>
      </w:r>
      <w:r>
        <w:t>dingsutveksling mellom offentlige virksomheter. Dette gjør det blant annet mulig å sende dokumenter mellom sak-/arkivsystemer i statlige og kommunale virksomheter, noe som kan bidra til betydelig fo</w:t>
      </w:r>
      <w:r>
        <w:t>r</w:t>
      </w:r>
      <w:r>
        <w:t>enkling for utveksling av digital korrespondanse i forvaltningen. Som følge av økt utbredelse av felleslø</w:t>
      </w:r>
      <w:r>
        <w:t>s</w:t>
      </w:r>
      <w:r>
        <w:lastRenderedPageBreak/>
        <w:t>ningen ble bevilgningen økt med 950 000 kroner i 2019, og foreslås økt med ytterligere 1 mill. kroner i 2020.</w:t>
      </w:r>
    </w:p>
    <w:p w:rsidR="00557A6F" w:rsidRDefault="00557A6F" w:rsidP="00557A6F">
      <w:r>
        <w:t>Som følge av overføring av ansvarsområder til Direktoratet for forvalting og økonomistyring fra 1. j</w:t>
      </w:r>
      <w:r>
        <w:t>a</w:t>
      </w:r>
      <w:r>
        <w:t xml:space="preserve">nuar 2020, foreslås bevilgningen redusert med 126 000 kroner mot en tilsvarende økning på kap. 1605, post 01. </w:t>
      </w:r>
    </w:p>
    <w:p w:rsidR="00557A6F" w:rsidRDefault="00557A6F" w:rsidP="00557A6F">
      <w:r>
        <w:t>Samlet foreslås det å øke bevilgningen med 3,8 mill. kroner til 111,6 mill. kroner, inkludert en</w:t>
      </w:r>
      <w:r>
        <w:t>d</w:t>
      </w:r>
      <w:r>
        <w:t>ringer som følge av avbyråkratiserings- og effektiviseringsreformen og prisjustering.</w:t>
      </w:r>
    </w:p>
    <w:p w:rsidR="00557A6F" w:rsidRDefault="00557A6F" w:rsidP="00557A6F">
      <w:r>
        <w:t>Det foreslås at bevilgningen kan overskrides mot tilsvarende merinntekter under kap. 3540, post 06, jf. forslag til romertallsvedtak.</w:t>
      </w:r>
    </w:p>
    <w:p w:rsidR="00557A6F" w:rsidRDefault="00557A6F" w:rsidP="00557A6F">
      <w:pPr>
        <w:pStyle w:val="b-post"/>
      </w:pPr>
      <w:r>
        <w:t>Post 25 Medfinansieringsordning for digitaliseringsprosjekter, kan overføres</w:t>
      </w:r>
    </w:p>
    <w:p w:rsidR="00557A6F" w:rsidRDefault="00557A6F" w:rsidP="00557A6F">
      <w:r>
        <w:t>Formålet med bevilgningen er å bidra til økt gjennomføring av samfunnsøkonomisk lønnsomme digitaliseringsprosjekter og realisering av gevinster. Bevilgningen skal delfinansiere små til me</w:t>
      </w:r>
      <w:r>
        <w:t>l</w:t>
      </w:r>
      <w:r>
        <w:t>lomstore digitaliseringsprosjekter som er samfunnsøkonomisk lønnsomme, og finansiere tverrg</w:t>
      </w:r>
      <w:r>
        <w:t>å</w:t>
      </w:r>
      <w:r>
        <w:t>ende prosjekter som understøtter digitaliseringsstrategien. Innretningen av ordningen endres noe. Blant annet utvides or</w:t>
      </w:r>
      <w:r>
        <w:t>d</w:t>
      </w:r>
      <w:r>
        <w:t>ningen til også å omfatte finansiering av tverrgående digitaliseringstiltak som støtter opp under målet om sammenhengende tjenester i digitaliseringsstrategien. Statlige virksomheter kan søke om midler til å dekke deler av de totale investeringskostnadene. Virkso</w:t>
      </w:r>
      <w:r>
        <w:t>m</w:t>
      </w:r>
      <w:r>
        <w:t>heter med virksomhetsinterne gevinster må tilbakebetale 50 pst. av netto interne gevinster i tråd med vedtatt gevinstrealiseringsplan som følger slut</w:t>
      </w:r>
      <w:r>
        <w:t>t</w:t>
      </w:r>
      <w:r>
        <w:t>rapporten. Digitaliseringsdirektoratet forvalter ordningen.</w:t>
      </w:r>
    </w:p>
    <w:p w:rsidR="00557A6F" w:rsidRDefault="00557A6F" w:rsidP="00557A6F">
      <w:r>
        <w:t>I vurderingen av søknadene vil Digitaliseringsdirektoratet vektlegge samfunnsøkonomisk løn</w:t>
      </w:r>
      <w:r>
        <w:t>n</w:t>
      </w:r>
      <w:r>
        <w:t>somhet, målop</w:t>
      </w:r>
      <w:r>
        <w:t>p</w:t>
      </w:r>
      <w:r>
        <w:t>nåelse i digitaliseringsstrategien og virksomhetens plan for realisering av gevinster.</w:t>
      </w:r>
    </w:p>
    <w:p w:rsidR="00557A6F" w:rsidRDefault="00557A6F" w:rsidP="00557A6F">
      <w:pPr>
        <w:pStyle w:val="avsnitt-tittel"/>
      </w:pPr>
      <w:r>
        <w:t>Rapport</w:t>
      </w:r>
    </w:p>
    <w:p w:rsidR="00557A6F" w:rsidRDefault="00557A6F" w:rsidP="00557A6F">
      <w:r>
        <w:t>I 2018 fikk 14 prosjekter støtte fra medfinansieringsordningen, innenfor en samlet tilsagnsramme på 120,4 mill. kroner. I 2019 har 13 prosjekter fått tilsagn om til sammen 124,4 mill. kroner i me</w:t>
      </w:r>
      <w:r>
        <w:t>d</w:t>
      </w:r>
      <w:r>
        <w:t>finansiering. Mulig innsparingspotensial i offentlig sektor for prosjektene som har fått tilsagn i 2018 er beregnet til om lag 100 mill. kroner per år. Blant prosjektene som har fått tilsagn i 2019 finner vi automatisert u</w:t>
      </w:r>
      <w:r>
        <w:t>t</w:t>
      </w:r>
      <w:r>
        <w:t>stedelse av personlige sertifikater for sjøfolk, utvikling av e-læringskurs og tilrettelegging for digital kommunikasjon med lærere i skole og barnehager, skoleledelse, og med de som utdanner lærere og lærerstudentene. Det er også gitt tilskudd til utvikling av en DigiHels</w:t>
      </w:r>
      <w:r>
        <w:t>e</w:t>
      </w:r>
      <w:r>
        <w:t xml:space="preserve">stasjon rettet mot ungdom, foreldre med små barn og gravide som bruker helsestasjonene. </w:t>
      </w:r>
    </w:p>
    <w:p w:rsidR="00557A6F" w:rsidRDefault="00557A6F" w:rsidP="00557A6F">
      <w:r>
        <w:t>I årene 2016–2019 er det gjennom ordningen gitt tilsagn om til sammen 461,6 mill. kroner til i alt 53 prosjekter. Samlet prosjektkostnad er beregnet til om lag 991,6 mill. kroner. Prosjektene har en antatt samlet nåverdi på om lag 20 mrd. kroner. Den potensielle innsparingen for det offentlige som følge av de 53 prosjektene er om lag 9,2 mrd. kroner, beregnet over ti år.</w:t>
      </w:r>
    </w:p>
    <w:p w:rsidR="00557A6F" w:rsidRDefault="00557A6F" w:rsidP="00557A6F">
      <w:pPr>
        <w:pStyle w:val="avsnitt-tittel"/>
      </w:pPr>
      <w:r>
        <w:t>Budsjettforslag</w:t>
      </w:r>
    </w:p>
    <w:p w:rsidR="00557A6F" w:rsidRDefault="00557A6F" w:rsidP="00557A6F">
      <w:r>
        <w:t>Posten budsjetteres med tilsagnsramme, tilsagnsfullmakt og bevilgning. For informasjon om bu</w:t>
      </w:r>
      <w:r>
        <w:t>d</w:t>
      </w:r>
      <w:r>
        <w:t>sjetteringssystemet vises det til boks 6.2 under programkategori 13.80 i Prop. 1 S (2017–2018) for Kommunal- og moderniseringsdepartementet.</w:t>
      </w:r>
    </w:p>
    <w:p w:rsidR="00557A6F" w:rsidRDefault="00557A6F" w:rsidP="00557A6F">
      <w:r>
        <w:t>Det foreslås en tilsagnsramme på 187,9 mill. kroner i 2020. Dette er en økning på 60,7 mill. kroner fra 2019. Tilsagnsrammen er summen av nye tilsagn som kan gis i budsjettåret og er den relevante størrelsen for å vurdere aktiviteten på ordningen. Bevilgningen dekker den delen av tilsagn gitt i budsjettåret som antas å bli utbetalt samme år og tidligere års tilsagn som man antar kommer til utbetaling dette budsjet</w:t>
      </w:r>
      <w:r>
        <w:t>t</w:t>
      </w:r>
      <w:r>
        <w:t>året. Tilsagnsfullmakten viser statens utestående forpliktelser ved utgangen av året, dvs. den delen av gitte tilsagn som ennå ikke er utbetalt.</w:t>
      </w:r>
    </w:p>
    <w:p w:rsidR="00557A6F" w:rsidRDefault="00557A6F" w:rsidP="00557A6F">
      <w:r>
        <w:t>Det foreslås å øke bevilgningen med 25,1 mill. kroner til 146,1 mill. kroner, inkludert endringer som følge av avbyråkratiserings- og effektiviseringsreformen og prisjustering. I tillegg foreslås det en tilsagnsfullmakt på 150,7 mill. kroner, jf. forslag til romertallsvedtak.</w:t>
      </w:r>
    </w:p>
    <w:p w:rsidR="00557A6F" w:rsidRDefault="00557A6F" w:rsidP="00557A6F">
      <w:pPr>
        <w:pStyle w:val="b-post"/>
      </w:pPr>
      <w:r>
        <w:lastRenderedPageBreak/>
        <w:t>Post 26 StimuLab, kan overføres</w:t>
      </w:r>
    </w:p>
    <w:p w:rsidR="00557A6F" w:rsidRDefault="00557A6F" w:rsidP="00557A6F">
      <w:r>
        <w:t>StimuLab er en stimuleringsordning for innovasjon og tjenestedesign i offentlig sektor. Formålet er en bedre og mer effektiv offentlig sektor med mer relevante, treffsikre og samordnede tiltak for brukerne. StimuLab skal gjennom tilskudd og faglig veiledning til enkeltprosjekter øke innov</w:t>
      </w:r>
      <w:r>
        <w:t>a</w:t>
      </w:r>
      <w:r>
        <w:t>sjonskapasiteten og kompetansen i offentlige virksomheter, samt bidra til å utvikle kunnskap og spre erfaringer om sa</w:t>
      </w:r>
      <w:r>
        <w:t>m</w:t>
      </w:r>
      <w:r>
        <w:t>ordnede tjenester til beste for brukerne.</w:t>
      </w:r>
    </w:p>
    <w:p w:rsidR="00557A6F" w:rsidRDefault="00557A6F" w:rsidP="00557A6F">
      <w:r>
        <w:t>Nytt regelverk for ordningen ble vedtatt i mars 2019. Tildelingskriteriene legger vekt på hvorvidt pr</w:t>
      </w:r>
      <w:r>
        <w:t>o</w:t>
      </w:r>
      <w:r>
        <w:t>sjektene har et tydelig brukerfokus og et innovasjonspotensial på problemstillinger der det ikke allerede finnes løsninger. Det skal også legges vekt på gjennomføringsevne hos søkerne, gevins</w:t>
      </w:r>
      <w:r>
        <w:t>t</w:t>
      </w:r>
      <w:r>
        <w:t>potensial, samt lærings- og overføringsverdi i prosjektet. StimuLab skal prioritere prosjekter som er krevende å utvikle fordi de må finne sin løsning i sama</w:t>
      </w:r>
      <w:r>
        <w:t>r</w:t>
      </w:r>
      <w:r>
        <w:t>beid mellom ulike sektorer («faller mellom stoler»). StimuLab kan prioritere særskilte tema eller problemstillin</w:t>
      </w:r>
      <w:r>
        <w:t>g</w:t>
      </w:r>
      <w:r>
        <w:t>er for det enkelte år.</w:t>
      </w:r>
    </w:p>
    <w:p w:rsidR="00557A6F" w:rsidRDefault="00557A6F" w:rsidP="00557A6F">
      <w:r>
        <w:t>Digitaliseringsdirektoratet forvalter ordningen i et samarbeid med Design og arkitektur Norge (DOGA). Resultater formidles gjennom erfaringsspredning samt Digitaliseringsdirektoratets år</w:t>
      </w:r>
      <w:r>
        <w:t>s</w:t>
      </w:r>
      <w:r>
        <w:t>rapport.</w:t>
      </w:r>
    </w:p>
    <w:p w:rsidR="00557A6F" w:rsidRDefault="00557A6F" w:rsidP="00557A6F">
      <w:pPr>
        <w:pStyle w:val="avsnitt-tittel"/>
      </w:pPr>
      <w:r>
        <w:t>Rapport</w:t>
      </w:r>
    </w:p>
    <w:p w:rsidR="00557A6F" w:rsidRDefault="00557A6F" w:rsidP="00557A6F">
      <w:r>
        <w:t>Basert på erfaringer fra prøveperioden 2016–2017, ble StimuLab etablert som en fast ordning fra 2018. Samtidig ble ordningen utvidet til også å omfatte kommunene.</w:t>
      </w:r>
    </w:p>
    <w:p w:rsidR="00557A6F" w:rsidRDefault="00557A6F" w:rsidP="00557A6F">
      <w:r>
        <w:t>I 2019 har ordningen mottatt 38 søknader. Difi har gitt tilsagn om midler til sju prosjekter. Disse har til felles at de skal utvikle løsninger som har til hensikt å løse utfordringer på tvers. StimuLab har tildelt midler til prosjekter i både statlige virksomheter (NAV, Arkivverket, Direktoratet for e-helse /Helsedirektoratet, helseforetak, Brønnøysundregistrene) og kommuner (Oslo komm</w:t>
      </w:r>
      <w:r>
        <w:t>u</w:t>
      </w:r>
      <w:r>
        <w:t>ne/Bydel Nordre Aker, Bærum kommune og Lillestrøm kommune). Flere av prosjektene er et sa</w:t>
      </w:r>
      <w:r>
        <w:t>m</w:t>
      </w:r>
      <w:r>
        <w:t>arbeid mellom stat og kommune og me</w:t>
      </w:r>
      <w:r>
        <w:t>l</w:t>
      </w:r>
      <w:r>
        <w:t>lom nivåer i staten. Utlysningen i 2019 har vært spesielt rettet mot prosjekter som har et forebyggende formål. Et eksempel er prosjektet «Helhetlige tjene</w:t>
      </w:r>
      <w:r>
        <w:t>s</w:t>
      </w:r>
      <w:r>
        <w:t>ter for forebygging av økonomiske problemer», et samarbeid mellom Brønnøysundregistrene, NAV og Lillestrøm kommune.</w:t>
      </w:r>
    </w:p>
    <w:p w:rsidR="00557A6F" w:rsidRDefault="00557A6F" w:rsidP="00557A6F">
      <w:pPr>
        <w:pStyle w:val="avsnitt-tittel"/>
      </w:pPr>
      <w:r>
        <w:t>Budsjettforslag</w:t>
      </w:r>
    </w:p>
    <w:p w:rsidR="00557A6F" w:rsidRDefault="00557A6F" w:rsidP="00557A6F">
      <w:r>
        <w:t>Det foreslås en bevilgning på 20,3 mill. kroner, inkludert endringer som følge av avbyråkratis</w:t>
      </w:r>
      <w:r>
        <w:t>e</w:t>
      </w:r>
      <w:r>
        <w:t>rings- og effektiviseringsreformen og prisjustering.</w:t>
      </w:r>
    </w:p>
    <w:p w:rsidR="00557A6F" w:rsidRDefault="00557A6F" w:rsidP="00557A6F">
      <w:pPr>
        <w:pStyle w:val="b-post"/>
      </w:pPr>
      <w:r>
        <w:t>Post 27 Opplæringskontoret OK stat</w:t>
      </w:r>
    </w:p>
    <w:p w:rsidR="00557A6F" w:rsidRDefault="00557A6F" w:rsidP="00557A6F">
      <w:r>
        <w:t xml:space="preserve">Bevilgningen har dekket utbetaling av lærlingtilskudd til statlige virksomheter som har lærlinger og er tilknyttet OK stat. OK stat er en fast ordning som har vært tilknyttet Difi, men som fra 2020 vil bli forvaltet av DFØ. </w:t>
      </w:r>
    </w:p>
    <w:p w:rsidR="00557A6F" w:rsidRDefault="00557A6F" w:rsidP="00557A6F">
      <w:r>
        <w:t>Utviklingen viser at antall nye lærlinger har flatet ut og at estimatet for antall nye lærlinger fre</w:t>
      </w:r>
      <w:r>
        <w:t>m</w:t>
      </w:r>
      <w:r>
        <w:t>over var satt for høyt. Bevilgningsbehovet for 2020 reduseres derfor til 6,3 mill. kroner og foreslås som følge av endret ansvars- og oppgavefordeling mellom Difi og DFØ bevilget under 1605 D</w:t>
      </w:r>
      <w:r>
        <w:t>i</w:t>
      </w:r>
      <w:r>
        <w:t>rektoratet for forval</w:t>
      </w:r>
      <w:r>
        <w:t>t</w:t>
      </w:r>
      <w:r>
        <w:t xml:space="preserve">ning og økonomistyring, post 22 Opplæringskontoret OK stat. </w:t>
      </w:r>
    </w:p>
    <w:p w:rsidR="00557A6F" w:rsidRDefault="00557A6F" w:rsidP="00557A6F">
      <w:r>
        <w:t>Det vises også til omtale av OK stat under programkategori 13.00.</w:t>
      </w:r>
    </w:p>
    <w:p w:rsidR="00557A6F" w:rsidRDefault="00557A6F" w:rsidP="00557A6F">
      <w:pPr>
        <w:pStyle w:val="b-post"/>
      </w:pPr>
      <w:r>
        <w:t>Post 28 (Ny) Altinn, kan overføres</w:t>
      </w:r>
    </w:p>
    <w:p w:rsidR="00557A6F" w:rsidRDefault="00557A6F" w:rsidP="00557A6F">
      <w:r>
        <w:t>Ansvaret for Altinn er overført fra Nærings- og fiskeridepartementet. Bevilgningen skal dekke u</w:t>
      </w:r>
      <w:r>
        <w:t>t</w:t>
      </w:r>
      <w:r>
        <w:t>giftene til forvaltning av Altinn-løsningen, herunder lønns- og driftsutgifter, som Digitaliseringsd</w:t>
      </w:r>
      <w:r>
        <w:t>i</w:t>
      </w:r>
      <w:r>
        <w:t>rektoratet fra 2020 skal forvalte på vegne av de deltagende etatene. Altinn driftes og utvikles gje</w:t>
      </w:r>
      <w:r>
        <w:t>n</w:t>
      </w:r>
      <w:r>
        <w:t>nom kontrakter med eksterne leverandører. Digitaliseringsdirektoratet vil viderefakturere tjenest</w:t>
      </w:r>
      <w:r>
        <w:t>e</w:t>
      </w:r>
      <w:r>
        <w:t xml:space="preserve">eierne i samsvar med gjeldende fordelingsnøkkel i samarbeidsavtalen mellom de berørte etatene, jf. tilsvarende bevilgningsforslag under kap. 3540, post 07. </w:t>
      </w:r>
    </w:p>
    <w:p w:rsidR="00557A6F" w:rsidRDefault="00557A6F" w:rsidP="00557A6F">
      <w:pPr>
        <w:pStyle w:val="avsnitt-tittel"/>
      </w:pPr>
      <w:r>
        <w:lastRenderedPageBreak/>
        <w:t>Budsjettforslag</w:t>
      </w:r>
    </w:p>
    <w:p w:rsidR="00557A6F" w:rsidRDefault="00557A6F" w:rsidP="00557A6F">
      <w:r>
        <w:t>Det foreslås bevilget 221,5 mill. kroner mot en tilsvarende reduksjon under Nærings- og fiskerid</w:t>
      </w:r>
      <w:r>
        <w:t>e</w:t>
      </w:r>
      <w:r>
        <w:t>partementets kap. 904, post 22. Det kan bli nødvendig å justere de budsjettmessige forutsetningene og overf</w:t>
      </w:r>
      <w:r>
        <w:t>ø</w:t>
      </w:r>
      <w:r>
        <w:t xml:space="preserve">ringene på et senere tidspunkt. </w:t>
      </w:r>
    </w:p>
    <w:p w:rsidR="00557A6F" w:rsidRDefault="00557A6F" w:rsidP="00557A6F">
      <w:r>
        <w:t xml:space="preserve">Det foreslås at bevilgningen kan overskrides mot tilsvarende merinntekt under kap. 3540, post 07, jf. forslag til romertallsvedtak. </w:t>
      </w:r>
    </w:p>
    <w:p w:rsidR="00557A6F" w:rsidRDefault="00557A6F" w:rsidP="00557A6F">
      <w:r>
        <w:t>Altinn-løsningen vedlikeholdes og videreutvikles gjennom månedlige oppdateringer. Det meste av innholdet i ny Altinn-versjon bestilles ni måneder i forkant av produksjonssetting. Det betyr at b</w:t>
      </w:r>
      <w:r>
        <w:t>e</w:t>
      </w:r>
      <w:r>
        <w:t>stillinger som foretas etter utløpet av første kvartal i et år, vil binde opp budsjettmidler for etterfø</w:t>
      </w:r>
      <w:r>
        <w:t>l</w:t>
      </w:r>
      <w:r>
        <w:t>gende år. Det foreslås derfor at Kommunal- og moderniseringsdepartementet i 2020 kan foreta b</w:t>
      </w:r>
      <w:r>
        <w:t>e</w:t>
      </w:r>
      <w:r>
        <w:t xml:space="preserve">stillinger utover gitt bevilgning, men slik at ramme for nye bestillinger og gammelt ansvar ikke overskrider 50 mill. kroner, jf. forslag til romertallsvedtak. </w:t>
      </w:r>
    </w:p>
    <w:p w:rsidR="00557A6F" w:rsidRDefault="00557A6F" w:rsidP="00557A6F">
      <w:pPr>
        <w:pStyle w:val="b-post"/>
      </w:pPr>
      <w:r>
        <w:t>Post 71 IT-standardisering</w:t>
      </w:r>
    </w:p>
    <w:p w:rsidR="00557A6F" w:rsidRDefault="00557A6F" w:rsidP="00557A6F">
      <w:r>
        <w:t>Formålet med bevilgningen er å støtte Standard Norges arbeid med IT-standardisering generelt og op</w:t>
      </w:r>
      <w:r>
        <w:t>p</w:t>
      </w:r>
      <w:r>
        <w:t>følgingsarbeid innenfor IT-sikkerhetsstandardisering samt å bidra til kompetanseoverføring på området mellom Standard Norge og forvaltningen. Standard Norge har ansvar for standardis</w:t>
      </w:r>
      <w:r>
        <w:t>e</w:t>
      </w:r>
      <w:r>
        <w:t>ringsoppgaver på alle områder unntatt elektro-, post- og telestandardisering. Standard Norge har enerett på å fastsette og utgi Norsk Standard.</w:t>
      </w:r>
    </w:p>
    <w:p w:rsidR="00557A6F" w:rsidRDefault="00557A6F" w:rsidP="00557A6F">
      <w:r>
        <w:t>Tilskuddet skal blant annet bidra til fastsettelse og utbredelse av bruk av standarder samt styrke No</w:t>
      </w:r>
      <w:r>
        <w:t>r</w:t>
      </w:r>
      <w:r>
        <w:t>ges deltakelse i det internasjonale standardiseringsarbeidet innen IT.</w:t>
      </w:r>
    </w:p>
    <w:p w:rsidR="00557A6F" w:rsidRDefault="00557A6F" w:rsidP="00557A6F">
      <w:r>
        <w:t>Digitaliseringsdirektoratet vil gjennom tilskuddsbrev stille krav og vilkår for bruken av midler og ra</w:t>
      </w:r>
      <w:r>
        <w:t>p</w:t>
      </w:r>
      <w:r>
        <w:t>portering. Standard Norge rapporterer årlig på bruk av tildelte midler.</w:t>
      </w:r>
    </w:p>
    <w:p w:rsidR="00557A6F" w:rsidRDefault="00557A6F" w:rsidP="00557A6F">
      <w:r>
        <w:t>I 2019 har Standard Norge arbeidet bredt med standarder innen IT-området. Standard Norge har spesielt arbeidet innen områdene IT-sikkerhet, ID-forvaltning, IT-anskaffelser, digitale anskaffe</w:t>
      </w:r>
      <w:r>
        <w:t>l</w:t>
      </w:r>
      <w:r>
        <w:t>sesprosesser og efaktura og smarte byer. Standard Norge har deltatt i Difis standardiseringsråd, hvor de særlig har hatt et internasjonalt perspektiv.</w:t>
      </w:r>
    </w:p>
    <w:p w:rsidR="00557A6F" w:rsidRDefault="00557A6F" w:rsidP="00557A6F">
      <w:r>
        <w:t>I 2020 vil Standard Norge øke innsatsen knyttet til standardisering i EU.</w:t>
      </w:r>
    </w:p>
    <w:p w:rsidR="00557A6F" w:rsidRDefault="00557A6F" w:rsidP="00557A6F">
      <w:r>
        <w:t>Det foreslås en bevilgning på 811 000 kroner.</w:t>
      </w:r>
    </w:p>
    <w:p w:rsidR="00557A6F" w:rsidRDefault="00557A6F" w:rsidP="00557A6F">
      <w:pPr>
        <w:pStyle w:val="b-budkaptit"/>
      </w:pPr>
      <w:r>
        <w:t>Kap. 3540 Digitaliseringsdirektoratet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7A6F" w:rsidTr="00557A6F">
        <w:trPr>
          <w:trHeight w:val="640"/>
        </w:trPr>
        <w:tc>
          <w:tcPr>
            <w:tcW w:w="1140" w:type="dxa"/>
            <w:shd w:val="clear" w:color="auto" w:fill="FFFFFF"/>
          </w:tcPr>
          <w:p w:rsidR="00557A6F" w:rsidRDefault="00557A6F" w:rsidP="00557A6F">
            <w:pPr>
              <w:pStyle w:val="Tabellnavn"/>
            </w:pPr>
            <w:r>
              <w:t>KPAL</w:t>
            </w:r>
          </w:p>
        </w:tc>
        <w:tc>
          <w:tcPr>
            <w:tcW w:w="4560" w:type="dxa"/>
          </w:tcPr>
          <w:p w:rsidR="00557A6F" w:rsidRDefault="00557A6F" w:rsidP="00557A6F"/>
        </w:tc>
        <w:tc>
          <w:tcPr>
            <w:tcW w:w="1140" w:type="dxa"/>
          </w:tcPr>
          <w:p w:rsidR="00557A6F" w:rsidRDefault="00557A6F" w:rsidP="00557A6F">
            <w:pPr>
              <w:pStyle w:val="Tabellnavn"/>
              <w:jc w:val="right"/>
            </w:pPr>
          </w:p>
        </w:tc>
        <w:tc>
          <w:tcPr>
            <w:tcW w:w="1140" w:type="dxa"/>
          </w:tcPr>
          <w:p w:rsidR="00557A6F" w:rsidRDefault="00557A6F" w:rsidP="00557A6F">
            <w:pPr>
              <w:pStyle w:val="Tabellnavn"/>
              <w:jc w:val="right"/>
            </w:pPr>
          </w:p>
        </w:tc>
        <w:tc>
          <w:tcPr>
            <w:tcW w:w="1140" w:type="dxa"/>
          </w:tcPr>
          <w:p w:rsidR="00557A6F" w:rsidRDefault="00557A6F" w:rsidP="00557A6F">
            <w:pPr>
              <w:jc w:val="right"/>
            </w:pPr>
            <w:r>
              <w:t>(i 1 000 kr)</w:t>
            </w:r>
          </w:p>
        </w:tc>
      </w:tr>
      <w:tr w:rsidR="00557A6F" w:rsidTr="00557A6F">
        <w:trPr>
          <w:trHeight w:val="600"/>
        </w:trPr>
        <w:tc>
          <w:tcPr>
            <w:tcW w:w="1140" w:type="dxa"/>
          </w:tcPr>
          <w:p w:rsidR="00557A6F" w:rsidRDefault="00557A6F" w:rsidP="00557A6F">
            <w:r>
              <w:t>Post</w:t>
            </w:r>
          </w:p>
        </w:tc>
        <w:tc>
          <w:tcPr>
            <w:tcW w:w="4560" w:type="dxa"/>
          </w:tcPr>
          <w:p w:rsidR="00557A6F" w:rsidRDefault="00557A6F" w:rsidP="00557A6F">
            <w:r>
              <w:t>Betegnelse</w:t>
            </w:r>
          </w:p>
        </w:tc>
        <w:tc>
          <w:tcPr>
            <w:tcW w:w="1140" w:type="dxa"/>
          </w:tcPr>
          <w:p w:rsidR="00557A6F" w:rsidRDefault="00557A6F" w:rsidP="00557A6F">
            <w:pPr>
              <w:jc w:val="right"/>
            </w:pPr>
            <w:r>
              <w:t>Regnskap 2018</w:t>
            </w:r>
          </w:p>
        </w:tc>
        <w:tc>
          <w:tcPr>
            <w:tcW w:w="1140" w:type="dxa"/>
          </w:tcPr>
          <w:p w:rsidR="00557A6F" w:rsidRDefault="00557A6F" w:rsidP="00557A6F">
            <w:pPr>
              <w:jc w:val="right"/>
            </w:pPr>
            <w:r>
              <w:t xml:space="preserve">Saldert </w:t>
            </w:r>
            <w:r>
              <w:br/>
              <w:t>budsjett 2019</w:t>
            </w:r>
          </w:p>
        </w:tc>
        <w:tc>
          <w:tcPr>
            <w:tcW w:w="1140" w:type="dxa"/>
          </w:tcPr>
          <w:p w:rsidR="00557A6F" w:rsidRDefault="00557A6F" w:rsidP="00557A6F">
            <w:pPr>
              <w:jc w:val="right"/>
            </w:pPr>
            <w:r>
              <w:t xml:space="preserve">Forslag </w:t>
            </w:r>
            <w:r>
              <w:br/>
              <w:t>2020</w:t>
            </w:r>
          </w:p>
        </w:tc>
      </w:tr>
      <w:tr w:rsidR="00557A6F" w:rsidTr="00557A6F">
        <w:trPr>
          <w:trHeight w:val="380"/>
        </w:trPr>
        <w:tc>
          <w:tcPr>
            <w:tcW w:w="1140" w:type="dxa"/>
          </w:tcPr>
          <w:p w:rsidR="00557A6F" w:rsidRDefault="00557A6F" w:rsidP="00557A6F">
            <w:r>
              <w:t>02</w:t>
            </w:r>
          </w:p>
        </w:tc>
        <w:tc>
          <w:tcPr>
            <w:tcW w:w="4560" w:type="dxa"/>
          </w:tcPr>
          <w:p w:rsidR="00557A6F" w:rsidRDefault="00557A6F" w:rsidP="00557A6F">
            <w:r>
              <w:t xml:space="preserve">Opplæringskontoret OK stat </w:t>
            </w:r>
          </w:p>
        </w:tc>
        <w:tc>
          <w:tcPr>
            <w:tcW w:w="1140" w:type="dxa"/>
          </w:tcPr>
          <w:p w:rsidR="00557A6F" w:rsidRDefault="00557A6F" w:rsidP="00557A6F">
            <w:pPr>
              <w:jc w:val="right"/>
            </w:pPr>
            <w:r>
              <w:t>7 455</w:t>
            </w:r>
          </w:p>
        </w:tc>
        <w:tc>
          <w:tcPr>
            <w:tcW w:w="1140" w:type="dxa"/>
          </w:tcPr>
          <w:p w:rsidR="00557A6F" w:rsidRDefault="00557A6F" w:rsidP="00557A6F">
            <w:pPr>
              <w:jc w:val="right"/>
            </w:pPr>
            <w:r>
              <w:t>15 517</w:t>
            </w:r>
          </w:p>
        </w:tc>
        <w:tc>
          <w:tcPr>
            <w:tcW w:w="1140" w:type="dxa"/>
          </w:tcPr>
          <w:p w:rsidR="00557A6F" w:rsidRDefault="00557A6F" w:rsidP="00557A6F">
            <w:pPr>
              <w:jc w:val="right"/>
            </w:pPr>
          </w:p>
        </w:tc>
      </w:tr>
      <w:tr w:rsidR="00557A6F" w:rsidTr="00557A6F">
        <w:trPr>
          <w:trHeight w:val="380"/>
        </w:trPr>
        <w:tc>
          <w:tcPr>
            <w:tcW w:w="1140" w:type="dxa"/>
          </w:tcPr>
          <w:p w:rsidR="00557A6F" w:rsidRDefault="00557A6F" w:rsidP="00557A6F">
            <w:r>
              <w:t>03</w:t>
            </w:r>
          </w:p>
        </w:tc>
        <w:tc>
          <w:tcPr>
            <w:tcW w:w="4560" w:type="dxa"/>
          </w:tcPr>
          <w:p w:rsidR="00557A6F" w:rsidRDefault="00557A6F" w:rsidP="00557A6F">
            <w:r>
              <w:t xml:space="preserve">Diverse inntekter </w:t>
            </w:r>
          </w:p>
        </w:tc>
        <w:tc>
          <w:tcPr>
            <w:tcW w:w="1140" w:type="dxa"/>
          </w:tcPr>
          <w:p w:rsidR="00557A6F" w:rsidRDefault="00557A6F" w:rsidP="00557A6F">
            <w:pPr>
              <w:jc w:val="right"/>
            </w:pPr>
            <w:r>
              <w:t>15 803</w:t>
            </w:r>
          </w:p>
        </w:tc>
        <w:tc>
          <w:tcPr>
            <w:tcW w:w="1140" w:type="dxa"/>
          </w:tcPr>
          <w:p w:rsidR="00557A6F" w:rsidRDefault="00557A6F" w:rsidP="00557A6F">
            <w:pPr>
              <w:jc w:val="right"/>
            </w:pPr>
            <w:r>
              <w:t>435</w:t>
            </w:r>
          </w:p>
        </w:tc>
        <w:tc>
          <w:tcPr>
            <w:tcW w:w="1140" w:type="dxa"/>
          </w:tcPr>
          <w:p w:rsidR="00557A6F" w:rsidRDefault="00557A6F" w:rsidP="00557A6F">
            <w:pPr>
              <w:jc w:val="right"/>
            </w:pPr>
            <w:r>
              <w:t>433</w:t>
            </w:r>
          </w:p>
        </w:tc>
      </w:tr>
      <w:tr w:rsidR="00557A6F" w:rsidTr="00557A6F">
        <w:trPr>
          <w:trHeight w:val="380"/>
        </w:trPr>
        <w:tc>
          <w:tcPr>
            <w:tcW w:w="1140" w:type="dxa"/>
          </w:tcPr>
          <w:p w:rsidR="00557A6F" w:rsidRDefault="00557A6F" w:rsidP="00557A6F">
            <w:r>
              <w:t>04</w:t>
            </w:r>
          </w:p>
        </w:tc>
        <w:tc>
          <w:tcPr>
            <w:tcW w:w="4560" w:type="dxa"/>
          </w:tcPr>
          <w:p w:rsidR="00557A6F" w:rsidRDefault="00557A6F" w:rsidP="00557A6F">
            <w:r>
              <w:t xml:space="preserve">Internasjonale oppdrag </w:t>
            </w:r>
          </w:p>
        </w:tc>
        <w:tc>
          <w:tcPr>
            <w:tcW w:w="1140" w:type="dxa"/>
          </w:tcPr>
          <w:p w:rsidR="00557A6F" w:rsidRDefault="00557A6F" w:rsidP="00557A6F">
            <w:pPr>
              <w:jc w:val="right"/>
            </w:pPr>
            <w:r>
              <w:t>1 230</w:t>
            </w:r>
          </w:p>
        </w:tc>
        <w:tc>
          <w:tcPr>
            <w:tcW w:w="1140" w:type="dxa"/>
          </w:tcPr>
          <w:p w:rsidR="00557A6F" w:rsidRDefault="00557A6F" w:rsidP="00557A6F">
            <w:pPr>
              <w:jc w:val="right"/>
            </w:pPr>
            <w:r>
              <w:t>716</w:t>
            </w:r>
          </w:p>
        </w:tc>
        <w:tc>
          <w:tcPr>
            <w:tcW w:w="1140" w:type="dxa"/>
          </w:tcPr>
          <w:p w:rsidR="00557A6F" w:rsidRDefault="00557A6F" w:rsidP="00557A6F">
            <w:pPr>
              <w:jc w:val="right"/>
            </w:pPr>
          </w:p>
        </w:tc>
      </w:tr>
      <w:tr w:rsidR="00557A6F" w:rsidTr="00557A6F">
        <w:trPr>
          <w:trHeight w:val="380"/>
        </w:trPr>
        <w:tc>
          <w:tcPr>
            <w:tcW w:w="1140" w:type="dxa"/>
          </w:tcPr>
          <w:p w:rsidR="00557A6F" w:rsidRDefault="00557A6F" w:rsidP="00557A6F">
            <w:r>
              <w:t>05</w:t>
            </w:r>
          </w:p>
        </w:tc>
        <w:tc>
          <w:tcPr>
            <w:tcW w:w="4560" w:type="dxa"/>
          </w:tcPr>
          <w:p w:rsidR="00557A6F" w:rsidRDefault="00557A6F" w:rsidP="00557A6F">
            <w:r>
              <w:t xml:space="preserve">Bruk av nasjonale felleskomponenter </w:t>
            </w:r>
          </w:p>
        </w:tc>
        <w:tc>
          <w:tcPr>
            <w:tcW w:w="1140" w:type="dxa"/>
          </w:tcPr>
          <w:p w:rsidR="00557A6F" w:rsidRDefault="00557A6F" w:rsidP="00557A6F">
            <w:pPr>
              <w:jc w:val="right"/>
            </w:pPr>
            <w:r>
              <w:t>56 081</w:t>
            </w:r>
          </w:p>
        </w:tc>
        <w:tc>
          <w:tcPr>
            <w:tcW w:w="1140" w:type="dxa"/>
          </w:tcPr>
          <w:p w:rsidR="00557A6F" w:rsidRDefault="00557A6F" w:rsidP="00557A6F">
            <w:pPr>
              <w:jc w:val="right"/>
            </w:pPr>
            <w:r>
              <w:t>73 700</w:t>
            </w:r>
          </w:p>
        </w:tc>
        <w:tc>
          <w:tcPr>
            <w:tcW w:w="1140" w:type="dxa"/>
          </w:tcPr>
          <w:p w:rsidR="00557A6F" w:rsidRDefault="00557A6F" w:rsidP="00557A6F">
            <w:pPr>
              <w:jc w:val="right"/>
            </w:pPr>
            <w:r>
              <w:t>80 000</w:t>
            </w:r>
          </w:p>
        </w:tc>
      </w:tr>
      <w:tr w:rsidR="00557A6F" w:rsidTr="00557A6F">
        <w:trPr>
          <w:trHeight w:val="380"/>
        </w:trPr>
        <w:tc>
          <w:tcPr>
            <w:tcW w:w="1140" w:type="dxa"/>
          </w:tcPr>
          <w:p w:rsidR="00557A6F" w:rsidRDefault="00557A6F" w:rsidP="00557A6F">
            <w:r>
              <w:t>06</w:t>
            </w:r>
          </w:p>
        </w:tc>
        <w:tc>
          <w:tcPr>
            <w:tcW w:w="4560" w:type="dxa"/>
          </w:tcPr>
          <w:p w:rsidR="00557A6F" w:rsidRDefault="00557A6F" w:rsidP="00557A6F">
            <w:r>
              <w:t>Tilleggstjenester til nasjonale felleskompone</w:t>
            </w:r>
            <w:r>
              <w:t>n</w:t>
            </w:r>
            <w:r>
              <w:t xml:space="preserve">ter </w:t>
            </w:r>
          </w:p>
        </w:tc>
        <w:tc>
          <w:tcPr>
            <w:tcW w:w="1140" w:type="dxa"/>
          </w:tcPr>
          <w:p w:rsidR="00557A6F" w:rsidRDefault="00557A6F" w:rsidP="00557A6F">
            <w:pPr>
              <w:jc w:val="right"/>
            </w:pPr>
            <w:r>
              <w:t>2 519</w:t>
            </w:r>
          </w:p>
        </w:tc>
        <w:tc>
          <w:tcPr>
            <w:tcW w:w="1140" w:type="dxa"/>
          </w:tcPr>
          <w:p w:rsidR="00557A6F" w:rsidRDefault="00557A6F" w:rsidP="00557A6F">
            <w:pPr>
              <w:jc w:val="right"/>
            </w:pPr>
            <w:r>
              <w:t>778</w:t>
            </w:r>
          </w:p>
        </w:tc>
        <w:tc>
          <w:tcPr>
            <w:tcW w:w="1140" w:type="dxa"/>
          </w:tcPr>
          <w:p w:rsidR="00557A6F" w:rsidRDefault="00557A6F" w:rsidP="00557A6F">
            <w:pPr>
              <w:jc w:val="right"/>
            </w:pPr>
            <w:r>
              <w:t>799</w:t>
            </w:r>
          </w:p>
        </w:tc>
      </w:tr>
      <w:tr w:rsidR="00557A6F" w:rsidTr="00557A6F">
        <w:trPr>
          <w:trHeight w:val="380"/>
        </w:trPr>
        <w:tc>
          <w:tcPr>
            <w:tcW w:w="1140" w:type="dxa"/>
          </w:tcPr>
          <w:p w:rsidR="00557A6F" w:rsidRDefault="00557A6F" w:rsidP="00557A6F">
            <w:r>
              <w:t>07</w:t>
            </w:r>
          </w:p>
        </w:tc>
        <w:tc>
          <w:tcPr>
            <w:tcW w:w="4560" w:type="dxa"/>
          </w:tcPr>
          <w:p w:rsidR="00557A6F" w:rsidRDefault="00557A6F" w:rsidP="00557A6F">
            <w:r>
              <w:t xml:space="preserve">Altinn </w:t>
            </w:r>
          </w:p>
        </w:tc>
        <w:tc>
          <w:tcPr>
            <w:tcW w:w="1140" w:type="dxa"/>
          </w:tcPr>
          <w:p w:rsidR="00557A6F" w:rsidRDefault="00557A6F" w:rsidP="00557A6F">
            <w:pPr>
              <w:jc w:val="right"/>
            </w:pPr>
          </w:p>
        </w:tc>
        <w:tc>
          <w:tcPr>
            <w:tcW w:w="1140" w:type="dxa"/>
          </w:tcPr>
          <w:p w:rsidR="00557A6F" w:rsidRDefault="00557A6F" w:rsidP="00557A6F">
            <w:pPr>
              <w:jc w:val="right"/>
            </w:pPr>
          </w:p>
        </w:tc>
        <w:tc>
          <w:tcPr>
            <w:tcW w:w="1140" w:type="dxa"/>
          </w:tcPr>
          <w:p w:rsidR="00557A6F" w:rsidRDefault="00557A6F" w:rsidP="00557A6F">
            <w:pPr>
              <w:jc w:val="right"/>
            </w:pPr>
            <w:r>
              <w:t>91 545</w:t>
            </w:r>
          </w:p>
        </w:tc>
      </w:tr>
      <w:tr w:rsidR="00557A6F" w:rsidTr="00557A6F">
        <w:trPr>
          <w:trHeight w:val="380"/>
        </w:trPr>
        <w:tc>
          <w:tcPr>
            <w:tcW w:w="1140" w:type="dxa"/>
          </w:tcPr>
          <w:p w:rsidR="00557A6F" w:rsidRDefault="00557A6F" w:rsidP="00557A6F">
            <w:r>
              <w:t>86</w:t>
            </w:r>
          </w:p>
        </w:tc>
        <w:tc>
          <w:tcPr>
            <w:tcW w:w="4560" w:type="dxa"/>
          </w:tcPr>
          <w:p w:rsidR="00557A6F" w:rsidRDefault="00557A6F" w:rsidP="00557A6F">
            <w:r>
              <w:t xml:space="preserve">Tvangsmulkt </w:t>
            </w:r>
          </w:p>
        </w:tc>
        <w:tc>
          <w:tcPr>
            <w:tcW w:w="1140" w:type="dxa"/>
          </w:tcPr>
          <w:p w:rsidR="00557A6F" w:rsidRDefault="00557A6F" w:rsidP="00557A6F">
            <w:pPr>
              <w:jc w:val="right"/>
            </w:pPr>
          </w:p>
        </w:tc>
        <w:tc>
          <w:tcPr>
            <w:tcW w:w="1140" w:type="dxa"/>
          </w:tcPr>
          <w:p w:rsidR="00557A6F" w:rsidRDefault="00557A6F" w:rsidP="00557A6F">
            <w:pPr>
              <w:jc w:val="right"/>
            </w:pPr>
            <w:r>
              <w:t>100</w:t>
            </w:r>
          </w:p>
        </w:tc>
        <w:tc>
          <w:tcPr>
            <w:tcW w:w="1140" w:type="dxa"/>
          </w:tcPr>
          <w:p w:rsidR="00557A6F" w:rsidRDefault="00557A6F" w:rsidP="00557A6F">
            <w:pPr>
              <w:jc w:val="right"/>
            </w:pPr>
            <w:r>
              <w:t>100</w:t>
            </w:r>
          </w:p>
        </w:tc>
      </w:tr>
      <w:tr w:rsidR="00557A6F" w:rsidTr="00557A6F">
        <w:trPr>
          <w:trHeight w:val="380"/>
        </w:trPr>
        <w:tc>
          <w:tcPr>
            <w:tcW w:w="1140" w:type="dxa"/>
          </w:tcPr>
          <w:p w:rsidR="00557A6F" w:rsidRDefault="00557A6F" w:rsidP="00557A6F"/>
        </w:tc>
        <w:tc>
          <w:tcPr>
            <w:tcW w:w="4560" w:type="dxa"/>
          </w:tcPr>
          <w:p w:rsidR="00557A6F" w:rsidRDefault="00557A6F" w:rsidP="00557A6F">
            <w:r>
              <w:t>Sum kap. 3540</w:t>
            </w:r>
          </w:p>
        </w:tc>
        <w:tc>
          <w:tcPr>
            <w:tcW w:w="1140" w:type="dxa"/>
          </w:tcPr>
          <w:p w:rsidR="00557A6F" w:rsidRDefault="00557A6F" w:rsidP="00557A6F">
            <w:pPr>
              <w:jc w:val="right"/>
            </w:pPr>
            <w:r>
              <w:t>83 088</w:t>
            </w:r>
          </w:p>
        </w:tc>
        <w:tc>
          <w:tcPr>
            <w:tcW w:w="1140" w:type="dxa"/>
          </w:tcPr>
          <w:p w:rsidR="00557A6F" w:rsidRDefault="00557A6F" w:rsidP="00557A6F">
            <w:pPr>
              <w:jc w:val="right"/>
            </w:pPr>
            <w:r>
              <w:t>91 246</w:t>
            </w:r>
          </w:p>
        </w:tc>
        <w:tc>
          <w:tcPr>
            <w:tcW w:w="1140" w:type="dxa"/>
          </w:tcPr>
          <w:p w:rsidR="00557A6F" w:rsidRDefault="00557A6F" w:rsidP="00557A6F">
            <w:pPr>
              <w:jc w:val="right"/>
            </w:pPr>
            <w:r>
              <w:t>172 877</w:t>
            </w:r>
          </w:p>
        </w:tc>
      </w:tr>
    </w:tbl>
    <w:p w:rsidR="00557A6F" w:rsidRDefault="00557A6F" w:rsidP="00557A6F">
      <w:pPr>
        <w:pStyle w:val="b-post"/>
      </w:pPr>
      <w:r>
        <w:t>Post 02 Opplæringskontoret OK stat</w:t>
      </w:r>
    </w:p>
    <w:p w:rsidR="00557A6F" w:rsidRDefault="00557A6F" w:rsidP="00557A6F">
      <w:r>
        <w:t>På posten har det vært budsjettert inntekter knyttet til fylkeskommunenes innbetaling av lærlingti</w:t>
      </w:r>
      <w:r>
        <w:t>l</w:t>
      </w:r>
      <w:r>
        <w:t xml:space="preserve">skudd. </w:t>
      </w:r>
    </w:p>
    <w:p w:rsidR="00557A6F" w:rsidRDefault="00557A6F" w:rsidP="00557A6F">
      <w:r>
        <w:t>Utviklingen viser at antall nye lærlinger har flatet ut. Bevilgningsbehovet for 2020 reduseres derfor til 9,7 mill. kroner og foreslås som følge av endret ansvars- og oppgavefordeling mellom Difi og DFØ bevilget under kap. 4605 Direktoratet for forvaltning og økonomistyring, post 02 Oppl</w:t>
      </w:r>
      <w:r>
        <w:t>æ</w:t>
      </w:r>
      <w:r>
        <w:t>ringskontoret OK stat.</w:t>
      </w:r>
    </w:p>
    <w:p w:rsidR="00557A6F" w:rsidRDefault="00557A6F" w:rsidP="00557A6F">
      <w:pPr>
        <w:pStyle w:val="b-post"/>
      </w:pPr>
      <w:r>
        <w:t>Post 03 Diverse inntekter</w:t>
      </w:r>
    </w:p>
    <w:p w:rsidR="00557A6F" w:rsidRDefault="00557A6F" w:rsidP="00557A6F">
      <w:r>
        <w:t>Det foreslås en bevilgning på 433 000 kroner.</w:t>
      </w:r>
    </w:p>
    <w:p w:rsidR="00557A6F" w:rsidRDefault="00557A6F" w:rsidP="00557A6F">
      <w:pPr>
        <w:pStyle w:val="b-post"/>
      </w:pPr>
      <w:r>
        <w:t>Post 04 Internasjonale oppdrag</w:t>
      </w:r>
    </w:p>
    <w:p w:rsidR="00557A6F" w:rsidRDefault="00557A6F" w:rsidP="00557A6F">
      <w:r>
        <w:t>På posten har det vært budsjettert inntekter til dekning av utgifter Difi har hatt ved å bistå depart</w:t>
      </w:r>
      <w:r>
        <w:t>e</w:t>
      </w:r>
      <w:r>
        <w:t>menter og direktorater i forvaltningsutvikling og institusjonsbygging i andre land. Samlede utgifter på kap. 540, post 01 til dette arbeidet skal ikke overstige inntektene. Som følge av avvikling av aktiviteten, for</w:t>
      </w:r>
      <w:r>
        <w:t>e</w:t>
      </w:r>
      <w:r>
        <w:t>slås det ikke bevilgning på posten. Kap. 540, post 01 reduseres tilsvarende.</w:t>
      </w:r>
    </w:p>
    <w:p w:rsidR="00557A6F" w:rsidRDefault="00557A6F" w:rsidP="00557A6F">
      <w:pPr>
        <w:pStyle w:val="b-post"/>
      </w:pPr>
      <w:r>
        <w:t>Post 05 Bruk av nasjonale felleskomponenter</w:t>
      </w:r>
    </w:p>
    <w:p w:rsidR="00557A6F" w:rsidRDefault="00557A6F" w:rsidP="00557A6F">
      <w:r>
        <w:t>På posten budsjetteres inntekter knyttet til betaling fra offentlige virksomheter for bruk av elektr</w:t>
      </w:r>
      <w:r>
        <w:t>o</w:t>
      </w:r>
      <w:r>
        <w:t>nisk ID på høyt sikkerhetsnivå utstedt av private leverandører, SMS-kostnader for bruk av Digital postkasse til innbyggere, innlogging til postkassene via ID-porten og Signeringstjenesten, jf. omt</w:t>
      </w:r>
      <w:r>
        <w:t>a</w:t>
      </w:r>
      <w:r>
        <w:t>le under kap. 540, post 22.</w:t>
      </w:r>
    </w:p>
    <w:p w:rsidR="00557A6F" w:rsidRDefault="00557A6F" w:rsidP="00557A6F">
      <w:r>
        <w:t>På bakgrunn av forventede kostnader for bruk av løsningene foreslås det en bevilgning på 80 mill. kroner.</w:t>
      </w:r>
    </w:p>
    <w:p w:rsidR="00557A6F" w:rsidRDefault="00557A6F" w:rsidP="00557A6F">
      <w:pPr>
        <w:pStyle w:val="b-post"/>
      </w:pPr>
      <w:r>
        <w:t>Post 06 Tilleggstjenester til nasjonale felleskomponenter</w:t>
      </w:r>
    </w:p>
    <w:p w:rsidR="00557A6F" w:rsidRDefault="00557A6F" w:rsidP="00557A6F">
      <w:r>
        <w:t>På posten budsjetteres inntekter knyttet til utviklingsoppdrag og tilleggstjenester Digitaliseringsd</w:t>
      </w:r>
      <w:r>
        <w:t>i</w:t>
      </w:r>
      <w:r>
        <w:t>rektoratet gjør på vegne av virksomhetene som benytter ID-porten, Digital postkasse til innbyggere og Sign</w:t>
      </w:r>
      <w:r>
        <w:t>e</w:t>
      </w:r>
      <w:r>
        <w:t>ringstjenesten, jf. omtale under kap. 540, post 23.</w:t>
      </w:r>
    </w:p>
    <w:p w:rsidR="00557A6F" w:rsidRDefault="00557A6F" w:rsidP="00557A6F">
      <w:r>
        <w:t>Det foreslås en bevilgning på 799 000 kroner.</w:t>
      </w:r>
    </w:p>
    <w:p w:rsidR="00557A6F" w:rsidRDefault="00557A6F" w:rsidP="00557A6F">
      <w:pPr>
        <w:pStyle w:val="b-post"/>
      </w:pPr>
      <w:r>
        <w:t>Post 07 (Ny) Altinn</w:t>
      </w:r>
    </w:p>
    <w:p w:rsidR="00557A6F" w:rsidRDefault="00557A6F" w:rsidP="00557A6F">
      <w:r>
        <w:t>Ansvaret for Altinn er overført fra Nærings- og fiskeridepartementet. På posten budsjetteres in</w:t>
      </w:r>
      <w:r>
        <w:t>n</w:t>
      </w:r>
      <w:r>
        <w:t>tekter knyttet til refusjoner i forbindelse med samarbeidsprosjekter eller spesielle oppdrag i tilkny</w:t>
      </w:r>
      <w:r>
        <w:t>t</w:t>
      </w:r>
      <w:r>
        <w:t>ning til fo</w:t>
      </w:r>
      <w:r>
        <w:t>r</w:t>
      </w:r>
      <w:r>
        <w:t>valtning av Altinn-løsningen. Digitaliseringsdirektoratet blir fakturert for alle utgifter til drifts- og driftsr</w:t>
      </w:r>
      <w:r>
        <w:t>e</w:t>
      </w:r>
      <w:r>
        <w:t>latert applikasjonsforvaltning. Utgiftene viderefaktureres til tjenesteeierne etter gjeldende fordelingsnø</w:t>
      </w:r>
      <w:r>
        <w:t>k</w:t>
      </w:r>
      <w:r>
        <w:t xml:space="preserve">kel basert på retningslinjene for Altinn-samarbeidet. </w:t>
      </w:r>
    </w:p>
    <w:p w:rsidR="00557A6F" w:rsidRDefault="00557A6F" w:rsidP="00557A6F">
      <w:r>
        <w:t>Det foreslås bevilget 91,5 mill. kroner mot en tilsvarende reduksjon av Nærings- og fiskeridepa</w:t>
      </w:r>
      <w:r>
        <w:t>r</w:t>
      </w:r>
      <w:r>
        <w:t xml:space="preserve">tementets kap. 3904, post 03. </w:t>
      </w:r>
    </w:p>
    <w:p w:rsidR="00557A6F" w:rsidRDefault="00557A6F" w:rsidP="00557A6F">
      <w:pPr>
        <w:pStyle w:val="b-post"/>
      </w:pPr>
      <w:r>
        <w:t>Post 86 Tvangsmulkt</w:t>
      </w:r>
    </w:p>
    <w:p w:rsidR="00557A6F" w:rsidRDefault="00557A6F" w:rsidP="00557A6F">
      <w:r>
        <w:t>Digitaliseringsdirektoratet forvalter og fører tilsyn etter forskrift om universell utforming av IKT-løsninger. Direktoratet kan pålegge virksomheter å iverksette nødvendige tiltak for å sikre oppfylle</w:t>
      </w:r>
      <w:r>
        <w:t>l</w:t>
      </w:r>
      <w:r>
        <w:t>se av forskriften og treffe vedtak om tvangsmulkt etter lov 21. juni 2013 nr. 61 om forbud mot diskrimin</w:t>
      </w:r>
      <w:r>
        <w:t>e</w:t>
      </w:r>
      <w:r>
        <w:t>ring på grunn av nedsatt funksjonsevne § 29.</w:t>
      </w:r>
    </w:p>
    <w:p w:rsidR="00557A6F" w:rsidRDefault="00557A6F" w:rsidP="00557A6F">
      <w:r>
        <w:t>Det foreslås en bevilgning på 100 000 kroner.</w:t>
      </w:r>
    </w:p>
    <w:p w:rsidR="00557A6F" w:rsidRDefault="00557A6F" w:rsidP="00557A6F">
      <w:pPr>
        <w:pStyle w:val="b-budkaptit"/>
      </w:pPr>
      <w:r>
        <w:lastRenderedPageBreak/>
        <w:t>Kap. 541 IT- og ekompolitikk</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7A6F" w:rsidTr="00557A6F">
        <w:trPr>
          <w:trHeight w:val="640"/>
        </w:trPr>
        <w:tc>
          <w:tcPr>
            <w:tcW w:w="1140" w:type="dxa"/>
            <w:shd w:val="clear" w:color="auto" w:fill="FFFFFF"/>
          </w:tcPr>
          <w:p w:rsidR="00557A6F" w:rsidRDefault="00557A6F" w:rsidP="00557A6F">
            <w:pPr>
              <w:pStyle w:val="Tabellnavn"/>
            </w:pPr>
            <w:r>
              <w:t>KPAL</w:t>
            </w:r>
          </w:p>
        </w:tc>
        <w:tc>
          <w:tcPr>
            <w:tcW w:w="4560" w:type="dxa"/>
          </w:tcPr>
          <w:p w:rsidR="00557A6F" w:rsidRDefault="00557A6F" w:rsidP="00557A6F"/>
        </w:tc>
        <w:tc>
          <w:tcPr>
            <w:tcW w:w="1140" w:type="dxa"/>
          </w:tcPr>
          <w:p w:rsidR="00557A6F" w:rsidRDefault="00557A6F" w:rsidP="00557A6F">
            <w:pPr>
              <w:pStyle w:val="Tabellnavn"/>
              <w:jc w:val="right"/>
            </w:pPr>
          </w:p>
        </w:tc>
        <w:tc>
          <w:tcPr>
            <w:tcW w:w="1140" w:type="dxa"/>
          </w:tcPr>
          <w:p w:rsidR="00557A6F" w:rsidRDefault="00557A6F" w:rsidP="00557A6F">
            <w:pPr>
              <w:pStyle w:val="Tabellnavn"/>
              <w:jc w:val="right"/>
            </w:pPr>
          </w:p>
        </w:tc>
        <w:tc>
          <w:tcPr>
            <w:tcW w:w="1140" w:type="dxa"/>
          </w:tcPr>
          <w:p w:rsidR="00557A6F" w:rsidRDefault="00557A6F" w:rsidP="00557A6F">
            <w:pPr>
              <w:jc w:val="right"/>
            </w:pPr>
            <w:r>
              <w:t>(i 1 000 kr)</w:t>
            </w:r>
          </w:p>
        </w:tc>
      </w:tr>
      <w:tr w:rsidR="00557A6F" w:rsidTr="00557A6F">
        <w:trPr>
          <w:trHeight w:val="600"/>
        </w:trPr>
        <w:tc>
          <w:tcPr>
            <w:tcW w:w="1140" w:type="dxa"/>
          </w:tcPr>
          <w:p w:rsidR="00557A6F" w:rsidRDefault="00557A6F" w:rsidP="00557A6F">
            <w:r>
              <w:t>Post</w:t>
            </w:r>
          </w:p>
        </w:tc>
        <w:tc>
          <w:tcPr>
            <w:tcW w:w="4560" w:type="dxa"/>
          </w:tcPr>
          <w:p w:rsidR="00557A6F" w:rsidRDefault="00557A6F" w:rsidP="00557A6F">
            <w:r>
              <w:t>Betegnelse</w:t>
            </w:r>
          </w:p>
        </w:tc>
        <w:tc>
          <w:tcPr>
            <w:tcW w:w="1140" w:type="dxa"/>
          </w:tcPr>
          <w:p w:rsidR="00557A6F" w:rsidRDefault="00557A6F" w:rsidP="00557A6F">
            <w:pPr>
              <w:jc w:val="right"/>
            </w:pPr>
            <w:r>
              <w:t>Regnskap 2018</w:t>
            </w:r>
          </w:p>
        </w:tc>
        <w:tc>
          <w:tcPr>
            <w:tcW w:w="1140" w:type="dxa"/>
          </w:tcPr>
          <w:p w:rsidR="00557A6F" w:rsidRDefault="00557A6F" w:rsidP="00557A6F">
            <w:pPr>
              <w:jc w:val="right"/>
            </w:pPr>
            <w:r>
              <w:t xml:space="preserve">Saldert </w:t>
            </w:r>
            <w:r>
              <w:br/>
              <w:t>budsjett 2019</w:t>
            </w:r>
          </w:p>
        </w:tc>
        <w:tc>
          <w:tcPr>
            <w:tcW w:w="1140" w:type="dxa"/>
          </w:tcPr>
          <w:p w:rsidR="00557A6F" w:rsidRDefault="00557A6F" w:rsidP="00557A6F">
            <w:pPr>
              <w:jc w:val="right"/>
            </w:pPr>
            <w:r>
              <w:t xml:space="preserve">Forslag </w:t>
            </w:r>
            <w:r>
              <w:br/>
              <w:t>2020</w:t>
            </w:r>
          </w:p>
        </w:tc>
      </w:tr>
      <w:tr w:rsidR="00557A6F" w:rsidTr="00557A6F">
        <w:trPr>
          <w:trHeight w:val="880"/>
        </w:trPr>
        <w:tc>
          <w:tcPr>
            <w:tcW w:w="1140" w:type="dxa"/>
          </w:tcPr>
          <w:p w:rsidR="00557A6F" w:rsidRDefault="00557A6F" w:rsidP="00557A6F">
            <w:r>
              <w:t>22</w:t>
            </w:r>
          </w:p>
        </w:tc>
        <w:tc>
          <w:tcPr>
            <w:tcW w:w="4560" w:type="dxa"/>
          </w:tcPr>
          <w:p w:rsidR="00557A6F" w:rsidRDefault="00557A6F" w:rsidP="007F3140">
            <w:r>
              <w:t>Utvikling, gjennomføring og samordning av IT- og ekompolitikken</w:t>
            </w:r>
            <w:r>
              <w:rPr>
                <w:rStyle w:val="kursiv"/>
                <w:sz w:val="21"/>
                <w:szCs w:val="21"/>
              </w:rPr>
              <w:t xml:space="preserve">, kan overføres, </w:t>
            </w:r>
            <w:r>
              <w:rPr>
                <w:rStyle w:val="kursiv"/>
                <w:sz w:val="21"/>
                <w:szCs w:val="21"/>
              </w:rPr>
              <w:br/>
              <w:t xml:space="preserve">kan nyttes under post 70 </w:t>
            </w:r>
          </w:p>
        </w:tc>
        <w:tc>
          <w:tcPr>
            <w:tcW w:w="1140" w:type="dxa"/>
          </w:tcPr>
          <w:p w:rsidR="00557A6F" w:rsidRDefault="00557A6F" w:rsidP="00557A6F">
            <w:pPr>
              <w:jc w:val="right"/>
            </w:pPr>
            <w:r>
              <w:t>5 406</w:t>
            </w:r>
          </w:p>
        </w:tc>
        <w:tc>
          <w:tcPr>
            <w:tcW w:w="1140" w:type="dxa"/>
          </w:tcPr>
          <w:p w:rsidR="00557A6F" w:rsidRDefault="00557A6F" w:rsidP="00557A6F">
            <w:pPr>
              <w:jc w:val="right"/>
            </w:pPr>
            <w:r>
              <w:t>7 329</w:t>
            </w:r>
          </w:p>
        </w:tc>
        <w:tc>
          <w:tcPr>
            <w:tcW w:w="1140" w:type="dxa"/>
          </w:tcPr>
          <w:p w:rsidR="00557A6F" w:rsidRDefault="00557A6F" w:rsidP="00557A6F">
            <w:pPr>
              <w:jc w:val="right"/>
            </w:pPr>
            <w:r>
              <w:t>20 723</w:t>
            </w:r>
          </w:p>
        </w:tc>
      </w:tr>
      <w:tr w:rsidR="00557A6F" w:rsidTr="00557A6F">
        <w:trPr>
          <w:trHeight w:val="380"/>
        </w:trPr>
        <w:tc>
          <w:tcPr>
            <w:tcW w:w="1140" w:type="dxa"/>
          </w:tcPr>
          <w:p w:rsidR="00557A6F" w:rsidRDefault="00557A6F" w:rsidP="00557A6F">
            <w:r>
              <w:t>50</w:t>
            </w:r>
          </w:p>
        </w:tc>
        <w:tc>
          <w:tcPr>
            <w:tcW w:w="4560" w:type="dxa"/>
          </w:tcPr>
          <w:p w:rsidR="00557A6F" w:rsidRDefault="00557A6F" w:rsidP="00557A6F">
            <w:r>
              <w:t xml:space="preserve">Forskningsprogrammer </w:t>
            </w:r>
          </w:p>
        </w:tc>
        <w:tc>
          <w:tcPr>
            <w:tcW w:w="1140" w:type="dxa"/>
          </w:tcPr>
          <w:p w:rsidR="00557A6F" w:rsidRDefault="00557A6F" w:rsidP="00557A6F">
            <w:pPr>
              <w:jc w:val="right"/>
            </w:pPr>
          </w:p>
        </w:tc>
        <w:tc>
          <w:tcPr>
            <w:tcW w:w="1140" w:type="dxa"/>
          </w:tcPr>
          <w:p w:rsidR="00557A6F" w:rsidRDefault="00557A6F" w:rsidP="00557A6F">
            <w:pPr>
              <w:jc w:val="right"/>
            </w:pPr>
          </w:p>
        </w:tc>
        <w:tc>
          <w:tcPr>
            <w:tcW w:w="1140" w:type="dxa"/>
          </w:tcPr>
          <w:p w:rsidR="00557A6F" w:rsidRDefault="00557A6F" w:rsidP="00557A6F">
            <w:pPr>
              <w:jc w:val="right"/>
            </w:pPr>
            <w:r>
              <w:t>205 617</w:t>
            </w:r>
          </w:p>
        </w:tc>
      </w:tr>
      <w:tr w:rsidR="00557A6F" w:rsidTr="00557A6F">
        <w:trPr>
          <w:trHeight w:val="380"/>
        </w:trPr>
        <w:tc>
          <w:tcPr>
            <w:tcW w:w="1140" w:type="dxa"/>
          </w:tcPr>
          <w:p w:rsidR="00557A6F" w:rsidRDefault="00557A6F" w:rsidP="00557A6F">
            <w:r>
              <w:t>60</w:t>
            </w:r>
          </w:p>
        </w:tc>
        <w:tc>
          <w:tcPr>
            <w:tcW w:w="4560" w:type="dxa"/>
          </w:tcPr>
          <w:p w:rsidR="00557A6F" w:rsidRDefault="00557A6F" w:rsidP="00557A6F">
            <w:r>
              <w:t xml:space="preserve">Bredbåndsutbygging </w:t>
            </w:r>
          </w:p>
        </w:tc>
        <w:tc>
          <w:tcPr>
            <w:tcW w:w="1140" w:type="dxa"/>
          </w:tcPr>
          <w:p w:rsidR="00557A6F" w:rsidRDefault="00557A6F" w:rsidP="00557A6F">
            <w:pPr>
              <w:jc w:val="right"/>
            </w:pPr>
          </w:p>
        </w:tc>
        <w:tc>
          <w:tcPr>
            <w:tcW w:w="1140" w:type="dxa"/>
          </w:tcPr>
          <w:p w:rsidR="00557A6F" w:rsidRDefault="00557A6F" w:rsidP="00557A6F">
            <w:pPr>
              <w:jc w:val="right"/>
            </w:pPr>
          </w:p>
        </w:tc>
        <w:tc>
          <w:tcPr>
            <w:tcW w:w="1140" w:type="dxa"/>
          </w:tcPr>
          <w:p w:rsidR="00557A6F" w:rsidRDefault="00557A6F" w:rsidP="00557A6F">
            <w:pPr>
              <w:jc w:val="right"/>
            </w:pPr>
            <w:r>
              <w:t>256 142</w:t>
            </w:r>
          </w:p>
        </w:tc>
      </w:tr>
      <w:tr w:rsidR="00557A6F" w:rsidTr="00557A6F">
        <w:trPr>
          <w:trHeight w:val="640"/>
        </w:trPr>
        <w:tc>
          <w:tcPr>
            <w:tcW w:w="1140" w:type="dxa"/>
          </w:tcPr>
          <w:p w:rsidR="00557A6F" w:rsidRDefault="00557A6F" w:rsidP="00557A6F">
            <w:r>
              <w:t>70</w:t>
            </w:r>
          </w:p>
        </w:tc>
        <w:tc>
          <w:tcPr>
            <w:tcW w:w="4560" w:type="dxa"/>
          </w:tcPr>
          <w:p w:rsidR="00557A6F" w:rsidRDefault="00557A6F" w:rsidP="00557A6F">
            <w:r>
              <w:t>Forvaltningsutvikling, IT- og ekompolitikk</w:t>
            </w:r>
            <w:r>
              <w:rPr>
                <w:rStyle w:val="kursiv"/>
                <w:sz w:val="21"/>
                <w:szCs w:val="21"/>
              </w:rPr>
              <w:t xml:space="preserve">, </w:t>
            </w:r>
            <w:r>
              <w:rPr>
                <w:rStyle w:val="kursiv"/>
                <w:sz w:val="21"/>
                <w:szCs w:val="21"/>
              </w:rPr>
              <w:br/>
              <w:t xml:space="preserve">kan nyttes under post 22 </w:t>
            </w:r>
          </w:p>
        </w:tc>
        <w:tc>
          <w:tcPr>
            <w:tcW w:w="1140" w:type="dxa"/>
          </w:tcPr>
          <w:p w:rsidR="00557A6F" w:rsidRDefault="00557A6F" w:rsidP="00557A6F">
            <w:pPr>
              <w:jc w:val="right"/>
            </w:pPr>
            <w:r>
              <w:t>9 760</w:t>
            </w:r>
          </w:p>
        </w:tc>
        <w:tc>
          <w:tcPr>
            <w:tcW w:w="1140" w:type="dxa"/>
          </w:tcPr>
          <w:p w:rsidR="00557A6F" w:rsidRDefault="00557A6F" w:rsidP="00557A6F">
            <w:pPr>
              <w:jc w:val="right"/>
            </w:pPr>
            <w:r>
              <w:t>8 029</w:t>
            </w:r>
          </w:p>
        </w:tc>
        <w:tc>
          <w:tcPr>
            <w:tcW w:w="1140" w:type="dxa"/>
          </w:tcPr>
          <w:p w:rsidR="00557A6F" w:rsidRDefault="00557A6F" w:rsidP="00557A6F">
            <w:pPr>
              <w:jc w:val="right"/>
            </w:pPr>
            <w:r>
              <w:t>15 287</w:t>
            </w:r>
          </w:p>
        </w:tc>
      </w:tr>
      <w:tr w:rsidR="00557A6F" w:rsidTr="00557A6F">
        <w:trPr>
          <w:trHeight w:val="380"/>
        </w:trPr>
        <w:tc>
          <w:tcPr>
            <w:tcW w:w="1140" w:type="dxa"/>
          </w:tcPr>
          <w:p w:rsidR="00557A6F" w:rsidRDefault="00557A6F" w:rsidP="00557A6F"/>
        </w:tc>
        <w:tc>
          <w:tcPr>
            <w:tcW w:w="4560" w:type="dxa"/>
          </w:tcPr>
          <w:p w:rsidR="00557A6F" w:rsidRDefault="00557A6F" w:rsidP="00557A6F">
            <w:r>
              <w:t>Sum kap. 0541</w:t>
            </w:r>
          </w:p>
        </w:tc>
        <w:tc>
          <w:tcPr>
            <w:tcW w:w="1140" w:type="dxa"/>
          </w:tcPr>
          <w:p w:rsidR="00557A6F" w:rsidRDefault="00557A6F" w:rsidP="00557A6F">
            <w:pPr>
              <w:jc w:val="right"/>
            </w:pPr>
            <w:r>
              <w:t>15 166</w:t>
            </w:r>
          </w:p>
        </w:tc>
        <w:tc>
          <w:tcPr>
            <w:tcW w:w="1140" w:type="dxa"/>
          </w:tcPr>
          <w:p w:rsidR="00557A6F" w:rsidRDefault="00557A6F" w:rsidP="00557A6F">
            <w:pPr>
              <w:jc w:val="right"/>
            </w:pPr>
            <w:r>
              <w:t>15 358</w:t>
            </w:r>
          </w:p>
        </w:tc>
        <w:tc>
          <w:tcPr>
            <w:tcW w:w="1140" w:type="dxa"/>
          </w:tcPr>
          <w:p w:rsidR="00557A6F" w:rsidRDefault="00557A6F" w:rsidP="00557A6F">
            <w:pPr>
              <w:jc w:val="right"/>
            </w:pPr>
            <w:r>
              <w:t>497 769</w:t>
            </w:r>
          </w:p>
        </w:tc>
      </w:tr>
    </w:tbl>
    <w:p w:rsidR="00557A6F" w:rsidRDefault="00557A6F" w:rsidP="00557A6F">
      <w:pPr>
        <w:pStyle w:val="tabell-noter"/>
      </w:pPr>
      <w:r>
        <w:t>Vedrørende 2019: Ved Stortingets vedtak av 25. april 2019 ble post 22 økt med 13,7 mill. kroner til 21,0 mill. kroner og post 70 økt med 7,1 mill. kroner til 15,1 mill. kroner, jf. Prop. 57 S og Innst. 236 S (2018–2019). Ved Stortingets vedtak av 21. juni 2019 ble post 22 redusert med 0,5 mill. kroner til 20,5 mill. kroner, jf. Prop. 114 S og Innst. 391 S (2018–2019).</w:t>
      </w:r>
    </w:p>
    <w:p w:rsidR="00557A6F" w:rsidRDefault="00557A6F" w:rsidP="00557A6F">
      <w:pPr>
        <w:pStyle w:val="b-post"/>
      </w:pPr>
      <w:r>
        <w:t>Post 22 Utvikling, gjennomføring og samordning av IT- og ekompolitikken, kan overføres, kan nyttes under post 70</w:t>
      </w:r>
    </w:p>
    <w:p w:rsidR="00557A6F" w:rsidRDefault="00557A6F" w:rsidP="00557A6F">
      <w:r>
        <w:t>Bevilgningen skal benyttes til gjennomføring og videreutvikling av IT- og ekompolitikken. Midl</w:t>
      </w:r>
      <w:r>
        <w:t>e</w:t>
      </w:r>
      <w:r>
        <w:t>ne skal benyttes til tiltak som skal bekjempe digitale skiller i befolkningen, styrking av befol</w:t>
      </w:r>
      <w:r>
        <w:t>k</w:t>
      </w:r>
      <w:r>
        <w:t>ningens digitale ko</w:t>
      </w:r>
      <w:r>
        <w:t>m</w:t>
      </w:r>
      <w:r>
        <w:t>petanse og koordinering av Norges interesser i arbeidet med det digitale indre markedet i EU. Midlene skal også benyttes til oppfølging av mål og tiltak i Digital agenda for Norge, herunder styrket samordning av digitaliseringen av offentlig sektor. Midlene skal også b</w:t>
      </w:r>
      <w:r>
        <w:t>e</w:t>
      </w:r>
      <w:r>
        <w:t>nyttes til tiltak som understøtter digitalisering av næringslivet.</w:t>
      </w:r>
    </w:p>
    <w:p w:rsidR="00557A6F" w:rsidRDefault="00557A6F" w:rsidP="00557A6F">
      <w:r>
        <w:t>Bevilgningen er i 2018 blant annet benyttet til å gjennomføre tiltak for økt digital deltakelse og kompetanse i befolkningen</w:t>
      </w:r>
      <w:r>
        <w:rPr>
          <w:rStyle w:val="kursiv"/>
          <w:sz w:val="21"/>
          <w:szCs w:val="21"/>
        </w:rPr>
        <w:t xml:space="preserve">. </w:t>
      </w:r>
      <w:r>
        <w:t>Videre er bevilgningen benyttet til oppfølging av tverrgående digital</w:t>
      </w:r>
      <w:r>
        <w:t>i</w:t>
      </w:r>
      <w:r>
        <w:t>seringstiltak og til finansi</w:t>
      </w:r>
      <w:r>
        <w:t>e</w:t>
      </w:r>
      <w:r>
        <w:t>ring av utredninger og rapporter for å styrke kunnskapsgrunnlaget og politikkutformingen på feltet, herunder OECDs arbeid med tilgang til data.</w:t>
      </w:r>
    </w:p>
    <w:p w:rsidR="00557A6F" w:rsidRDefault="00557A6F" w:rsidP="00557A6F">
      <w:pPr>
        <w:pStyle w:val="avsnitt-tittel"/>
      </w:pPr>
      <w:r>
        <w:t>Budsjettforslag</w:t>
      </w:r>
    </w:p>
    <w:p w:rsidR="00557A6F" w:rsidRDefault="00557A6F" w:rsidP="00557A6F">
      <w:r>
        <w:t>Som følge av endringene i departementsstrukturen og i ansvarsfordelingen mellom Kommunal- og moderniseringsdepartementet, Nærings- og fiskeridepartementet og Samferdselsdepartementet vinteren 2019, jf. Prop. 57 S (2018–2019), foreslås bevilgningen økt med 13,7 mill. kroner. Ø</w:t>
      </w:r>
      <w:r>
        <w:t>k</w:t>
      </w:r>
      <w:r>
        <w:t>ningen er knyttet til flytting av oppfølgingen av Digital 21-strategien og medlemskontingent til Toppindustrisenteret fra Nærings- og fiskeridepartementet. Økningen er videre knyttet til overf</w:t>
      </w:r>
      <w:r>
        <w:t>ø</w:t>
      </w:r>
      <w:r>
        <w:t>ring av utredningsmidler innen elektronisk kommunikasjon fra Samferdselsdepartementet. Ø</w:t>
      </w:r>
      <w:r>
        <w:t>k</w:t>
      </w:r>
      <w:r>
        <w:t>ningen motsvares av forslag om bevilgning</w:t>
      </w:r>
      <w:r>
        <w:t>s</w:t>
      </w:r>
      <w:r>
        <w:t xml:space="preserve">reduksjoner med 10,3 mill. kroner under kap. 900, post 21, 2 mill. kroner på post 23 og 1,4 mill. kroner under kap. 1301, post 21. </w:t>
      </w:r>
    </w:p>
    <w:p w:rsidR="00557A6F" w:rsidRDefault="00557A6F" w:rsidP="00557A6F">
      <w:r>
        <w:t>Bevilgningen foreslås redusert med 0,5 mill. kroner mot en tilsvarende økning under kap. 540, post 21 Driftsu</w:t>
      </w:r>
      <w:r>
        <w:t>t</w:t>
      </w:r>
      <w:r>
        <w:t>gifter som følge av at Digitaliseringsdirektoratet skal følge opp tilskudd til IT-statistikk til Stati</w:t>
      </w:r>
      <w:r>
        <w:t>s</w:t>
      </w:r>
      <w:r>
        <w:t>tisk sentralbyrå.</w:t>
      </w:r>
    </w:p>
    <w:p w:rsidR="00557A6F" w:rsidRDefault="00557A6F" w:rsidP="00557A6F">
      <w:r>
        <w:lastRenderedPageBreak/>
        <w:t>Samlet foreslås det å øke bevilgningen med 13,4 mill. kroner til 20,7 mill. kroner, inkludert en</w:t>
      </w:r>
      <w:r>
        <w:t>d</w:t>
      </w:r>
      <w:r>
        <w:t>ringer som følge av avbyråkratiserings- og effektiviseringsreformen og prisjustering.</w:t>
      </w:r>
    </w:p>
    <w:p w:rsidR="00557A6F" w:rsidRDefault="00557A6F" w:rsidP="00557A6F">
      <w:pPr>
        <w:pStyle w:val="b-post"/>
      </w:pPr>
      <w:r>
        <w:t>Post 50 (Ny) Forskningsprogrammer</w:t>
      </w:r>
    </w:p>
    <w:p w:rsidR="00557A6F" w:rsidRDefault="00557A6F" w:rsidP="00557A6F">
      <w:r>
        <w:t>Bevilgningen skal dekke departementets behov for langsiktig kunnskapsoppbygging innenfor IT-forskning og forskning på elektronisk kommunikasjon i regi av Norges forskningsråd. Bevil</w:t>
      </w:r>
      <w:r>
        <w:t>g</w:t>
      </w:r>
      <w:r>
        <w:t>ningen skal videre dekke Forskningsrådets finansiering av Simula Research Laboratory. For en omtale av regj</w:t>
      </w:r>
      <w:r>
        <w:t>e</w:t>
      </w:r>
      <w:r>
        <w:t xml:space="preserve">ringens mål for Norges forskningsråd vises det til omtale under kap. 500, post 50. </w:t>
      </w:r>
    </w:p>
    <w:p w:rsidR="00557A6F" w:rsidRDefault="00557A6F" w:rsidP="00557A6F">
      <w:pPr>
        <w:pStyle w:val="avsnitt-under-undertittel"/>
      </w:pPr>
      <w:r>
        <w:t>Muliggjørende teknologier, herunder IKT og EuroHPC</w:t>
      </w:r>
    </w:p>
    <w:p w:rsidR="00557A6F" w:rsidRDefault="00557A6F" w:rsidP="00557A6F">
      <w:r>
        <w:t>Muliggjørende teknologiers betydning for omstilling og digitalisering er gjennomgripende, og Forskningsrådets totale innsats på området i 2018 var på om lag 2,9 mrd. kroner. Den målrettede innsatsen har vært mot grunnleggende IT-forskning og rekruttering, internasjonalt samarbeid, he</w:t>
      </w:r>
      <w:r>
        <w:t>r</w:t>
      </w:r>
      <w:r>
        <w:t>under i EU og med India og Kina. Det har også vært fokus på å stimulere til forskning og innov</w:t>
      </w:r>
      <w:r>
        <w:t>a</w:t>
      </w:r>
      <w:r>
        <w:t>sjon innenfor kunstig intelligens, stordata, robotikk, tingenes internett, digital sikkerhet, e-vitenskap og e-helse. Innsatsen er essens</w:t>
      </w:r>
      <w:r>
        <w:t>i</w:t>
      </w:r>
      <w:r>
        <w:t>ell for digitalisering i alle sektorer og har i 2018 bragt videre utviklingen av autonome biler og skip, bidratt til omstilling i prosessindustrien og til mode</w:t>
      </w:r>
      <w:r>
        <w:t>r</w:t>
      </w:r>
      <w:r>
        <w:t>nisering av tjenester i offentlig sektor. I de åpne, næring</w:t>
      </w:r>
      <w:r>
        <w:t>s</w:t>
      </w:r>
      <w:r>
        <w:t>rettede satsingene utgjør IT-prosjekter en stor andel og inkluderer prosjekter med stor IT-tyngde heru</w:t>
      </w:r>
      <w:r>
        <w:t>n</w:t>
      </w:r>
      <w:r>
        <w:t xml:space="preserve">der stor digitaliseringskomponent, innenfor nærmest alle anvendelses- og bransjeområder. </w:t>
      </w:r>
    </w:p>
    <w:p w:rsidR="00557A6F" w:rsidRDefault="00557A6F" w:rsidP="00557A6F">
      <w:r>
        <w:t>Det er tydelige samarbeidsrelasjoner i prosjektporteføljen mellom forskningsaktører, næringsliv og offentlig se</w:t>
      </w:r>
      <w:r>
        <w:t>k</w:t>
      </w:r>
      <w:r>
        <w:t xml:space="preserve">tor og godt samspill mellom forskning og innovasjon. Næringslivet deltar i økende grad i samarbeidsprosjekter med forskningsmiljøene gjennom prosjekter finansiert av IKTPLUSS. </w:t>
      </w:r>
    </w:p>
    <w:p w:rsidR="00557A6F" w:rsidRDefault="00557A6F" w:rsidP="00557A6F">
      <w:r>
        <w:t>Tydelige samarbeidsrelasjoner er kjennetegn som departementet ønsker videreført i arbeidet med IT-forskning i 2020. Departementet vil ta opp behovet for revisjon av gjeldende nasjonal strategi for IT-forskning og -utvikling i lys av revidert langtidsplan for høyere utdanning og forskning og den generelle samfunns- og te</w:t>
      </w:r>
      <w:r>
        <w:t>k</w:t>
      </w:r>
      <w:r>
        <w:t>nologiutviklingen.</w:t>
      </w:r>
    </w:p>
    <w:p w:rsidR="00557A6F" w:rsidRDefault="00557A6F" w:rsidP="00557A6F">
      <w:r>
        <w:t>Departementet vil følge opp IT-porteføljen i en nærmere fagdialog med Norges forskningsråd.</w:t>
      </w:r>
    </w:p>
    <w:p w:rsidR="00557A6F" w:rsidRDefault="00557A6F" w:rsidP="00557A6F">
      <w:r>
        <w:t>For å sikre tilgang til superdatamaskiner, gikk Norge fra og med 1. januar 2019 inn i samarbeidet E</w:t>
      </w:r>
      <w:r>
        <w:t>u</w:t>
      </w:r>
      <w:r>
        <w:t>roHPC – et europeisk samarbeid om å bygge europeiske superdatamaskiner og kompetansemiljø som skal sikre god utnytting av kapasiteten. Uninett Sigma2 er Norges nasjonale kompetansesenter for tungregning. I juni i år ble det klart at et konsortium med Uninett Sigma2 og syv andre eur</w:t>
      </w:r>
      <w:r>
        <w:t>o</w:t>
      </w:r>
      <w:r>
        <w:t>peiske land er ett av tre konsortium som hver er tildelt 1 mrd. kroner fra EU. Det er viktig at ko</w:t>
      </w:r>
      <w:r>
        <w:t>m</w:t>
      </w:r>
      <w:r>
        <w:t>petansen hos aktuelle brukere av de nye superdatamaskinene blir styrket. For å bidra til dette a</w:t>
      </w:r>
      <w:r>
        <w:t>r</w:t>
      </w:r>
      <w:r>
        <w:t xml:space="preserve">beidet får Uninett Sigma2 et tilskudd fra IKTPLUSS på 10 mill. kroner, fordelt med 5 mill. kroner over to år. </w:t>
      </w:r>
    </w:p>
    <w:p w:rsidR="00557A6F" w:rsidRDefault="00557A6F" w:rsidP="00557A6F">
      <w:r>
        <w:t>Se også omtale i Prop. 1 S (2019–2020) for Kunnskapsdepartementet, kap. 285 og Del III, kap. 5.</w:t>
      </w:r>
    </w:p>
    <w:p w:rsidR="00557A6F" w:rsidRDefault="00557A6F" w:rsidP="00557A6F">
      <w:pPr>
        <w:pStyle w:val="avsnitt-under-undertittel"/>
        <w:rPr>
          <w:rStyle w:val="kursiv"/>
          <w:i/>
          <w:iCs/>
          <w:sz w:val="21"/>
          <w:szCs w:val="21"/>
        </w:rPr>
      </w:pPr>
      <w:r>
        <w:rPr>
          <w:rStyle w:val="kursiv"/>
          <w:i/>
          <w:iCs/>
          <w:sz w:val="21"/>
          <w:szCs w:val="21"/>
        </w:rPr>
        <w:t>Elektronisk kommunikasjon</w:t>
      </w:r>
    </w:p>
    <w:p w:rsidR="00557A6F" w:rsidRDefault="00557A6F" w:rsidP="00557A6F">
      <w:r>
        <w:t>Innbyggere, næringsliv, forvaltning og samfunnskritiske funksjoner blir stadig mer avhengige av effekt</w:t>
      </w:r>
      <w:r>
        <w:t>i</w:t>
      </w:r>
      <w:r>
        <w:t xml:space="preserve">ve, sikre og pålitelige ekomtjenester for å utføre sine oppgaver. Ekommarkedet er i stadig endring, og ekomnettene bærer stadig høyere verdier. </w:t>
      </w:r>
    </w:p>
    <w:p w:rsidR="00557A6F" w:rsidRDefault="00557A6F" w:rsidP="00557A6F">
      <w:r>
        <w:t>For å kunne drive god politikkutvikling for sektoren, legge til rette for trygge og robuste nett og tjenester, videre vekst i markedet og for å ivareta nasjonale interesser, er forskning viktig. Bevil</w:t>
      </w:r>
      <w:r>
        <w:t>g</w:t>
      </w:r>
      <w:r>
        <w:t>ningen til ekomforskning skal bidra til forskning på sikkerhetsmessige, teknologiske, næringsme</w:t>
      </w:r>
      <w:r>
        <w:t>s</w:t>
      </w:r>
      <w:r>
        <w:t>sige, og sa</w:t>
      </w:r>
      <w:r>
        <w:t>m</w:t>
      </w:r>
      <w:r>
        <w:t>funnsmessige problemstillinger innen elektronisk kommunikasjon. I 2019 ble den i hovedsak fordelt mellom Norges Forskningsråds IKTPLUSS (IKT og digital innovasjon) og Forskningsrådets finansiering av Simula Research Laboratory. Også i 2020 vil departementet fo</w:t>
      </w:r>
      <w:r>
        <w:t>r</w:t>
      </w:r>
      <w:r>
        <w:t xml:space="preserve">dele midlene til ekomforskning mellom Forskningsrådets utlysninger og Simula. </w:t>
      </w:r>
    </w:p>
    <w:p w:rsidR="00557A6F" w:rsidRDefault="00557A6F" w:rsidP="00557A6F">
      <w:r>
        <w:t>IKTPLUSS sitt faglige område «Data og tjenester overalt» omfatter forskning på fremtidsrettede ekomtjenester i hele landet. Simula Research Laboratory driver grunnleggende langsiktig forskning på utvalgte områder innenfor programvare og kommunikasjonsteknologi. Via Norges Forskning</w:t>
      </w:r>
      <w:r>
        <w:t>s</w:t>
      </w:r>
      <w:r>
        <w:t>råd mottar Simula Research Lab</w:t>
      </w:r>
      <w:r>
        <w:t>o</w:t>
      </w:r>
      <w:r>
        <w:t xml:space="preserve">ratory en grunnfinansiering og støtte til to forskningssentre fra Kommunal- og </w:t>
      </w:r>
      <w:r>
        <w:lastRenderedPageBreak/>
        <w:t>moderniseringsdepartementet. Simula ble i 2016/2017 evaluert av et internasjonalt panel av anerkjente forskere. Evalueringen bekreftet at Simula leverer forskning av høy kvalitet, har et velutviklet internasjonalt nettverk og er en driver for innov</w:t>
      </w:r>
      <w:r>
        <w:t>a</w:t>
      </w:r>
      <w:r>
        <w:t>sjon gjennom oppstartsbedrifter og langsiktige partnerskap. Videre viste evalueringen at Simula har lært av og forbedret områder der det i den forrige evalueringen i 2012 ble trukket frem at det var behov for justeringer. Robuste nett senter (CRNA) har også blitt ev</w:t>
      </w:r>
      <w:r>
        <w:t>a</w:t>
      </w:r>
      <w:r>
        <w:t>luert av en internasjonal jury med meget gode resultater. Det er en forutsetning for departementets støtte til Simula at denne typen uavhengige evalueringer gjennomføres jevnlig, og at resultatene er g</w:t>
      </w:r>
      <w:r>
        <w:t>o</w:t>
      </w:r>
      <w:r>
        <w:t>de. Kommunal- og moderniseringsdepartementet skal ha årlige dialogmøter med Robuste nett senter og Simula@UiB.</w:t>
      </w:r>
    </w:p>
    <w:p w:rsidR="00557A6F" w:rsidRDefault="00557A6F" w:rsidP="00557A6F">
      <w:pPr>
        <w:pStyle w:val="avsnitt-tittel"/>
      </w:pPr>
      <w:r>
        <w:t>Budsjettforslag</w:t>
      </w:r>
    </w:p>
    <w:p w:rsidR="00557A6F" w:rsidRDefault="00557A6F" w:rsidP="00557A6F">
      <w:r>
        <w:t>Det vises til endringene i departementsstrukturen og i ansvarsfordelingen mellom Kommunal- og mode</w:t>
      </w:r>
      <w:r>
        <w:t>r</w:t>
      </w:r>
      <w:r>
        <w:t xml:space="preserve">niseringsdepartementet, Nærings- og fiskeridepartementet og Samferdselsdepartementet, jf. Prop. 57 S (2018–2019). </w:t>
      </w:r>
    </w:p>
    <w:p w:rsidR="00557A6F" w:rsidRDefault="00557A6F" w:rsidP="00557A6F">
      <w:r>
        <w:t>Det foreslås bevilget 195,5 mill. kroner knyttet til overføringen av ansvar for IT-forskning og forskning på elektronisk kommunikasjon fra Nærings- og fiskeridepartementet og Samferdselsd</w:t>
      </w:r>
      <w:r>
        <w:t>e</w:t>
      </w:r>
      <w:r>
        <w:t>partementet. Fo</w:t>
      </w:r>
      <w:r>
        <w:t>r</w:t>
      </w:r>
      <w:r>
        <w:t xml:space="preserve">slaget motsvares av en reduksjon på 136 mill. kroner under kap. 920, post 50 og en reduksjon på 59,5 mill. kroner under kap. 1301, post 50. </w:t>
      </w:r>
    </w:p>
    <w:p w:rsidR="00557A6F" w:rsidRDefault="00557A6F" w:rsidP="00557A6F">
      <w:r>
        <w:t xml:space="preserve">Det foreslås videre at departementets bidrag til IKTPLUSS med 10 mill. kroner flyttes fra kap. 500, post 50 til posten, jf. omtale under kap. 500, post 50. </w:t>
      </w:r>
    </w:p>
    <w:p w:rsidR="00557A6F" w:rsidRDefault="00557A6F" w:rsidP="00557A6F">
      <w:r>
        <w:t xml:space="preserve">Samlet foreslås det en bevilgning på 205,6 mill. kroner. </w:t>
      </w:r>
    </w:p>
    <w:p w:rsidR="00557A6F" w:rsidRDefault="00557A6F" w:rsidP="00557A6F">
      <w:pPr>
        <w:pStyle w:val="b-post"/>
      </w:pPr>
      <w:r>
        <w:t>Post 60 (Ny) Bredbåndsutbygging</w:t>
      </w:r>
    </w:p>
    <w:p w:rsidR="00557A6F" w:rsidRDefault="00557A6F" w:rsidP="00557A6F">
      <w:r>
        <w:t xml:space="preserve">Tilskuddet skal bidra til utbygging av bredbånd i geografiske områder der det ikke er kommersielt grunnlag for investeringer. Ordningen har vært forvaltet av Nasjonal kommunikasjonsmyndighet. Fra og med 2020 skal forvaltningen av ordningen overtas av fylkeskommunene. </w:t>
      </w:r>
    </w:p>
    <w:p w:rsidR="00557A6F" w:rsidRDefault="00557A6F" w:rsidP="00557A6F">
      <w:r>
        <w:t>Formålet med ordningen er å bidra til at alle husstander og private og offentlige virksomheter får et tilbud om bredbånd med god kvalitet. I tillegg kan midlene brukes til å øke kapasiteten på bre</w:t>
      </w:r>
      <w:r>
        <w:t>d</w:t>
      </w:r>
      <w:r>
        <w:t>båndet i områder der mark</w:t>
      </w:r>
      <w:r>
        <w:t>e</w:t>
      </w:r>
      <w:r>
        <w:t>det ikke leverer tilfredsstillende kapasitet.</w:t>
      </w:r>
    </w:p>
    <w:p w:rsidR="00557A6F" w:rsidRDefault="00557A6F" w:rsidP="00557A6F">
      <w:r>
        <w:t>Hovedkriteriet for måloppnåelse er antall nye bredbåndsaksesser som realiseres gjennom ordnin</w:t>
      </w:r>
      <w:r>
        <w:t>g</w:t>
      </w:r>
      <w:r>
        <w:t>en.</w:t>
      </w:r>
    </w:p>
    <w:p w:rsidR="00557A6F" w:rsidRDefault="00557A6F" w:rsidP="00557A6F">
      <w:r>
        <w:t>Midlene skal fordeles til fylkeskommunene etter en fastsatt fordelingsnøkkel fastsatt av depart</w:t>
      </w:r>
      <w:r>
        <w:t>e</w:t>
      </w:r>
      <w:r>
        <w:t>mentet i samråd med Nasjonal kommunikasjonsmyndighet. Departementet vil i samråd med N</w:t>
      </w:r>
      <w:r>
        <w:t>a</w:t>
      </w:r>
      <w:r>
        <w:t>sjonal kommunikasjonsmyndighet også fastsette kriterier for bruk av midlene. Kriteriene kan gje</w:t>
      </w:r>
      <w:r>
        <w:t>l</w:t>
      </w:r>
      <w:r>
        <w:t>de blant annet hvilke områder som skal prioriteres i ordningen, eventuelle krav til lokal medfina</w:t>
      </w:r>
      <w:r>
        <w:t>n</w:t>
      </w:r>
      <w:r>
        <w:t>siering, krav til hastighet på bredbåndet som bygges ut og krav til teknologinøytralitet i utbyggin</w:t>
      </w:r>
      <w:r>
        <w:t>g</w:t>
      </w:r>
      <w:r>
        <w:t>en. Selv om fylkeskommunene overtar forvaltningsansvaret av ordningen, legges det ikke opp til store endringer. For å sikre overenstemmelse med EØS-avtalens statsstøtteregler, tas det sikte på å notifisere ordningen hos ESA høsten 2019.</w:t>
      </w:r>
    </w:p>
    <w:p w:rsidR="00557A6F" w:rsidRDefault="00557A6F" w:rsidP="00557A6F">
      <w:r>
        <w:t>Fylkeskommunene vil ha forvaltningsansvaret for de tildelte midlene. Nasjonal kommunikasjon</w:t>
      </w:r>
      <w:r>
        <w:t>s</w:t>
      </w:r>
      <w:r>
        <w:t>myndighet vil videreføre en aktiv, faglig veiledningsrolle for bruk av midlene, blant annet når det gjelder spørsmål om stat</w:t>
      </w:r>
      <w:r>
        <w:t>s</w:t>
      </w:r>
      <w:r>
        <w:t>støtteregelverk og om regler om tredjepartstilgang.</w:t>
      </w:r>
    </w:p>
    <w:p w:rsidR="00557A6F" w:rsidRDefault="00557A6F" w:rsidP="00557A6F">
      <w:pPr>
        <w:pStyle w:val="avsnitt-tittel"/>
      </w:pPr>
      <w:r>
        <w:t>Budsjettforslag</w:t>
      </w:r>
    </w:p>
    <w:p w:rsidR="00557A6F" w:rsidRDefault="00557A6F" w:rsidP="00557A6F">
      <w:r>
        <w:t>Som følge av endringene i departementsstrukturen og i ansvarsfordelingen mellom Kommunal- og m</w:t>
      </w:r>
      <w:r>
        <w:t>o</w:t>
      </w:r>
      <w:r>
        <w:t>derniseringsdepartementet, Nærings- og fiskeridepartementet og Samferdselsdepartementet, jf. Prop. 57 S (2018–2019), foreslås en bevilgning på 206,1 mill. kroner. Bevilgningsforslaget mo</w:t>
      </w:r>
      <w:r>
        <w:t>t</w:t>
      </w:r>
      <w:r>
        <w:t>svares av forslag om tilsvarende reduksjon under kap. 1380, post 71.</w:t>
      </w:r>
    </w:p>
    <w:p w:rsidR="00557A6F" w:rsidRDefault="00557A6F" w:rsidP="00557A6F">
      <w:r>
        <w:t xml:space="preserve">Videre foreslås en økning på 50 mill. kroner som følge av behovet for å legge til rette for et godt bredbåndstilbud i alle deler av landet. </w:t>
      </w:r>
    </w:p>
    <w:p w:rsidR="00557A6F" w:rsidRDefault="00557A6F" w:rsidP="00557A6F">
      <w:r>
        <w:t xml:space="preserve">Samlet foreslås det en bevilgning på 256,1 mill. kroner. </w:t>
      </w:r>
    </w:p>
    <w:p w:rsidR="00557A6F" w:rsidRDefault="00557A6F" w:rsidP="00557A6F">
      <w:pPr>
        <w:pStyle w:val="b-post"/>
      </w:pPr>
      <w:r>
        <w:lastRenderedPageBreak/>
        <w:t>Post 70 Forvaltningsutvikling, IT- og ekompolitikk, kan nyttes under post 22</w:t>
      </w:r>
    </w:p>
    <w:p w:rsidR="00557A6F" w:rsidRDefault="00557A6F" w:rsidP="00557A6F">
      <w:r>
        <w:t>Bevilgningen skal bidra til å nå målene om at forvaltningen i Norge er effektiv, åpen, samordnet og har høy tillit i befolkningen og at digitaliseringen i samfunnet gir gode vilkår for deltakelse, verd</w:t>
      </w:r>
      <w:r>
        <w:t>i</w:t>
      </w:r>
      <w:r>
        <w:t>skaping og innovasjon i offentlig og privat sektor.</w:t>
      </w:r>
    </w:p>
    <w:p w:rsidR="00557A6F" w:rsidRDefault="00557A6F" w:rsidP="00557A6F">
      <w:pPr>
        <w:pStyle w:val="avsnitt-tittel"/>
      </w:pPr>
      <w:r>
        <w:t>Tilskudd til økt digital deltakelse og kompetanse i befolkningen</w:t>
      </w:r>
    </w:p>
    <w:p w:rsidR="00557A6F" w:rsidRDefault="00557A6F" w:rsidP="00557A6F">
      <w:r>
        <w:t>Det foreslås et tilskudd på 2 mill. kroner som skal underbygge målsettinger i Digital agenda for Norge om å sikre et tilbud om veiledning i grunnleggende digital kompetanse i alle landets ko</w:t>
      </w:r>
      <w:r>
        <w:t>m</w:t>
      </w:r>
      <w:r>
        <w:t>muner (Digihjelpen). Veiledningen skal inkludere bruk av grunnleggende digitale tjenester, heru</w:t>
      </w:r>
      <w:r>
        <w:t>n</w:t>
      </w:r>
      <w:r>
        <w:t>der tjenester fra offentlig sektor.</w:t>
      </w:r>
    </w:p>
    <w:p w:rsidR="00557A6F" w:rsidRDefault="00557A6F" w:rsidP="00557A6F">
      <w:r>
        <w:t>Tilskuddet er i tråd med samarbeidsavtalen som er inngått mellom Kommunal- og modernis</w:t>
      </w:r>
      <w:r>
        <w:t>e</w:t>
      </w:r>
      <w:r>
        <w:t>ringsdepartementet og KS i 2018.</w:t>
      </w:r>
    </w:p>
    <w:p w:rsidR="00557A6F" w:rsidRDefault="00557A6F" w:rsidP="00557A6F">
      <w:r>
        <w:t>Tilskuddet skal medvirke til en tydelig reduksjon i antallet svake og ikke-brukere av digitale ver</w:t>
      </w:r>
      <w:r>
        <w:t>k</w:t>
      </w:r>
      <w:r>
        <w:t>tøy blant dem over 65 år og andre grupper som har lav digital kompetanse i samfunnet. Tilskuddet skal også bidra til at det utvikles permanente kommunale Digihjelpen-tilbud i grunnleggende dig</w:t>
      </w:r>
      <w:r>
        <w:t>i</w:t>
      </w:r>
      <w:r>
        <w:t>tal kompetanse.</w:t>
      </w:r>
    </w:p>
    <w:p w:rsidR="00557A6F" w:rsidRDefault="00557A6F" w:rsidP="00557A6F">
      <w:r>
        <w:t>Kommuner som ikke har et tilbud fra tidligere vil bli prioritert.</w:t>
      </w:r>
    </w:p>
    <w:p w:rsidR="00557A6F" w:rsidRDefault="00557A6F" w:rsidP="00557A6F">
      <w:r>
        <w:t>Kravene til bruk av tilskuddet framkommer i tilskuddsbrevene. Tilskuddsmottakerne leverer ra</w:t>
      </w:r>
      <w:r>
        <w:t>p</w:t>
      </w:r>
      <w:r>
        <w:t>port og regnskap innen 31. mars påfølgende år.</w:t>
      </w:r>
    </w:p>
    <w:p w:rsidR="00557A6F" w:rsidRDefault="00557A6F" w:rsidP="00557A6F">
      <w:r>
        <w:t>I 2018 ble bevilgningen økt med 3 mill. kroner i forbindelse med behandlingen av revidert nasj</w:t>
      </w:r>
      <w:r>
        <w:t>o</w:t>
      </w:r>
      <w:r>
        <w:t>nalbudsjett og til sammen 5 mill. kroner ble tildelt 34 kommuner.</w:t>
      </w:r>
    </w:p>
    <w:p w:rsidR="00557A6F" w:rsidRDefault="00557A6F" w:rsidP="00557A6F">
      <w:pPr>
        <w:pStyle w:val="avsnitt-tittel"/>
      </w:pPr>
      <w:r>
        <w:t>Tilskudd til Seniornett</w:t>
      </w:r>
    </w:p>
    <w:p w:rsidR="00557A6F" w:rsidRDefault="00557A6F" w:rsidP="00557A6F">
      <w:r>
        <w:t>Det foreslås et driftstilskudd på 3,55 mill. kroner til Seniornett Norge. Seniornett Norge er en ua</w:t>
      </w:r>
      <w:r>
        <w:t>v</w:t>
      </w:r>
      <w:r>
        <w:t>hengig, ideell organisasjon som arbeider for å styrke den digitale kompetansen blant eldre gjennom opplærings- og informasjonstiltak. Arbeidet med å få flere over 55 år på nett gjøres både lokalt og nasjonalt og i sa</w:t>
      </w:r>
      <w:r>
        <w:t>m</w:t>
      </w:r>
      <w:r>
        <w:t>arbeid med andre aktører. Målet med driftstilskuddet til Seniornett Norge er å styrke aktiviteter rettet mot målgruppen svake eller ikke-brukere av internett over 65 år over hele landet.</w:t>
      </w:r>
    </w:p>
    <w:p w:rsidR="00557A6F" w:rsidRDefault="00557A6F" w:rsidP="00557A6F">
      <w:r>
        <w:t>I forbindelse med Seniornett Norges måloppnåelse er det ønskelig at foreningens aktiviteter bidrar til å understøtte departementets og KS’ samarbeidsprosjekt for å utvikle kommunale veiledning</w:t>
      </w:r>
      <w:r>
        <w:t>s</w:t>
      </w:r>
      <w:r>
        <w:t>tilbud, jf. omtale av Digihjelpen ovenfor. Viktige kriterier for måloppnåelsen vil være antallet klubber, geografisk plassering av disse samt tilbudet av kurs og veiledning i klubbene.</w:t>
      </w:r>
    </w:p>
    <w:p w:rsidR="00557A6F" w:rsidRDefault="00557A6F" w:rsidP="00557A6F">
      <w:r>
        <w:t>Departementet har stilt krav og vilkår for bruken av midler og rapportering og følger opp rapport</w:t>
      </w:r>
      <w:r>
        <w:t>e</w:t>
      </w:r>
      <w:r>
        <w:t>ringen fra S</w:t>
      </w:r>
      <w:r>
        <w:t>e</w:t>
      </w:r>
      <w:r>
        <w:t>niornett Norge opp mot disse.</w:t>
      </w:r>
    </w:p>
    <w:p w:rsidR="00557A6F" w:rsidRDefault="00557A6F" w:rsidP="00557A6F">
      <w:r>
        <w:t>I 2018 ble 3,55 mill. kroner av bevilgningen tildelt Seniornett Norge for å styrke eldres kompetanse og deltakelse på nett. Seniornett Norge rapporterer på bruk av midlene gjennom årsrapport og r</w:t>
      </w:r>
      <w:r>
        <w:t>e</w:t>
      </w:r>
      <w:r>
        <w:t>visorgodkjent regnskap. Foreningen har ca. 9 000 medlemmer og har per februar 2019 232 loka</w:t>
      </w:r>
      <w:r>
        <w:t>l</w:t>
      </w:r>
      <w:r>
        <w:t>foreninger. S</w:t>
      </w:r>
      <w:r>
        <w:t>e</w:t>
      </w:r>
      <w:r>
        <w:t>niornett Norge har gjennomført opplæringstiltak for ca. 20 000 seniorer i 2018.</w:t>
      </w:r>
    </w:p>
    <w:p w:rsidR="00557A6F" w:rsidRDefault="00557A6F" w:rsidP="00557A6F">
      <w:pPr>
        <w:pStyle w:val="avsnitt-tittel"/>
      </w:pPr>
      <w:r>
        <w:t>Tilskudd til Norsk Teknisk Museum</w:t>
      </w:r>
    </w:p>
    <w:p w:rsidR="00557A6F" w:rsidRDefault="00557A6F" w:rsidP="00557A6F">
      <w:r>
        <w:t xml:space="preserve">Det foreslås et tilskudd på 7,3 mill. kroner til Norsk Teknisk Museum. Telenor har avviklet sin støtte til Telemuseet. For å sikre bevaring av Telemuseets museale samlinger og kulturminner som dokumenterer norsk telehistorie fra 1855 og frem til i dag, og kompetansen Telemuseet har bygd opp om samlingene, er Norsk Teknisk Museum og Telemuseet slått sammen. Tilskuddet vil bidra til ta vare på samlingene og kompetansen på teleområdet. </w:t>
      </w:r>
    </w:p>
    <w:p w:rsidR="00557A6F" w:rsidRDefault="00557A6F" w:rsidP="00557A6F">
      <w:pPr>
        <w:pStyle w:val="avsnitt-tittel"/>
      </w:pPr>
      <w:r>
        <w:t>Tilskudd til Nasjonalt program for leverandørutvikling (NHO)</w:t>
      </w:r>
    </w:p>
    <w:p w:rsidR="00557A6F" w:rsidRDefault="00557A6F" w:rsidP="00557A6F">
      <w:r>
        <w:t>Det foreslås et tilskudd på 500 000 kroner til NHO for å støtte opp om leverandørutviklingspr</w:t>
      </w:r>
      <w:r>
        <w:t>o</w:t>
      </w:r>
      <w:r>
        <w:t>grammet. Programmets formål er å gi praktisk bistand til å gjennomføre samfunnsøkonomisk lønnsomme anskaffelser med bedre tjenester, effektivisering av offentlig sektor og lønnsom n</w:t>
      </w:r>
      <w:r>
        <w:t>æ</w:t>
      </w:r>
      <w:r>
        <w:t xml:space="preserve">ringsutvikling som resultat. Det er et mål at innovative offentlige anskaffelsesprosesser, med økt samspill mellom det offentlige og </w:t>
      </w:r>
      <w:r>
        <w:lastRenderedPageBreak/>
        <w:t>leverandører, blir innarbeidet som varig praksis i både komm</w:t>
      </w:r>
      <w:r>
        <w:t>u</w:t>
      </w:r>
      <w:r>
        <w:t xml:space="preserve">ner, regioner, statlige virksomheter og i næringslivet. </w:t>
      </w:r>
    </w:p>
    <w:p w:rsidR="00557A6F" w:rsidRDefault="00557A6F" w:rsidP="00557A6F">
      <w:r>
        <w:t>Departementet har stilt krav og vilkår for bruken av midler og rapportering og følger opp rapport</w:t>
      </w:r>
      <w:r>
        <w:t>e</w:t>
      </w:r>
      <w:r>
        <w:t>ringen fra N</w:t>
      </w:r>
      <w:r>
        <w:t>a</w:t>
      </w:r>
      <w:r>
        <w:t>sjonalt program for leverandørutvikling. Det vises til nærmere omtale av programmet i Prop. 1 S (2019–2020) for Nærings- og fiskeridepartementet, kap. 900, post 81.</w:t>
      </w:r>
    </w:p>
    <w:p w:rsidR="00557A6F" w:rsidRDefault="00557A6F" w:rsidP="00557A6F">
      <w:pPr>
        <w:pStyle w:val="avsnitt-tittel"/>
      </w:pPr>
      <w:r>
        <w:t>Kontingent til Open Government Partnership</w:t>
      </w:r>
    </w:p>
    <w:p w:rsidR="00557A6F" w:rsidRDefault="00557A6F" w:rsidP="00557A6F">
      <w:r>
        <w:t>Målet med det internasjonale samarbeidet Open Government Partnership (OGP) er å bidra til økt ve</w:t>
      </w:r>
      <w:r>
        <w:t>l</w:t>
      </w:r>
      <w:r>
        <w:t>stand for befolkningen. Dette skjer ved at offentlig sektor og det sivile samfunn samarbeider om å skape en mer åpen, velfungerende og brukervennlig forvaltning. Norge var i 2010 én av åtte init</w:t>
      </w:r>
      <w:r>
        <w:t>i</w:t>
      </w:r>
      <w:r>
        <w:t>ativtakere til OGP som nå har vokst til ca. 80 deltakerstater, flere regioner og byer og et stort antall sivilsamfunnsorg</w:t>
      </w:r>
      <w:r>
        <w:t>a</w:t>
      </w:r>
      <w:r>
        <w:t>nisasjoner. OGP samarbeider med multilaterale organisasjoner som OECD og Verdensbanken.</w:t>
      </w:r>
    </w:p>
    <w:p w:rsidR="00557A6F" w:rsidRDefault="00557A6F" w:rsidP="00557A6F">
      <w:r>
        <w:t>Kommunal- og moderniseringsdepartementet er koordinator og pådriver for Norges OGP-handlingsplaner og har i 2019 overtatt budsjettansvaret for medlemskontingenten fra Ute</w:t>
      </w:r>
      <w:r>
        <w:t>n</w:t>
      </w:r>
      <w:r>
        <w:t>riksdepartementet.</w:t>
      </w:r>
    </w:p>
    <w:p w:rsidR="00557A6F" w:rsidRDefault="00557A6F" w:rsidP="00557A6F">
      <w:r>
        <w:t>Norge la i 2019 fram sin fjerde OGP-handlingsplan. Den ble satt i verk 1. juli 2019. Varigheten er to år. Planen inneholder i alt åtte forpliktelser og er et ledd i regjeringens moderniseringsarbeid. Forpliktelsenes temaer er integritet og åpenhet i forvaltningen, åpne data og viderebruk av offen</w:t>
      </w:r>
      <w:r>
        <w:t>t</w:t>
      </w:r>
      <w:r>
        <w:t>lige data, åpenhet om offentlige anskaffe</w:t>
      </w:r>
      <w:r>
        <w:t>l</w:t>
      </w:r>
      <w:r>
        <w:t>ser, reelle rettighetshavere og antikorrupsjon.</w:t>
      </w:r>
    </w:p>
    <w:p w:rsidR="00557A6F" w:rsidRDefault="00557A6F" w:rsidP="00557A6F">
      <w:r>
        <w:t>Planen er lagd i et samarbeid mellom departementene og det sivile samfunn i tråd med prinsippene som OGP legger til grunn. Kommunal- og moderniseringsdepartementet har blant annet etablert et interessentforum med deltakere fra forvaltningen og det sivile samfunn som skal bidra i arbeidet med å i</w:t>
      </w:r>
      <w:r>
        <w:t>m</w:t>
      </w:r>
      <w:r>
        <w:t xml:space="preserve">plementere handlingsplanene. </w:t>
      </w:r>
    </w:p>
    <w:p w:rsidR="00557A6F" w:rsidRDefault="00557A6F" w:rsidP="00557A6F">
      <w:r>
        <w:t>Det budsjetteres med en medlemskontingent på 1,6 mill. kroner i 2020.</w:t>
      </w:r>
    </w:p>
    <w:p w:rsidR="00557A6F" w:rsidRDefault="00557A6F" w:rsidP="00557A6F">
      <w:pPr>
        <w:pStyle w:val="avsnitt-tittel"/>
      </w:pPr>
      <w:r>
        <w:t>Tilskudd til OGP-rådet</w:t>
      </w:r>
    </w:p>
    <w:p w:rsidR="00557A6F" w:rsidRDefault="00557A6F" w:rsidP="00557A6F">
      <w:r>
        <w:t xml:space="preserve">Regjeringen har i 2019 opprettet et nytt OGP-råd på seks personer. Rådet skal bistå departementene i åpenhetsarbeidet og spille en sentral rolle i å implementere tiltakene i Norges fjerde OGP-handlingsplan. </w:t>
      </w:r>
    </w:p>
    <w:p w:rsidR="00557A6F" w:rsidRDefault="00557A6F" w:rsidP="00557A6F">
      <w:r>
        <w:t>Rådet har en selvstendig pådriverrolle og kan selv ta initiativ til å foreslå tiltak for økt åpenhet i sa</w:t>
      </w:r>
      <w:r>
        <w:t>m</w:t>
      </w:r>
      <w:r>
        <w:t>funnet. Det forventes at rådet dermed vil bidra til at åpenhet i både offentlig og privat sektor settes på dagsordenen.</w:t>
      </w:r>
    </w:p>
    <w:p w:rsidR="00557A6F" w:rsidRDefault="00557A6F" w:rsidP="00557A6F">
      <w:r>
        <w:t>Det budsjetteres med et tilskudd til OGP-rådet på 350 000 kroner i 2020. Bevilgningen skal forva</w:t>
      </w:r>
      <w:r>
        <w:t>l</w:t>
      </w:r>
      <w:r>
        <w:t>tes av Tran</w:t>
      </w:r>
      <w:r>
        <w:t>s</w:t>
      </w:r>
      <w:r>
        <w:t>parency International Norge på vegne av OGP-rådet. Det er utarbeidet et eget mandat for OGP-rådet.</w:t>
      </w:r>
    </w:p>
    <w:p w:rsidR="00557A6F" w:rsidRDefault="00557A6F" w:rsidP="00557A6F">
      <w:pPr>
        <w:pStyle w:val="avsnitt-tittel"/>
      </w:pPr>
      <w:r>
        <w:t>Budsjettforslag</w:t>
      </w:r>
    </w:p>
    <w:p w:rsidR="00557A6F" w:rsidRDefault="00557A6F" w:rsidP="00557A6F">
      <w:r>
        <w:t>Som følge av endringene i departementsstrukturen og i ansvarsfordelingen mellom Kommunal- og m</w:t>
      </w:r>
      <w:r>
        <w:t>o</w:t>
      </w:r>
      <w:r>
        <w:t>derniseringsdepartementet, Nærings- og fiskeridepartementet og Samferdselsdepartementet, jf. Prop. 57 S (2018–2019), foreslås bevilgningen økt med 7,3 mill. kroner. Økningen skyldes flytting av tilskuddet til Norsk Teknisk Museum fra Samferdselsdepartementet og motsvares av et forslag om tilsvarende bevil</w:t>
      </w:r>
      <w:r>
        <w:t>g</w:t>
      </w:r>
      <w:r>
        <w:t xml:space="preserve">ningsreduksjon under kap. 1300, post 75. </w:t>
      </w:r>
    </w:p>
    <w:p w:rsidR="00557A6F" w:rsidRDefault="00557A6F" w:rsidP="00557A6F">
      <w:r>
        <w:t>Samlet foreslås det å øke bevilgningen med 7,3 mill. kroner til 15,3 mill. kroner.</w:t>
      </w:r>
    </w:p>
    <w:p w:rsidR="00557A6F" w:rsidRDefault="00557A6F" w:rsidP="00557A6F">
      <w:pPr>
        <w:pStyle w:val="b-budkaptit"/>
      </w:pPr>
      <w:r>
        <w:t>Kap. 542 Internasjonalt samarbeid</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7A6F" w:rsidTr="00557A6F">
        <w:trPr>
          <w:trHeight w:val="640"/>
        </w:trPr>
        <w:tc>
          <w:tcPr>
            <w:tcW w:w="1140" w:type="dxa"/>
            <w:shd w:val="clear" w:color="auto" w:fill="FFFFFF"/>
          </w:tcPr>
          <w:p w:rsidR="00557A6F" w:rsidRDefault="00557A6F" w:rsidP="00557A6F">
            <w:pPr>
              <w:pStyle w:val="Tabellnavn"/>
            </w:pPr>
            <w:r>
              <w:t>KPAL</w:t>
            </w:r>
          </w:p>
        </w:tc>
        <w:tc>
          <w:tcPr>
            <w:tcW w:w="4560" w:type="dxa"/>
          </w:tcPr>
          <w:p w:rsidR="00557A6F" w:rsidRDefault="00557A6F" w:rsidP="00557A6F"/>
        </w:tc>
        <w:tc>
          <w:tcPr>
            <w:tcW w:w="1140" w:type="dxa"/>
          </w:tcPr>
          <w:p w:rsidR="00557A6F" w:rsidRDefault="00557A6F" w:rsidP="00557A6F">
            <w:pPr>
              <w:pStyle w:val="Tabellnavn"/>
              <w:jc w:val="right"/>
            </w:pPr>
          </w:p>
        </w:tc>
        <w:tc>
          <w:tcPr>
            <w:tcW w:w="1140" w:type="dxa"/>
          </w:tcPr>
          <w:p w:rsidR="00557A6F" w:rsidRDefault="00557A6F" w:rsidP="00557A6F">
            <w:pPr>
              <w:pStyle w:val="Tabellnavn"/>
              <w:jc w:val="right"/>
            </w:pPr>
          </w:p>
        </w:tc>
        <w:tc>
          <w:tcPr>
            <w:tcW w:w="1140" w:type="dxa"/>
          </w:tcPr>
          <w:p w:rsidR="00557A6F" w:rsidRDefault="00557A6F" w:rsidP="00557A6F">
            <w:pPr>
              <w:jc w:val="right"/>
            </w:pPr>
            <w:r>
              <w:t>(i 1 000 kr)</w:t>
            </w:r>
          </w:p>
        </w:tc>
      </w:tr>
      <w:tr w:rsidR="00557A6F" w:rsidTr="00557A6F">
        <w:trPr>
          <w:trHeight w:val="600"/>
        </w:trPr>
        <w:tc>
          <w:tcPr>
            <w:tcW w:w="1140" w:type="dxa"/>
          </w:tcPr>
          <w:p w:rsidR="00557A6F" w:rsidRDefault="00557A6F" w:rsidP="00557A6F">
            <w:r>
              <w:t>Post</w:t>
            </w:r>
          </w:p>
        </w:tc>
        <w:tc>
          <w:tcPr>
            <w:tcW w:w="4560" w:type="dxa"/>
          </w:tcPr>
          <w:p w:rsidR="00557A6F" w:rsidRDefault="00557A6F" w:rsidP="00557A6F">
            <w:r>
              <w:t>Betegnelse</w:t>
            </w:r>
          </w:p>
        </w:tc>
        <w:tc>
          <w:tcPr>
            <w:tcW w:w="1140" w:type="dxa"/>
          </w:tcPr>
          <w:p w:rsidR="00557A6F" w:rsidRDefault="00557A6F" w:rsidP="00557A6F">
            <w:pPr>
              <w:jc w:val="right"/>
            </w:pPr>
            <w:r>
              <w:t>Regnskap 2018</w:t>
            </w:r>
          </w:p>
        </w:tc>
        <w:tc>
          <w:tcPr>
            <w:tcW w:w="1140" w:type="dxa"/>
          </w:tcPr>
          <w:p w:rsidR="00557A6F" w:rsidRDefault="00557A6F" w:rsidP="00557A6F">
            <w:pPr>
              <w:jc w:val="right"/>
            </w:pPr>
            <w:r>
              <w:t xml:space="preserve">Saldert </w:t>
            </w:r>
            <w:r>
              <w:br/>
              <w:t>budsjett 2019</w:t>
            </w:r>
          </w:p>
        </w:tc>
        <w:tc>
          <w:tcPr>
            <w:tcW w:w="1140" w:type="dxa"/>
          </w:tcPr>
          <w:p w:rsidR="00557A6F" w:rsidRDefault="00557A6F" w:rsidP="00557A6F">
            <w:pPr>
              <w:jc w:val="right"/>
            </w:pPr>
            <w:r>
              <w:t xml:space="preserve">Forslag </w:t>
            </w:r>
            <w:r>
              <w:br/>
              <w:t>2020</w:t>
            </w:r>
          </w:p>
        </w:tc>
      </w:tr>
      <w:tr w:rsidR="00557A6F" w:rsidTr="00557A6F">
        <w:trPr>
          <w:trHeight w:val="380"/>
        </w:trPr>
        <w:tc>
          <w:tcPr>
            <w:tcW w:w="1140" w:type="dxa"/>
          </w:tcPr>
          <w:p w:rsidR="00557A6F" w:rsidRDefault="00557A6F" w:rsidP="00557A6F">
            <w:r>
              <w:lastRenderedPageBreak/>
              <w:t>01</w:t>
            </w:r>
          </w:p>
        </w:tc>
        <w:tc>
          <w:tcPr>
            <w:tcW w:w="4560" w:type="dxa"/>
          </w:tcPr>
          <w:p w:rsidR="00557A6F" w:rsidRDefault="00557A6F" w:rsidP="00557A6F">
            <w:r>
              <w:t xml:space="preserve">Driftsutgifter </w:t>
            </w:r>
          </w:p>
        </w:tc>
        <w:tc>
          <w:tcPr>
            <w:tcW w:w="1140" w:type="dxa"/>
          </w:tcPr>
          <w:p w:rsidR="00557A6F" w:rsidRDefault="00557A6F" w:rsidP="00557A6F">
            <w:pPr>
              <w:jc w:val="right"/>
            </w:pPr>
            <w:r>
              <w:t>5 885</w:t>
            </w:r>
          </w:p>
        </w:tc>
        <w:tc>
          <w:tcPr>
            <w:tcW w:w="1140" w:type="dxa"/>
          </w:tcPr>
          <w:p w:rsidR="00557A6F" w:rsidRDefault="00557A6F" w:rsidP="00557A6F">
            <w:pPr>
              <w:jc w:val="right"/>
            </w:pPr>
            <w:r>
              <w:t>4 795</w:t>
            </w:r>
          </w:p>
        </w:tc>
        <w:tc>
          <w:tcPr>
            <w:tcW w:w="1140" w:type="dxa"/>
          </w:tcPr>
          <w:p w:rsidR="00557A6F" w:rsidRDefault="00557A6F" w:rsidP="00557A6F">
            <w:pPr>
              <w:jc w:val="right"/>
            </w:pPr>
            <w:r>
              <w:t>4 882</w:t>
            </w:r>
          </w:p>
        </w:tc>
      </w:tr>
      <w:tr w:rsidR="00557A6F" w:rsidTr="00557A6F">
        <w:trPr>
          <w:trHeight w:val="380"/>
        </w:trPr>
        <w:tc>
          <w:tcPr>
            <w:tcW w:w="1140" w:type="dxa"/>
          </w:tcPr>
          <w:p w:rsidR="00557A6F" w:rsidRDefault="00557A6F" w:rsidP="00557A6F">
            <w:r>
              <w:t>70</w:t>
            </w:r>
          </w:p>
        </w:tc>
        <w:tc>
          <w:tcPr>
            <w:tcW w:w="4560" w:type="dxa"/>
          </w:tcPr>
          <w:p w:rsidR="00557A6F" w:rsidRDefault="00557A6F" w:rsidP="00557A6F">
            <w:r>
              <w:t>Internasjonale program</w:t>
            </w:r>
            <w:r>
              <w:rPr>
                <w:rStyle w:val="kursiv"/>
                <w:sz w:val="21"/>
                <w:szCs w:val="21"/>
              </w:rPr>
              <w:t xml:space="preserve">, kan overføres </w:t>
            </w:r>
          </w:p>
        </w:tc>
        <w:tc>
          <w:tcPr>
            <w:tcW w:w="1140" w:type="dxa"/>
          </w:tcPr>
          <w:p w:rsidR="00557A6F" w:rsidRDefault="00557A6F" w:rsidP="00557A6F">
            <w:pPr>
              <w:jc w:val="right"/>
            </w:pPr>
            <w:r>
              <w:t>24 554</w:t>
            </w:r>
          </w:p>
        </w:tc>
        <w:tc>
          <w:tcPr>
            <w:tcW w:w="1140" w:type="dxa"/>
          </w:tcPr>
          <w:p w:rsidR="00557A6F" w:rsidRDefault="00557A6F" w:rsidP="00557A6F">
            <w:pPr>
              <w:jc w:val="right"/>
            </w:pPr>
            <w:r>
              <w:t>46 408</w:t>
            </w:r>
          </w:p>
        </w:tc>
        <w:tc>
          <w:tcPr>
            <w:tcW w:w="1140" w:type="dxa"/>
          </w:tcPr>
          <w:p w:rsidR="00557A6F" w:rsidRDefault="00557A6F" w:rsidP="00557A6F">
            <w:pPr>
              <w:jc w:val="right"/>
            </w:pPr>
            <w:r>
              <w:t>73 788</w:t>
            </w:r>
          </w:p>
        </w:tc>
      </w:tr>
      <w:tr w:rsidR="00557A6F" w:rsidTr="00557A6F">
        <w:trPr>
          <w:trHeight w:val="380"/>
        </w:trPr>
        <w:tc>
          <w:tcPr>
            <w:tcW w:w="1140" w:type="dxa"/>
          </w:tcPr>
          <w:p w:rsidR="00557A6F" w:rsidRDefault="00557A6F" w:rsidP="00557A6F"/>
        </w:tc>
        <w:tc>
          <w:tcPr>
            <w:tcW w:w="4560" w:type="dxa"/>
          </w:tcPr>
          <w:p w:rsidR="00557A6F" w:rsidRDefault="00557A6F" w:rsidP="00557A6F">
            <w:r>
              <w:t>Sum kap. 0542</w:t>
            </w:r>
          </w:p>
        </w:tc>
        <w:tc>
          <w:tcPr>
            <w:tcW w:w="1140" w:type="dxa"/>
          </w:tcPr>
          <w:p w:rsidR="00557A6F" w:rsidRDefault="00557A6F" w:rsidP="00557A6F">
            <w:pPr>
              <w:jc w:val="right"/>
            </w:pPr>
            <w:r>
              <w:t>30 439</w:t>
            </w:r>
          </w:p>
        </w:tc>
        <w:tc>
          <w:tcPr>
            <w:tcW w:w="1140" w:type="dxa"/>
          </w:tcPr>
          <w:p w:rsidR="00557A6F" w:rsidRDefault="00557A6F" w:rsidP="00557A6F">
            <w:pPr>
              <w:jc w:val="right"/>
            </w:pPr>
            <w:r>
              <w:t>51 203</w:t>
            </w:r>
          </w:p>
        </w:tc>
        <w:tc>
          <w:tcPr>
            <w:tcW w:w="1140" w:type="dxa"/>
          </w:tcPr>
          <w:p w:rsidR="00557A6F" w:rsidRDefault="00557A6F" w:rsidP="00557A6F">
            <w:pPr>
              <w:jc w:val="right"/>
            </w:pPr>
            <w:r>
              <w:t>78 670</w:t>
            </w:r>
          </w:p>
        </w:tc>
      </w:tr>
    </w:tbl>
    <w:p w:rsidR="00557A6F" w:rsidRDefault="00557A6F" w:rsidP="00557A6F">
      <w:pPr>
        <w:pStyle w:val="tabell-noter"/>
      </w:pPr>
      <w:r>
        <w:t>Vedrørende 2019: Ved Stortingets vedtak av 25. april 2019 ble post 70 økt med 14,5 mill. kroner til 60,9 mill. kroner, jf. Prop. 57 S og Innst. 236 S (2018–2019).</w:t>
      </w:r>
    </w:p>
    <w:p w:rsidR="00557A6F" w:rsidRDefault="00557A6F" w:rsidP="00557A6F">
      <w:r>
        <w:t>Bevilgningen skal bidra til å nå målene om at forvaltningen i Norge er effektiv, åpen, samordnet og har høy tillit i befolkningen og at digitaliseringen i samfunnet gir gode vilkår for deltakelse, verd</w:t>
      </w:r>
      <w:r>
        <w:t>i</w:t>
      </w:r>
      <w:r>
        <w:t>skaping og innovasjon i offentlig og privat sektor. Det er et mål at norsk næringsliv og norske fa</w:t>
      </w:r>
      <w:r>
        <w:t>g</w:t>
      </w:r>
      <w:r>
        <w:t>miljøer drar nytte av den norske deltakelsen i EU-programmer. Dette krever at Norge deltar aktivt, koordinert og målrettet. I forbindelse med det strategiske nordisk-baltiske samarbeidet om digital</w:t>
      </w:r>
      <w:r>
        <w:t>i</w:t>
      </w:r>
      <w:r>
        <w:t>sering, er det et viktig mål å understøtte det europeiske digitaliseringssamarbeidet og realiseringen av Det digitale indre marked. Å enes om viktige posisjoner eller innspill til EU-kommisjonen på områder som er strategisk viktig for den nordiske regionen, er et eksempel på hvordan det nordiske samarbeidet følges opp ko</w:t>
      </w:r>
      <w:r>
        <w:t>n</w:t>
      </w:r>
      <w:r>
        <w:t>kret.</w:t>
      </w:r>
    </w:p>
    <w:p w:rsidR="00557A6F" w:rsidRDefault="00557A6F" w:rsidP="00557A6F">
      <w:r>
        <w:t xml:space="preserve">EU er i ferd med å vedta et nytt stort digitaliseringsprogram for årene 2021–2027 – Digital Europe Programme (DEP). Flere tiltak og løpende programmer der Norge deltar i dag </w:t>
      </w:r>
      <w:proofErr w:type="gramStart"/>
      <w:r>
        <w:t>foreslås</w:t>
      </w:r>
      <w:proofErr w:type="gramEnd"/>
      <w:r>
        <w:t xml:space="preserve"> inkludert i DEP. Kommunal- og moderniseringsdepartementet foretar, i samarbeid med Utenriksdeparteme</w:t>
      </w:r>
      <w:r>
        <w:t>n</w:t>
      </w:r>
      <w:r>
        <w:t>tet og alle berørte departementer, en vurdering av Norges mulige tilknytning til DEP.</w:t>
      </w:r>
    </w:p>
    <w:p w:rsidR="00557A6F" w:rsidRDefault="00557A6F" w:rsidP="00557A6F">
      <w:pPr>
        <w:pStyle w:val="b-post"/>
      </w:pPr>
      <w:r>
        <w:t>Post 01 Driftsutgifter</w:t>
      </w:r>
    </w:p>
    <w:p w:rsidR="00557A6F" w:rsidRDefault="00557A6F" w:rsidP="00557A6F">
      <w:r>
        <w:t>Bevilgningen dekker utgifter til lønn og drift for tre nasjonale eksperter til EU-kommisjonen som del av deltakelse i EU-programmene. De norske nasjonale ekspertene innenfor IT-politikken er knyttet til arbeidet med digitalisering av offentlig forvaltning og arbeidet med utforming og sa</w:t>
      </w:r>
      <w:r>
        <w:t>m</w:t>
      </w:r>
      <w:r>
        <w:t>ordning av IT-politikken i EU.</w:t>
      </w:r>
    </w:p>
    <w:p w:rsidR="00557A6F" w:rsidRDefault="00557A6F" w:rsidP="00557A6F">
      <w:r>
        <w:t>Det foreslås en bevilgning på 4,9 mill. kroner, inkludert endringer som følge av avbyråkratiserings- og effektiv</w:t>
      </w:r>
      <w:r>
        <w:t>i</w:t>
      </w:r>
      <w:r>
        <w:t>seringsreformen og lønns- og prisjustering.</w:t>
      </w:r>
    </w:p>
    <w:p w:rsidR="00557A6F" w:rsidRDefault="00557A6F" w:rsidP="00557A6F">
      <w:pPr>
        <w:pStyle w:val="b-post"/>
      </w:pPr>
      <w:r>
        <w:t>Post 70 Internasjonale program, kan overføres</w:t>
      </w:r>
    </w:p>
    <w:p w:rsidR="00557A6F" w:rsidRDefault="00557A6F" w:rsidP="00557A6F">
      <w:r>
        <w:t>Forslaget til bevilgning gjelder EU-programmer som Norge tar del i etter EØS-avtalen og som er knyttet til utviklingen av informasjonssamfunnet og elektronisk forvaltning. Bevilgningsforslaget dekker programkontingenter og andre utgifter til EU-programmer samt etterslep fra avsluttede EU-programmer. Årlig medlemskontingent for norsk deltakelse i EU-programmer fastsettes i euro av EU-kommisjonen på grunnlag av ventet framdrift under det enkelte program. Kontingent betales samlet av Utenriksdepart</w:t>
      </w:r>
      <w:r>
        <w:t>e</w:t>
      </w:r>
      <w:r>
        <w:t>mentet mot senere refusjon fra de departementene som er ansvarlige for de enkelte programmene.</w:t>
      </w:r>
    </w:p>
    <w:p w:rsidR="00557A6F" w:rsidRDefault="00557A6F" w:rsidP="00557A6F">
      <w:r>
        <w:t>Bevilgningen finansierer videre kontingenter knyttet til Norges deltakelse i Den internasjonale t</w:t>
      </w:r>
      <w:r>
        <w:t>e</w:t>
      </w:r>
      <w:r>
        <w:t>leunion (ITU), Den europeiske post- og teleorganisasjon (CEPT) og Det europeiske nettverks- og informasjonssikkerhetsbyrået (ENISA). Ansvaret for å finansiere disse kontigentene er i 2019 overført fra Sa</w:t>
      </w:r>
      <w:r>
        <w:t>m</w:t>
      </w:r>
      <w:r>
        <w:t xml:space="preserve">ferdselsdepartementet. </w:t>
      </w:r>
    </w:p>
    <w:p w:rsidR="00557A6F" w:rsidRDefault="00557A6F" w:rsidP="00557A6F">
      <w:r>
        <w:t>Programmet Connecting Europe Facility (CEF) løper fra 2014–2020 og har tre deler. Norges de</w:t>
      </w:r>
      <w:r>
        <w:t>l</w:t>
      </w:r>
      <w:r>
        <w:t>takelse er begrenset til programdelen CEF Telecom som omfatter områdene bredbånd og digitale tjenest</w:t>
      </w:r>
      <w:r>
        <w:t>e</w:t>
      </w:r>
      <w:r>
        <w:t>infrastrukturer (CEF Digital). Programmet gir finansiell støtte til prosjekter som bidrar til utviklingen av en felles grenseoverskridende digital infrastruktur for utveksling av data, inform</w:t>
      </w:r>
      <w:r>
        <w:t>a</w:t>
      </w:r>
      <w:r>
        <w:t>sjon og tjenester. CEF Digital gir støtte til utvikling og drift av felleskomponenter på europeisk nivå og til nasjonale oppkoplinger mot slik infrastruktur. EU har også etablert støtteordningen W</w:t>
      </w:r>
      <w:r>
        <w:t>i</w:t>
      </w:r>
      <w:r>
        <w:t>Fi4EU som gir tilskudd til etablering av gratis WiFi-soner i medlemsland. Ordningen ble op</w:t>
      </w:r>
      <w:r>
        <w:t>e</w:t>
      </w:r>
      <w:r>
        <w:t>rativ i 2018 og skal vare ut 2019. Ordningen finansi</w:t>
      </w:r>
      <w:r>
        <w:t>e</w:t>
      </w:r>
      <w:r>
        <w:t>res i hovedsak av CEF, og Norge deltar i ordningen på linje med medlemsland.</w:t>
      </w:r>
    </w:p>
    <w:p w:rsidR="00557A6F" w:rsidRDefault="00557A6F" w:rsidP="00557A6F">
      <w:r>
        <w:lastRenderedPageBreak/>
        <w:t>EU-programmet ISA</w:t>
      </w:r>
      <w:r>
        <w:rPr>
          <w:rStyle w:val="skrift-hevet"/>
          <w:sz w:val="21"/>
          <w:szCs w:val="21"/>
        </w:rPr>
        <w:t>2</w:t>
      </w:r>
      <w:r>
        <w:t xml:space="preserve"> (Samvirkeløsninger og felles rammer for europeiske offentlige forvaltninger, foretak og borgere som et middel til å modernisere den offentlige sektor) løper fra 2016–2020. Formålet med programmet er å legge til rette for elektronisk samhandling på tvers av landegrenser og sektorer. Programmet er en videreføring av ISA-programmet 2010–2015 som Norge deltok i.</w:t>
      </w:r>
    </w:p>
    <w:p w:rsidR="00557A6F" w:rsidRDefault="00557A6F" w:rsidP="00557A6F">
      <w:r>
        <w:t>50 pst. av utgiftene til ISA</w:t>
      </w:r>
      <w:r>
        <w:rPr>
          <w:rStyle w:val="skrift-hevet"/>
          <w:sz w:val="21"/>
          <w:szCs w:val="21"/>
        </w:rPr>
        <w:t>2</w:t>
      </w:r>
      <w:r>
        <w:t xml:space="preserve"> dekkes over Kommunal- og moderniseringsdepartementets budsjett, mens ni andre berørte departementer dekker med like deler den resterende halvparten av utgiftene til pr</w:t>
      </w:r>
      <w:r>
        <w:t>o</w:t>
      </w:r>
      <w:r>
        <w:t>grammet. Kommunal- og moderniseringsdepartementet har det overordnede ansvaret for å koordinere norsk deltakelse i programmet.</w:t>
      </w:r>
    </w:p>
    <w:p w:rsidR="00557A6F" w:rsidRDefault="00557A6F" w:rsidP="00557A6F">
      <w:pPr>
        <w:pStyle w:val="avsnitt-tittel"/>
      </w:pPr>
      <w:r>
        <w:t>Rapport</w:t>
      </w:r>
    </w:p>
    <w:p w:rsidR="00557A6F" w:rsidRDefault="00557A6F" w:rsidP="00557A6F">
      <w:r>
        <w:t>Norge har deltatt i programmet CEF Telecom siden juni 2014. Programmet implementerer og sø</w:t>
      </w:r>
      <w:r>
        <w:t>r</w:t>
      </w:r>
      <w:r>
        <w:t>ger for drift av en rekke grensekryssende digitale tjenesteinfrastrukturer som forenkler og effekt</w:t>
      </w:r>
      <w:r>
        <w:t>i</w:t>
      </w:r>
      <w:r>
        <w:t>viserer trygg utveksling av data mellom myndigheter, næringsliv og privatpersoner i Europa. Pr</w:t>
      </w:r>
      <w:r>
        <w:t>o</w:t>
      </w:r>
      <w:r>
        <w:t>grammet har også en mindre komponent som bidrar til bredbåndsutbygging. Difi er nasjonalt ko</w:t>
      </w:r>
      <w:r>
        <w:t>n</w:t>
      </w:r>
      <w:r>
        <w:t>taktpunkt for programmet og driver profilerings- og mobiliseringsarbeid samt koordinerer og fremmer norske interesser i programmet. Difi har utarbeidet en strategi for nasjonal koordinering og oppfølging av programmet i samarbeid med norske fagetater. Siden 2014 har antallet infr</w:t>
      </w:r>
      <w:r>
        <w:t>a</w:t>
      </w:r>
      <w:r>
        <w:t>strukturer i CEF Digital vokst fra 11 i 2015 til 20 i 2018, pluss WiFi4EU-initiativet. De nyeste infrastrukturene gjelder samarbeid om e-arkivering, blokkjedeteknologi, digital kompetanse og feilinformasjon på nett.</w:t>
      </w:r>
    </w:p>
    <w:p w:rsidR="00557A6F" w:rsidRDefault="00557A6F" w:rsidP="00557A6F">
      <w:r>
        <w:t>I perioden 2014–2018 er 17 norske prosjekter tildelt 4,8 mill. euro fra EU-kommisjonen gjennom pr</w:t>
      </w:r>
      <w:r>
        <w:t>o</w:t>
      </w:r>
      <w:r>
        <w:t>grammet. Nytt i 2018 var mulighet til å søke om finansiering for etablering av gratis wifi-soner i offentlige rom under W</w:t>
      </w:r>
      <w:r>
        <w:t>i</w:t>
      </w:r>
      <w:r>
        <w:t>Fi4EU-initiativet. 34 norske kommuner ble tildelt til sammen 510 00 euro mot slutten av 2018. Flere kommuner har søkt om finansiering under en ny utlysning for WiFi4EU i begynnelsen av 2019. Mobilisering av norske virksomheter for å søke om finansiering for andre prosjektområder, blant annet eArchiving, eTranslation og Pu</w:t>
      </w:r>
      <w:r>
        <w:t>b</w:t>
      </w:r>
      <w:r>
        <w:t>lic Open Data, er i gang.</w:t>
      </w:r>
    </w:p>
    <w:p w:rsidR="00557A6F" w:rsidRDefault="00557A6F" w:rsidP="00557A6F">
      <w:r>
        <w:t>ISA</w:t>
      </w:r>
      <w:r>
        <w:rPr>
          <w:rStyle w:val="skrift-hevet"/>
          <w:sz w:val="21"/>
          <w:szCs w:val="21"/>
        </w:rPr>
        <w:t>2</w:t>
      </w:r>
      <w:r>
        <w:t>-programmet har i 2018 understøttet fellesløsninger for samarbeid mellom europeiske land, herunder et nettverk (Testa-ng) for sikker utveksling av informasjon mellom administrasjoner i EØS-området, blant annet i Schengen-samarbeidet. Difi har utarbeidet en strategi for nasjonal k</w:t>
      </w:r>
      <w:r>
        <w:t>o</w:t>
      </w:r>
      <w:r>
        <w:t>ordinering og oppfølging av programmet i samarbeid med norske fagetater. European Interoperab</w:t>
      </w:r>
      <w:r>
        <w:t>i</w:t>
      </w:r>
      <w:r>
        <w:t>lity framework (EIF), utviklet av ISA</w:t>
      </w:r>
      <w:r>
        <w:rPr>
          <w:rStyle w:val="skrift-hevet"/>
          <w:sz w:val="21"/>
          <w:szCs w:val="21"/>
        </w:rPr>
        <w:t>2</w:t>
      </w:r>
      <w:r>
        <w:t>-programmet, er viktig for den nasjonale IT-arkitekturen og nasjonalt rammeverk for elektronisk samhandling. Felles prinsipper, rammeverk og referanseark</w:t>
      </w:r>
      <w:r>
        <w:t>i</w:t>
      </w:r>
      <w:r>
        <w:t>tektur er et viktig grunnlag i utviklingen av nye digitale tjenester og infrastrukturer i Norge og i Europa. I arbeidet med å etablere et rammeverk for informasjonsforvaltning og felles datakatalog brukes elementer og standarder fra ISA</w:t>
      </w:r>
      <w:r>
        <w:rPr>
          <w:rStyle w:val="skrift-hevet"/>
          <w:sz w:val="21"/>
          <w:szCs w:val="21"/>
        </w:rPr>
        <w:t>2</w:t>
      </w:r>
      <w:r>
        <w:t>-programmet.</w:t>
      </w:r>
    </w:p>
    <w:p w:rsidR="00557A6F" w:rsidRDefault="00557A6F" w:rsidP="00557A6F">
      <w:pPr>
        <w:pStyle w:val="avsnitt-tittel"/>
      </w:pPr>
      <w:r>
        <w:t>Budsjettforslag</w:t>
      </w:r>
    </w:p>
    <w:p w:rsidR="00557A6F" w:rsidRDefault="00557A6F" w:rsidP="00557A6F">
      <w:r>
        <w:t>Det foreslås en bevilgning på 58,8 mill. kroner til å dekke det norske bidraget til CEF Digital og ISA</w:t>
      </w:r>
      <w:r>
        <w:rPr>
          <w:rStyle w:val="skrift-hevet"/>
          <w:sz w:val="21"/>
          <w:szCs w:val="21"/>
        </w:rPr>
        <w:t>2</w:t>
      </w:r>
      <w:r>
        <w:t xml:space="preserve"> i 2019 og til etterslep etter de avsluttede programmene ISA og CIP IKT. Bevilgningsforslaget er usikkert. De endelige kontingentkravene fra EU-kommisjonen vil foreligge høsten 2019.</w:t>
      </w:r>
    </w:p>
    <w:p w:rsidR="00557A6F" w:rsidRDefault="00557A6F" w:rsidP="00557A6F">
      <w:r>
        <w:t>Som følge av endringene i departementsstrukturen og i ansvarsfordelingen mellom Kommunal- og modernis</w:t>
      </w:r>
      <w:r>
        <w:t>e</w:t>
      </w:r>
      <w:r>
        <w:t>ringsdepartementet, Nærings- og fiskeridepartementet og Samferdselsdepartementet, jf. Prop. 57 S (2018–2019), foreslås bevilgningen økt med 15 mill. kroner. Økningen er knyttet til flytting av tilskudd til ovennevnte internasjonale organisasjoner og programmer fra Samferdsel</w:t>
      </w:r>
      <w:r>
        <w:t>s</w:t>
      </w:r>
      <w:r>
        <w:t>departementet. Økningen motsvares av forslag om tilsv</w:t>
      </w:r>
      <w:r>
        <w:t>a</w:t>
      </w:r>
      <w:r>
        <w:t>rende reduksjon under kap. 1300, post 75.</w:t>
      </w:r>
    </w:p>
    <w:p w:rsidR="00557A6F" w:rsidRDefault="00557A6F" w:rsidP="00557A6F">
      <w:r>
        <w:t>Samlet foreslås det å øke bevilgningen med 27,4 mill. kroner til 73,8 mill. kroner.</w:t>
      </w:r>
    </w:p>
    <w:p w:rsidR="00557A6F" w:rsidRDefault="00557A6F" w:rsidP="00557A6F">
      <w:pPr>
        <w:pStyle w:val="b-budkaptit"/>
      </w:pPr>
      <w:r>
        <w:t>Kap. 3542 Internasjonalt samarbeid</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7A6F" w:rsidTr="00557A6F">
        <w:trPr>
          <w:trHeight w:val="640"/>
        </w:trPr>
        <w:tc>
          <w:tcPr>
            <w:tcW w:w="1140" w:type="dxa"/>
            <w:shd w:val="clear" w:color="auto" w:fill="FFFFFF"/>
          </w:tcPr>
          <w:p w:rsidR="00557A6F" w:rsidRDefault="00557A6F" w:rsidP="00557A6F">
            <w:pPr>
              <w:pStyle w:val="Tabellnavn"/>
            </w:pPr>
            <w:r>
              <w:t>KPAL</w:t>
            </w:r>
          </w:p>
        </w:tc>
        <w:tc>
          <w:tcPr>
            <w:tcW w:w="4560" w:type="dxa"/>
          </w:tcPr>
          <w:p w:rsidR="00557A6F" w:rsidRDefault="00557A6F" w:rsidP="00557A6F"/>
        </w:tc>
        <w:tc>
          <w:tcPr>
            <w:tcW w:w="1140" w:type="dxa"/>
          </w:tcPr>
          <w:p w:rsidR="00557A6F" w:rsidRDefault="00557A6F" w:rsidP="00557A6F">
            <w:pPr>
              <w:pStyle w:val="Tabellnavn"/>
              <w:jc w:val="right"/>
            </w:pPr>
          </w:p>
        </w:tc>
        <w:tc>
          <w:tcPr>
            <w:tcW w:w="1140" w:type="dxa"/>
          </w:tcPr>
          <w:p w:rsidR="00557A6F" w:rsidRDefault="00557A6F" w:rsidP="00557A6F">
            <w:pPr>
              <w:pStyle w:val="Tabellnavn"/>
              <w:jc w:val="right"/>
            </w:pPr>
          </w:p>
        </w:tc>
        <w:tc>
          <w:tcPr>
            <w:tcW w:w="1140" w:type="dxa"/>
          </w:tcPr>
          <w:p w:rsidR="00557A6F" w:rsidRDefault="00557A6F" w:rsidP="00557A6F">
            <w:pPr>
              <w:jc w:val="right"/>
            </w:pPr>
            <w:r>
              <w:t>(i 1 000 kr)</w:t>
            </w:r>
          </w:p>
        </w:tc>
      </w:tr>
      <w:tr w:rsidR="00557A6F" w:rsidTr="00557A6F">
        <w:trPr>
          <w:trHeight w:val="600"/>
        </w:trPr>
        <w:tc>
          <w:tcPr>
            <w:tcW w:w="1140" w:type="dxa"/>
          </w:tcPr>
          <w:p w:rsidR="00557A6F" w:rsidRDefault="00557A6F" w:rsidP="00557A6F">
            <w:r>
              <w:lastRenderedPageBreak/>
              <w:t>Post</w:t>
            </w:r>
          </w:p>
        </w:tc>
        <w:tc>
          <w:tcPr>
            <w:tcW w:w="4560" w:type="dxa"/>
          </w:tcPr>
          <w:p w:rsidR="00557A6F" w:rsidRDefault="00557A6F" w:rsidP="00557A6F">
            <w:r>
              <w:t>Betegnelse</w:t>
            </w:r>
          </w:p>
        </w:tc>
        <w:tc>
          <w:tcPr>
            <w:tcW w:w="1140" w:type="dxa"/>
          </w:tcPr>
          <w:p w:rsidR="00557A6F" w:rsidRDefault="00557A6F" w:rsidP="00557A6F">
            <w:pPr>
              <w:jc w:val="right"/>
            </w:pPr>
            <w:r>
              <w:t>Regnskap 2018</w:t>
            </w:r>
          </w:p>
        </w:tc>
        <w:tc>
          <w:tcPr>
            <w:tcW w:w="1140" w:type="dxa"/>
          </w:tcPr>
          <w:p w:rsidR="00557A6F" w:rsidRDefault="00557A6F" w:rsidP="00557A6F">
            <w:pPr>
              <w:jc w:val="right"/>
            </w:pPr>
            <w:r>
              <w:t xml:space="preserve">Saldert </w:t>
            </w:r>
            <w:r>
              <w:br/>
              <w:t>budsjett 2019</w:t>
            </w:r>
          </w:p>
        </w:tc>
        <w:tc>
          <w:tcPr>
            <w:tcW w:w="1140" w:type="dxa"/>
          </w:tcPr>
          <w:p w:rsidR="00557A6F" w:rsidRDefault="00557A6F" w:rsidP="00557A6F">
            <w:pPr>
              <w:jc w:val="right"/>
            </w:pPr>
            <w:r>
              <w:t xml:space="preserve">Forslag </w:t>
            </w:r>
            <w:r>
              <w:br/>
              <w:t>2020</w:t>
            </w:r>
          </w:p>
        </w:tc>
      </w:tr>
      <w:tr w:rsidR="00557A6F" w:rsidTr="00557A6F">
        <w:trPr>
          <w:trHeight w:val="380"/>
        </w:trPr>
        <w:tc>
          <w:tcPr>
            <w:tcW w:w="1140" w:type="dxa"/>
          </w:tcPr>
          <w:p w:rsidR="00557A6F" w:rsidRDefault="00557A6F" w:rsidP="00557A6F">
            <w:r>
              <w:t>01</w:t>
            </w:r>
          </w:p>
        </w:tc>
        <w:tc>
          <w:tcPr>
            <w:tcW w:w="4560" w:type="dxa"/>
          </w:tcPr>
          <w:p w:rsidR="00557A6F" w:rsidRDefault="00557A6F" w:rsidP="00557A6F">
            <w:r>
              <w:t xml:space="preserve">Refusjon fra Utenriksdepartementet </w:t>
            </w:r>
          </w:p>
        </w:tc>
        <w:tc>
          <w:tcPr>
            <w:tcW w:w="1140" w:type="dxa"/>
          </w:tcPr>
          <w:p w:rsidR="00557A6F" w:rsidRDefault="00557A6F" w:rsidP="00557A6F">
            <w:pPr>
              <w:jc w:val="right"/>
            </w:pPr>
          </w:p>
        </w:tc>
        <w:tc>
          <w:tcPr>
            <w:tcW w:w="1140" w:type="dxa"/>
          </w:tcPr>
          <w:p w:rsidR="00557A6F" w:rsidRDefault="00557A6F" w:rsidP="00557A6F">
            <w:pPr>
              <w:jc w:val="right"/>
            </w:pPr>
          </w:p>
        </w:tc>
        <w:tc>
          <w:tcPr>
            <w:tcW w:w="1140" w:type="dxa"/>
          </w:tcPr>
          <w:p w:rsidR="00557A6F" w:rsidRDefault="00557A6F" w:rsidP="00557A6F">
            <w:pPr>
              <w:jc w:val="right"/>
            </w:pPr>
            <w:r>
              <w:t>2 259</w:t>
            </w:r>
          </w:p>
        </w:tc>
      </w:tr>
      <w:tr w:rsidR="00557A6F" w:rsidTr="00557A6F">
        <w:trPr>
          <w:trHeight w:val="380"/>
        </w:trPr>
        <w:tc>
          <w:tcPr>
            <w:tcW w:w="1140" w:type="dxa"/>
          </w:tcPr>
          <w:p w:rsidR="00557A6F" w:rsidRDefault="00557A6F" w:rsidP="00557A6F"/>
        </w:tc>
        <w:tc>
          <w:tcPr>
            <w:tcW w:w="4560" w:type="dxa"/>
          </w:tcPr>
          <w:p w:rsidR="00557A6F" w:rsidRDefault="00557A6F" w:rsidP="00557A6F">
            <w:r>
              <w:t>Sum kap. 3542</w:t>
            </w:r>
          </w:p>
        </w:tc>
        <w:tc>
          <w:tcPr>
            <w:tcW w:w="1140" w:type="dxa"/>
          </w:tcPr>
          <w:p w:rsidR="00557A6F" w:rsidRDefault="00557A6F" w:rsidP="00557A6F">
            <w:pPr>
              <w:jc w:val="right"/>
            </w:pPr>
          </w:p>
        </w:tc>
        <w:tc>
          <w:tcPr>
            <w:tcW w:w="1140" w:type="dxa"/>
          </w:tcPr>
          <w:p w:rsidR="00557A6F" w:rsidRDefault="00557A6F" w:rsidP="00557A6F">
            <w:pPr>
              <w:jc w:val="right"/>
            </w:pPr>
          </w:p>
        </w:tc>
        <w:tc>
          <w:tcPr>
            <w:tcW w:w="1140" w:type="dxa"/>
          </w:tcPr>
          <w:p w:rsidR="00557A6F" w:rsidRDefault="00557A6F" w:rsidP="00557A6F">
            <w:pPr>
              <w:jc w:val="right"/>
            </w:pPr>
            <w:r>
              <w:t>2 259</w:t>
            </w:r>
          </w:p>
        </w:tc>
      </w:tr>
    </w:tbl>
    <w:p w:rsidR="00557A6F" w:rsidRDefault="00557A6F" w:rsidP="00557A6F">
      <w:pPr>
        <w:pStyle w:val="tabell-noter"/>
      </w:pPr>
      <w:r>
        <w:t>Vedrørende 2019: Ved Stortingets vedtak av 25. april 2019 ble post 01 opprettet med en bevilgning på 2,2 mill. kroner, jf. Prop. 57 S og Innst. 236 S (2018–2019).</w:t>
      </w:r>
    </w:p>
    <w:p w:rsidR="00557A6F" w:rsidRDefault="00557A6F" w:rsidP="00557A6F">
      <w:pPr>
        <w:pStyle w:val="b-post"/>
      </w:pPr>
      <w:r>
        <w:t>Post 01 Refusjon fra Utenriksdepartementet</w:t>
      </w:r>
    </w:p>
    <w:p w:rsidR="00557A6F" w:rsidRDefault="00557A6F" w:rsidP="00557A6F">
      <w:r>
        <w:t>Enkelte bidrag til internasjonale organisasjoner kan i samsvar med statistikkdirektivene til OECD/DAC (Development Assistance Committee) godkjennes som offisiell utviklingshjelp (ODA). Inntektsanslaget for 2020 på 2,3 mill. kroner gjelder 18 pst. av bidraget til Den internasj</w:t>
      </w:r>
      <w:r>
        <w:t>o</w:t>
      </w:r>
      <w:r>
        <w:t>nale teleunion, jf. kap. 542, post 70. Det vises for øvrig til omtale under Utenriksdepartementets kap. 151 Fred, sikkerhet og globalt sa</w:t>
      </w:r>
      <w:r>
        <w:t>m</w:t>
      </w:r>
      <w:r>
        <w:t>arbeid, post 74 Pliktige bidrag til FN-organisasjoner mv.</w:t>
      </w:r>
    </w:p>
    <w:p w:rsidR="00557A6F" w:rsidRDefault="00557A6F" w:rsidP="00557A6F">
      <w:r>
        <w:t>Som følge av endringene i departementsstrukturen og i ansvarsfordelingen mellom Kommunal- og modernis</w:t>
      </w:r>
      <w:r>
        <w:t>e</w:t>
      </w:r>
      <w:r>
        <w:t>ringsdepartementet, Nærings- og fiskeridepartementet og Samferdselsdepartementet, jf. Prop. 57 S (2018–2019), foreslås det bevilget 2,3 mill. kroner. Bevilgningen er knyttet til flytting av tilskudd til ovennevnte internasjonale organisasjoner og programmer fra Samferdselsdepart</w:t>
      </w:r>
      <w:r>
        <w:t>e</w:t>
      </w:r>
      <w:r>
        <w:t>mentet. Bevilgningen motsvares av forslag om tilsvarende reduksjon under kap. 4300, post 01.</w:t>
      </w:r>
    </w:p>
    <w:p w:rsidR="00557A6F" w:rsidRDefault="00557A6F" w:rsidP="00557A6F">
      <w:pPr>
        <w:pStyle w:val="b-budkaptit"/>
      </w:pPr>
      <w:r>
        <w:t>Kap. 543 Nasjonal kommunikasjonsmyndighet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7A6F" w:rsidTr="00557A6F">
        <w:trPr>
          <w:trHeight w:val="640"/>
        </w:trPr>
        <w:tc>
          <w:tcPr>
            <w:tcW w:w="1140" w:type="dxa"/>
            <w:shd w:val="clear" w:color="auto" w:fill="FFFFFF"/>
          </w:tcPr>
          <w:p w:rsidR="00557A6F" w:rsidRDefault="00557A6F" w:rsidP="00557A6F">
            <w:pPr>
              <w:pStyle w:val="Tabellnavn"/>
            </w:pPr>
            <w:r>
              <w:t>KPAL</w:t>
            </w:r>
          </w:p>
        </w:tc>
        <w:tc>
          <w:tcPr>
            <w:tcW w:w="4560" w:type="dxa"/>
          </w:tcPr>
          <w:p w:rsidR="00557A6F" w:rsidRDefault="00557A6F" w:rsidP="00557A6F"/>
        </w:tc>
        <w:tc>
          <w:tcPr>
            <w:tcW w:w="1140" w:type="dxa"/>
          </w:tcPr>
          <w:p w:rsidR="00557A6F" w:rsidRDefault="00557A6F" w:rsidP="00557A6F">
            <w:pPr>
              <w:pStyle w:val="Tabellnavn"/>
              <w:jc w:val="right"/>
            </w:pPr>
          </w:p>
        </w:tc>
        <w:tc>
          <w:tcPr>
            <w:tcW w:w="1140" w:type="dxa"/>
          </w:tcPr>
          <w:p w:rsidR="00557A6F" w:rsidRDefault="00557A6F" w:rsidP="00557A6F">
            <w:pPr>
              <w:pStyle w:val="Tabellnavn"/>
              <w:jc w:val="right"/>
            </w:pPr>
          </w:p>
        </w:tc>
        <w:tc>
          <w:tcPr>
            <w:tcW w:w="1140" w:type="dxa"/>
          </w:tcPr>
          <w:p w:rsidR="00557A6F" w:rsidRDefault="00557A6F" w:rsidP="00557A6F">
            <w:pPr>
              <w:jc w:val="right"/>
            </w:pPr>
            <w:r>
              <w:t>(i 1 000 kr)</w:t>
            </w:r>
          </w:p>
        </w:tc>
      </w:tr>
      <w:tr w:rsidR="00557A6F" w:rsidTr="00557A6F">
        <w:trPr>
          <w:trHeight w:val="600"/>
        </w:trPr>
        <w:tc>
          <w:tcPr>
            <w:tcW w:w="1140" w:type="dxa"/>
          </w:tcPr>
          <w:p w:rsidR="00557A6F" w:rsidRDefault="00557A6F" w:rsidP="00557A6F">
            <w:r>
              <w:t>Post</w:t>
            </w:r>
          </w:p>
        </w:tc>
        <w:tc>
          <w:tcPr>
            <w:tcW w:w="4560" w:type="dxa"/>
          </w:tcPr>
          <w:p w:rsidR="00557A6F" w:rsidRDefault="00557A6F" w:rsidP="00557A6F">
            <w:r>
              <w:t>Betegnelse</w:t>
            </w:r>
          </w:p>
        </w:tc>
        <w:tc>
          <w:tcPr>
            <w:tcW w:w="1140" w:type="dxa"/>
          </w:tcPr>
          <w:p w:rsidR="00557A6F" w:rsidRDefault="00557A6F" w:rsidP="00557A6F">
            <w:pPr>
              <w:jc w:val="right"/>
            </w:pPr>
            <w:r>
              <w:t>Regnskap 2018</w:t>
            </w:r>
          </w:p>
        </w:tc>
        <w:tc>
          <w:tcPr>
            <w:tcW w:w="1140" w:type="dxa"/>
          </w:tcPr>
          <w:p w:rsidR="00557A6F" w:rsidRDefault="00557A6F" w:rsidP="00557A6F">
            <w:pPr>
              <w:jc w:val="right"/>
            </w:pPr>
            <w:r>
              <w:t xml:space="preserve">Saldert </w:t>
            </w:r>
            <w:r>
              <w:br/>
              <w:t>budsjett 2019</w:t>
            </w:r>
          </w:p>
        </w:tc>
        <w:tc>
          <w:tcPr>
            <w:tcW w:w="1140" w:type="dxa"/>
          </w:tcPr>
          <w:p w:rsidR="00557A6F" w:rsidRDefault="00557A6F" w:rsidP="00557A6F">
            <w:pPr>
              <w:jc w:val="right"/>
            </w:pPr>
            <w:r>
              <w:t xml:space="preserve">Forslag </w:t>
            </w:r>
            <w:r>
              <w:br/>
              <w:t>2020</w:t>
            </w:r>
          </w:p>
        </w:tc>
      </w:tr>
      <w:tr w:rsidR="00557A6F" w:rsidTr="00557A6F">
        <w:trPr>
          <w:trHeight w:val="380"/>
        </w:trPr>
        <w:tc>
          <w:tcPr>
            <w:tcW w:w="1140" w:type="dxa"/>
          </w:tcPr>
          <w:p w:rsidR="00557A6F" w:rsidRDefault="00557A6F" w:rsidP="00557A6F">
            <w:r>
              <w:t>01</w:t>
            </w:r>
          </w:p>
        </w:tc>
        <w:tc>
          <w:tcPr>
            <w:tcW w:w="4560" w:type="dxa"/>
          </w:tcPr>
          <w:p w:rsidR="00557A6F" w:rsidRDefault="00557A6F" w:rsidP="00557A6F">
            <w:r>
              <w:t xml:space="preserve">Driftsutgifter </w:t>
            </w:r>
          </w:p>
        </w:tc>
        <w:tc>
          <w:tcPr>
            <w:tcW w:w="1140" w:type="dxa"/>
          </w:tcPr>
          <w:p w:rsidR="00557A6F" w:rsidRDefault="00557A6F" w:rsidP="00557A6F">
            <w:pPr>
              <w:jc w:val="right"/>
            </w:pPr>
          </w:p>
        </w:tc>
        <w:tc>
          <w:tcPr>
            <w:tcW w:w="1140" w:type="dxa"/>
          </w:tcPr>
          <w:p w:rsidR="00557A6F" w:rsidRDefault="00557A6F" w:rsidP="00557A6F">
            <w:pPr>
              <w:jc w:val="right"/>
            </w:pPr>
          </w:p>
        </w:tc>
        <w:tc>
          <w:tcPr>
            <w:tcW w:w="1140" w:type="dxa"/>
          </w:tcPr>
          <w:p w:rsidR="00557A6F" w:rsidRDefault="00557A6F" w:rsidP="00557A6F">
            <w:pPr>
              <w:jc w:val="right"/>
            </w:pPr>
            <w:r>
              <w:t>231 933</w:t>
            </w:r>
          </w:p>
        </w:tc>
      </w:tr>
      <w:tr w:rsidR="00557A6F" w:rsidTr="00557A6F">
        <w:trPr>
          <w:trHeight w:val="640"/>
        </w:trPr>
        <w:tc>
          <w:tcPr>
            <w:tcW w:w="1140" w:type="dxa"/>
          </w:tcPr>
          <w:p w:rsidR="00557A6F" w:rsidRDefault="00557A6F" w:rsidP="00557A6F">
            <w:r>
              <w:t>45</w:t>
            </w:r>
          </w:p>
        </w:tc>
        <w:tc>
          <w:tcPr>
            <w:tcW w:w="4560" w:type="dxa"/>
          </w:tcPr>
          <w:p w:rsidR="00557A6F" w:rsidRDefault="00557A6F" w:rsidP="00557A6F">
            <w:r>
              <w:t>Større utstyrsanskaffelser og vedlikehold</w:t>
            </w:r>
            <w:r>
              <w:rPr>
                <w:rStyle w:val="kursiv"/>
                <w:sz w:val="21"/>
                <w:szCs w:val="21"/>
              </w:rPr>
              <w:t xml:space="preserve">, kan </w:t>
            </w:r>
            <w:r>
              <w:rPr>
                <w:rStyle w:val="kursiv"/>
                <w:sz w:val="21"/>
                <w:szCs w:val="21"/>
              </w:rPr>
              <w:br/>
              <w:t xml:space="preserve">overføres </w:t>
            </w:r>
          </w:p>
        </w:tc>
        <w:tc>
          <w:tcPr>
            <w:tcW w:w="1140" w:type="dxa"/>
          </w:tcPr>
          <w:p w:rsidR="00557A6F" w:rsidRDefault="00557A6F" w:rsidP="00557A6F">
            <w:pPr>
              <w:jc w:val="right"/>
            </w:pPr>
          </w:p>
        </w:tc>
        <w:tc>
          <w:tcPr>
            <w:tcW w:w="1140" w:type="dxa"/>
          </w:tcPr>
          <w:p w:rsidR="00557A6F" w:rsidRDefault="00557A6F" w:rsidP="00557A6F">
            <w:pPr>
              <w:jc w:val="right"/>
            </w:pPr>
          </w:p>
        </w:tc>
        <w:tc>
          <w:tcPr>
            <w:tcW w:w="1140" w:type="dxa"/>
          </w:tcPr>
          <w:p w:rsidR="00557A6F" w:rsidRDefault="00557A6F" w:rsidP="00557A6F">
            <w:pPr>
              <w:jc w:val="right"/>
            </w:pPr>
            <w:r>
              <w:t>15 785</w:t>
            </w:r>
          </w:p>
        </w:tc>
      </w:tr>
      <w:tr w:rsidR="00557A6F" w:rsidTr="00557A6F">
        <w:trPr>
          <w:trHeight w:val="380"/>
        </w:trPr>
        <w:tc>
          <w:tcPr>
            <w:tcW w:w="1140" w:type="dxa"/>
          </w:tcPr>
          <w:p w:rsidR="00557A6F" w:rsidRDefault="00557A6F" w:rsidP="00557A6F">
            <w:r>
              <w:t>70</w:t>
            </w:r>
          </w:p>
        </w:tc>
        <w:tc>
          <w:tcPr>
            <w:tcW w:w="4560" w:type="dxa"/>
          </w:tcPr>
          <w:p w:rsidR="00557A6F" w:rsidRDefault="00557A6F" w:rsidP="00557A6F">
            <w:r>
              <w:t>Telesikkerhet og -beredskap</w:t>
            </w:r>
            <w:r>
              <w:rPr>
                <w:rStyle w:val="kursiv"/>
                <w:sz w:val="21"/>
                <w:szCs w:val="21"/>
              </w:rPr>
              <w:t xml:space="preserve">, kan overføres </w:t>
            </w:r>
          </w:p>
        </w:tc>
        <w:tc>
          <w:tcPr>
            <w:tcW w:w="1140" w:type="dxa"/>
          </w:tcPr>
          <w:p w:rsidR="00557A6F" w:rsidRDefault="00557A6F" w:rsidP="00557A6F">
            <w:pPr>
              <w:jc w:val="right"/>
            </w:pPr>
          </w:p>
        </w:tc>
        <w:tc>
          <w:tcPr>
            <w:tcW w:w="1140" w:type="dxa"/>
          </w:tcPr>
          <w:p w:rsidR="00557A6F" w:rsidRDefault="00557A6F" w:rsidP="00557A6F">
            <w:pPr>
              <w:jc w:val="right"/>
            </w:pPr>
          </w:p>
        </w:tc>
        <w:tc>
          <w:tcPr>
            <w:tcW w:w="1140" w:type="dxa"/>
          </w:tcPr>
          <w:p w:rsidR="00557A6F" w:rsidRDefault="00557A6F" w:rsidP="00557A6F">
            <w:pPr>
              <w:jc w:val="right"/>
            </w:pPr>
            <w:r>
              <w:t>141 369</w:t>
            </w:r>
          </w:p>
        </w:tc>
      </w:tr>
      <w:tr w:rsidR="00557A6F" w:rsidTr="00557A6F">
        <w:trPr>
          <w:trHeight w:val="380"/>
        </w:trPr>
        <w:tc>
          <w:tcPr>
            <w:tcW w:w="1140" w:type="dxa"/>
          </w:tcPr>
          <w:p w:rsidR="00557A6F" w:rsidRDefault="00557A6F" w:rsidP="00557A6F"/>
        </w:tc>
        <w:tc>
          <w:tcPr>
            <w:tcW w:w="4560" w:type="dxa"/>
          </w:tcPr>
          <w:p w:rsidR="00557A6F" w:rsidRDefault="00557A6F" w:rsidP="00557A6F">
            <w:r>
              <w:t>Sum kap. 0543</w:t>
            </w:r>
          </w:p>
        </w:tc>
        <w:tc>
          <w:tcPr>
            <w:tcW w:w="1140" w:type="dxa"/>
          </w:tcPr>
          <w:p w:rsidR="00557A6F" w:rsidRDefault="00557A6F" w:rsidP="00557A6F">
            <w:pPr>
              <w:jc w:val="right"/>
            </w:pPr>
          </w:p>
        </w:tc>
        <w:tc>
          <w:tcPr>
            <w:tcW w:w="1140" w:type="dxa"/>
          </w:tcPr>
          <w:p w:rsidR="00557A6F" w:rsidRDefault="00557A6F" w:rsidP="00557A6F">
            <w:pPr>
              <w:jc w:val="right"/>
            </w:pPr>
          </w:p>
        </w:tc>
        <w:tc>
          <w:tcPr>
            <w:tcW w:w="1140" w:type="dxa"/>
          </w:tcPr>
          <w:p w:rsidR="00557A6F" w:rsidRDefault="00557A6F" w:rsidP="00557A6F">
            <w:pPr>
              <w:jc w:val="right"/>
            </w:pPr>
            <w:r>
              <w:t>389 087</w:t>
            </w:r>
          </w:p>
        </w:tc>
      </w:tr>
    </w:tbl>
    <w:p w:rsidR="00557A6F" w:rsidRDefault="00557A6F" w:rsidP="00557A6F">
      <w:pPr>
        <w:pStyle w:val="tabell-noter"/>
      </w:pPr>
      <w:r>
        <w:t>Vedrørende 2019: Ved Stortingets vedtak av 25. april 2019 ble post 01 opprettet med en bevilgning på 224,6 mill. kroner, post 45 med 16,4 mill. kroner, post 70 med 183 mill. kroner, post 71 med 199,8 mill. kroner og post 72 med 150 mill. kroner, jf. Prop. 57 S og Innst. 236 S (2018–2019). Ved Stortingets vedtak av 21. juni 2019 ble post 01 redusert med 9,9 mill. kroner til 214,7 mill. kroner, post 45 økt med 6 mill. kroner til 22,4 mill. kroner og post 71 økt med 50 mill. kroner til 249,8 mill. kroner, jf. Prop. 114 S og Innst. 391 S (2018–2019).</w:t>
      </w:r>
    </w:p>
    <w:p w:rsidR="00557A6F" w:rsidRDefault="00557A6F" w:rsidP="00557A6F">
      <w:pPr>
        <w:pStyle w:val="b-post"/>
      </w:pPr>
      <w:r>
        <w:t>Post 01 Driftsutgifter</w:t>
      </w:r>
    </w:p>
    <w:p w:rsidR="00557A6F" w:rsidRDefault="00557A6F" w:rsidP="00557A6F">
      <w:r>
        <w:t>Bevilgningen dekker lønn til ansatte, husleie og andre faste driftsutgifter for Nasjonal kommunik</w:t>
      </w:r>
      <w:r>
        <w:t>a</w:t>
      </w:r>
      <w:r>
        <w:t>sjonsmyndighet. Nasjonal kommunikasjonsmyndighet har sitt hovedkontor i Lillesand.</w:t>
      </w:r>
    </w:p>
    <w:p w:rsidR="00557A6F" w:rsidRDefault="00557A6F" w:rsidP="00557A6F">
      <w:pPr>
        <w:pStyle w:val="avsnitt-tittel"/>
      </w:pPr>
      <w:r>
        <w:lastRenderedPageBreak/>
        <w:t>Budsjettforslag</w:t>
      </w:r>
    </w:p>
    <w:p w:rsidR="00557A6F" w:rsidRDefault="00557A6F" w:rsidP="00557A6F">
      <w:r>
        <w:t>Som følge av endringene i departementsstrukturen og i ansvarsfordelingen mellom Kommunal- og m</w:t>
      </w:r>
      <w:r>
        <w:t>o</w:t>
      </w:r>
      <w:r>
        <w:t>derniseringsdepartementet, Nærings- og fiskeridepartementet og Samferdselsdepartementet, jf. Prop. 57 S (2018–2019), foreslås det bevilget 223,3 mill. kroner. Dette er knyttet til overføringen av ansvar for N</w:t>
      </w:r>
      <w:r>
        <w:t>a</w:t>
      </w:r>
      <w:r>
        <w:t>sjonal kommunikasjonsmyndighet fra Samferdselsdepartementet, og motsvares av forslag om tilsvarende reduksjon under kap. 1380, post 01. I beløpet er det inkludert en reduksjon på 6 mill. kroner på grunn av bortfall av etableringskostnader og en økning på 1 mill. kroner i årl</w:t>
      </w:r>
      <w:r>
        <w:t>i</w:t>
      </w:r>
      <w:r>
        <w:t xml:space="preserve">ge driftskostnader knyttet til satsing på forenklet fiberutbygging. </w:t>
      </w:r>
    </w:p>
    <w:p w:rsidR="00557A6F" w:rsidRDefault="00557A6F" w:rsidP="00557A6F">
      <w:r>
        <w:t>Posten foreslås videre økt med 8,6 mill. kroner for å legge til rette for at Norge blir klargjort for neste generasjons mobilnett/5G. Økningen skal både bidra til tidskritiske oppgaver knyttet til eta</w:t>
      </w:r>
      <w:r>
        <w:t>b</w:t>
      </w:r>
      <w:r>
        <w:t xml:space="preserve">leringen, og til å følge utviklingen tett når 5G tas i kommersiell bruk. </w:t>
      </w:r>
    </w:p>
    <w:p w:rsidR="00557A6F" w:rsidRDefault="00557A6F" w:rsidP="00557A6F">
      <w:r>
        <w:t>Samlet foreslås en bevilgning på 231,9 mill. kroner.</w:t>
      </w:r>
    </w:p>
    <w:p w:rsidR="00557A6F" w:rsidRDefault="00557A6F" w:rsidP="00557A6F">
      <w:pPr>
        <w:pStyle w:val="b-post"/>
      </w:pPr>
      <w:r>
        <w:t>Post 45 Større utstyrsanskaffelser og vedlikehold, kan overføres</w:t>
      </w:r>
    </w:p>
    <w:p w:rsidR="00557A6F" w:rsidRDefault="00557A6F" w:rsidP="00557A6F">
      <w:r>
        <w:t>Bevilgningen skal blant annet brukes til måleutstyr til tilsynsvirksomhet på frekvensområdet, vid</w:t>
      </w:r>
      <w:r>
        <w:t>e</w:t>
      </w:r>
      <w:r>
        <w:t>reutvikling av Nasjonal kommunikasjonsmyndighets IT-løsninger og IT-utstyr og til utvikling av analysemodeller som benyttes i etatens arbeid med reguleringen av ekommarkedet.</w:t>
      </w:r>
    </w:p>
    <w:p w:rsidR="00557A6F" w:rsidRDefault="00557A6F" w:rsidP="00557A6F">
      <w:pPr>
        <w:pStyle w:val="avsnitt-tittel"/>
      </w:pPr>
      <w:r>
        <w:t>Budsjettforslag</w:t>
      </w:r>
    </w:p>
    <w:p w:rsidR="00557A6F" w:rsidRDefault="00557A6F" w:rsidP="00557A6F">
      <w:r>
        <w:t>Som følge av endringene i departementsstrukturen og i ansvarsfordelingen mellom Kommunal- og m</w:t>
      </w:r>
      <w:r>
        <w:t>o</w:t>
      </w:r>
      <w:r>
        <w:t>derniseringsdepartementet, Nærings- og fiskeridepartementet og Samferdselsdepartementet, jf. Prop. 57 S (2018–2019), foreslås bevilgningen økt med 15,8 mill. kroner. Økningen er knyttet til overføringen av ansvar for Nasjonal kommunikasjonsmyndighet fra Samferdselsdepartementet. Økningen motsvares av forslag om tilsvarende reduksjon under kap. 1380, post 45. I beløpet er det inkludert en reduksjon på 1 mill. kroner på grunn av bortfall av kostnader knyttet til å legge en a</w:t>
      </w:r>
      <w:r>
        <w:t>l</w:t>
      </w:r>
      <w:r>
        <w:t>ternativ fiberlinje til Nasjonal kommunikasjonsmyndighets bygg.</w:t>
      </w:r>
    </w:p>
    <w:p w:rsidR="00557A6F" w:rsidRDefault="00557A6F" w:rsidP="00557A6F">
      <w:r>
        <w:t xml:space="preserve">Samlet foreslås en bevilgning på 15,8 mill. kroner. </w:t>
      </w:r>
    </w:p>
    <w:p w:rsidR="00557A6F" w:rsidRDefault="00557A6F" w:rsidP="00557A6F">
      <w:pPr>
        <w:pStyle w:val="b-post"/>
      </w:pPr>
      <w:r>
        <w:lastRenderedPageBreak/>
        <w:t>Post 70 Telesikkerhet og -beredskap, kan overføres</w:t>
      </w:r>
    </w:p>
    <w:p w:rsidR="00557A6F" w:rsidRDefault="00557A6F" w:rsidP="00557A6F">
      <w:r>
        <w:t>Bevilgningen skal benyttes til avtaler om sikkerhet og beredskap, programmet Forsterket ekom, tilrett</w:t>
      </w:r>
      <w:r>
        <w:t>e</w:t>
      </w:r>
      <w:r>
        <w:t xml:space="preserve">legging for fiberkabler til utlandet og Pilot for alternativt transportnett/kjernenett. </w:t>
      </w:r>
    </w:p>
    <w:p w:rsidR="00557A6F" w:rsidRDefault="00557A6F" w:rsidP="00557A6F">
      <w:r>
        <w:t>Nasjonal kommunikasjonsmyndighet inngår avtaler om sikkerhet og beredskap med tilbydere av ekomnett og -tjenester om tiltak utover det som kan pålegges tilbyderne i henhold til ekomloven uten at staten må kompensere for det.</w:t>
      </w:r>
    </w:p>
    <w:p w:rsidR="00557A6F" w:rsidRDefault="00557A6F" w:rsidP="00557A6F">
      <w:r>
        <w:t>Tildelte midler skal brukes til administrative og organisatoriske beredskapstiltak, lagring og vedl</w:t>
      </w:r>
      <w:r>
        <w:t>i</w:t>
      </w:r>
      <w:r>
        <w:t>kehold av transportabelt beredskapsutstyr samt til investeringer i ekominfrastruktur og bere</w:t>
      </w:r>
      <w:r>
        <w:t>d</w:t>
      </w:r>
      <w:r>
        <w:t>skapsmateriell. Tilt</w:t>
      </w:r>
      <w:r>
        <w:t>a</w:t>
      </w:r>
      <w:r>
        <w:t>kene skal bidra til en mer robust infrastruktur, alternative fremføringsveier og bedre håndtering av hendelser der elektronisk komm</w:t>
      </w:r>
      <w:r>
        <w:t>u</w:t>
      </w:r>
      <w:r>
        <w:t>nikasjon faller ut. I tillegg dekkes tilbydernes merkostnader til særskilte lovp</w:t>
      </w:r>
      <w:r>
        <w:t>å</w:t>
      </w:r>
      <w:r>
        <w:t>lagte oppgaver.</w:t>
      </w:r>
    </w:p>
    <w:p w:rsidR="00557A6F" w:rsidRDefault="00557A6F" w:rsidP="00557A6F">
      <w:r>
        <w:t>Mer ekstremvær, og ikke minst økt avhengighet av elektronisk kommunikasjon, gjør at det er b</w:t>
      </w:r>
      <w:r>
        <w:t>e</w:t>
      </w:r>
      <w:r>
        <w:t>hov for å styrke beredskapsevnen og øke robustheten i ekomnettene. Midlene skal blant annet br</w:t>
      </w:r>
      <w:r>
        <w:t>u</w:t>
      </w:r>
      <w:r>
        <w:t>kes til å sikre viktige elementer i det nasjonale transportnettet for elektronisk kommunikasjon, fo</w:t>
      </w:r>
      <w:r>
        <w:t>r</w:t>
      </w:r>
      <w:r>
        <w:t>sterke basestasjoner for mobiltelefon (reserv</w:t>
      </w:r>
      <w:r>
        <w:t>e</w:t>
      </w:r>
      <w:r>
        <w:t>strømforsyning og transmisjon) utvalgt i samråd med berørte fylkesmenn og utplassere beredskapsmateriell og mobilt transmisjonsutstyr på beredskap</w:t>
      </w:r>
      <w:r>
        <w:t>s</w:t>
      </w:r>
      <w:r>
        <w:t xml:space="preserve">lagre over hele landet. </w:t>
      </w:r>
    </w:p>
    <w:p w:rsidR="00557A6F" w:rsidRDefault="00557A6F" w:rsidP="00557A6F">
      <w:r>
        <w:t>En andel av bevilgningen vil benyttes til programmet Forsterket ekom. I samarbeid med Direktor</w:t>
      </w:r>
      <w:r>
        <w:t>a</w:t>
      </w:r>
      <w:r>
        <w:t>tet for samfunnssikkerhet og beredskap og fylkesmennene utpekes ett område i den enkelte ko</w:t>
      </w:r>
      <w:r>
        <w:t>m</w:t>
      </w:r>
      <w:r>
        <w:t>mune som er særlig viktig for lokal krisehåndtering. Mobilnettet i området forsterkes både med utvidet reserv</w:t>
      </w:r>
      <w:r>
        <w:t>e</w:t>
      </w:r>
      <w:r>
        <w:t>strømkapasitet (tre døgn) for basestasjonene og alternative transmisjonsløsninger for å sikre vedvarende tilgjengelighet til mobile ekomtjenester ved langvarig strømutfall. De mest så</w:t>
      </w:r>
      <w:r>
        <w:t>r</w:t>
      </w:r>
      <w:r>
        <w:t>bare kommunene prioriteres. Dette er et viktig bidrag til å styrke beredskapsevnen og øke robus</w:t>
      </w:r>
      <w:r>
        <w:t>t</w:t>
      </w:r>
      <w:r>
        <w:t>heten i ekomnettene, herunder styrke lokal krisehåndteringsevne. I 2020 vil utbyggin</w:t>
      </w:r>
      <w:r>
        <w:t>g</w:t>
      </w:r>
      <w:r>
        <w:t xml:space="preserve">en fortsette i nye kommuner. </w:t>
      </w:r>
    </w:p>
    <w:p w:rsidR="00557A6F" w:rsidRDefault="00557A6F" w:rsidP="00557A6F">
      <w:r>
        <w:t>Tilgang til mobildata og mobilsamtale er viktig i mange situasjoner og sammenhenger. Depart</w:t>
      </w:r>
      <w:r>
        <w:t>e</w:t>
      </w:r>
      <w:r>
        <w:t>mentet legger derfor opp til at Nasjonal kommunikasjonsmyndighet også vil kunne vurdere støtte til mobilutbygging på utfart</w:t>
      </w:r>
      <w:r>
        <w:t>s</w:t>
      </w:r>
      <w:r>
        <w:t>steder, veistrekninger eller lignende, der de kommersielle utbyggerne finner det for kos</w:t>
      </w:r>
      <w:r>
        <w:t>t</w:t>
      </w:r>
      <w:r>
        <w:t>bart å bygge ut, men som likevel har stor betydning for næringsdrift, varsling av hendelser, turisme eller andre samfunnsviktige forhold.</w:t>
      </w:r>
    </w:p>
    <w:p w:rsidR="00557A6F" w:rsidRDefault="00557A6F" w:rsidP="00557A6F">
      <w:pPr>
        <w:pStyle w:val="avsnitt-tittel"/>
      </w:pPr>
      <w:r>
        <w:t>Budsjettforslag</w:t>
      </w:r>
    </w:p>
    <w:p w:rsidR="00557A6F" w:rsidRDefault="00557A6F" w:rsidP="00557A6F">
      <w:r>
        <w:t>Som følge av endringene i departementsstrukturen og i ansvarsfordelingen mellom Kommunal- og m</w:t>
      </w:r>
      <w:r>
        <w:t>o</w:t>
      </w:r>
      <w:r>
        <w:t xml:space="preserve">derniseringsdepartementet, Nærings- og fiskeridepartementet og Samferdselsdepartementet, jf. Prop. 57 S (2018–2019), foreslås bevilgningen økt med 126,4 mill. kroner. Økningen er knyttet til overføringen av ansvar for Nasjonal kommunikasjonsmyndighet fra Samferdselsdepartementet. Økningen motsvares av forslag om tilsvarende reduksjon under kap. 1380, post 70. </w:t>
      </w:r>
    </w:p>
    <w:p w:rsidR="00557A6F" w:rsidRDefault="00557A6F" w:rsidP="00557A6F">
      <w:r>
        <w:t>Rammen for satsingen Pilot for alternativt kjernenett er 80 mill. kroner, jf. forutsetningene i N</w:t>
      </w:r>
      <w:r>
        <w:t>a</w:t>
      </w:r>
      <w:r>
        <w:t>sjonal transpor</w:t>
      </w:r>
      <w:r>
        <w:t>t</w:t>
      </w:r>
      <w:r>
        <w:t xml:space="preserve">plan 2018–2029 og Prop. 1 S (2017–2018) for Samferdselsdepartementet. Midlene ble bevilget i 2018 og 2019. I beløpet ovenfor ligger det derfor inne en reduksjon på 40 mill. kroner i 2020. </w:t>
      </w:r>
    </w:p>
    <w:p w:rsidR="00557A6F" w:rsidRDefault="00557A6F" w:rsidP="00557A6F">
      <w:r>
        <w:t>Rammen for tilrettelegging for fiberkabler til utlandet er 100 mill. kroner, jf. forutsetningene i N</w:t>
      </w:r>
      <w:r>
        <w:t>a</w:t>
      </w:r>
      <w:r>
        <w:t>sjonal tran</w:t>
      </w:r>
      <w:r>
        <w:t>s</w:t>
      </w:r>
      <w:r>
        <w:t>portplan 2018–2029 og Prop. 1 S (2017–2018) for Samferdselsdepartementet. 80 mill. kroner ble bevilget i 2018 og 2019. De resterende 20 mill. kroner foreslås bevilget i 2020.</w:t>
      </w:r>
    </w:p>
    <w:p w:rsidR="00557A6F" w:rsidRDefault="00557A6F" w:rsidP="00557A6F">
      <w:r>
        <w:t>For å styrke beredskapen og lokal krisehåndteringsevne, foreslås det en økning på 15 mill. kroner til programmet Forsterket ekom. Dette innebærer at det til sammen blir planlagt innført forsterket ekom i anslagsvis ti komm</w:t>
      </w:r>
      <w:r>
        <w:t>u</w:t>
      </w:r>
      <w:r>
        <w:t xml:space="preserve">ner. </w:t>
      </w:r>
    </w:p>
    <w:p w:rsidR="00557A6F" w:rsidRDefault="00557A6F" w:rsidP="00557A6F">
      <w:r>
        <w:t xml:space="preserve">Samlet foreslås det en bevilgning på 141,4 mill. kroner. </w:t>
      </w:r>
    </w:p>
    <w:p w:rsidR="00557A6F" w:rsidRDefault="00557A6F" w:rsidP="00557A6F">
      <w:r>
        <w:t>Bevilgningen inngår ikke i Nasjonal kommunikasjonsmyndighets ordning for selvfinansiering.</w:t>
      </w:r>
    </w:p>
    <w:p w:rsidR="00557A6F" w:rsidRDefault="00557A6F" w:rsidP="00557A6F">
      <w:pPr>
        <w:pStyle w:val="b-budkaptit"/>
      </w:pPr>
      <w:r>
        <w:lastRenderedPageBreak/>
        <w:t>Kap. 3543 Nasjonal kommunikasjonsmyndighet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7A6F" w:rsidTr="00557A6F">
        <w:trPr>
          <w:trHeight w:val="640"/>
        </w:trPr>
        <w:tc>
          <w:tcPr>
            <w:tcW w:w="1140" w:type="dxa"/>
            <w:shd w:val="clear" w:color="auto" w:fill="FFFFFF"/>
          </w:tcPr>
          <w:p w:rsidR="00557A6F" w:rsidRDefault="00557A6F" w:rsidP="00557A6F">
            <w:pPr>
              <w:pStyle w:val="Tabellnavn"/>
            </w:pPr>
            <w:r>
              <w:t>KPAL</w:t>
            </w:r>
          </w:p>
        </w:tc>
        <w:tc>
          <w:tcPr>
            <w:tcW w:w="4560" w:type="dxa"/>
          </w:tcPr>
          <w:p w:rsidR="00557A6F" w:rsidRDefault="00557A6F" w:rsidP="00557A6F"/>
        </w:tc>
        <w:tc>
          <w:tcPr>
            <w:tcW w:w="1140" w:type="dxa"/>
          </w:tcPr>
          <w:p w:rsidR="00557A6F" w:rsidRDefault="00557A6F" w:rsidP="00557A6F">
            <w:pPr>
              <w:pStyle w:val="Tabellnavn"/>
              <w:jc w:val="right"/>
            </w:pPr>
          </w:p>
        </w:tc>
        <w:tc>
          <w:tcPr>
            <w:tcW w:w="1140" w:type="dxa"/>
          </w:tcPr>
          <w:p w:rsidR="00557A6F" w:rsidRDefault="00557A6F" w:rsidP="00557A6F">
            <w:pPr>
              <w:pStyle w:val="Tabellnavn"/>
              <w:jc w:val="right"/>
            </w:pPr>
          </w:p>
        </w:tc>
        <w:tc>
          <w:tcPr>
            <w:tcW w:w="1140" w:type="dxa"/>
          </w:tcPr>
          <w:p w:rsidR="00557A6F" w:rsidRDefault="00557A6F" w:rsidP="00557A6F">
            <w:pPr>
              <w:jc w:val="right"/>
            </w:pPr>
            <w:r>
              <w:t>(i 1 000 kr)</w:t>
            </w:r>
          </w:p>
        </w:tc>
      </w:tr>
      <w:tr w:rsidR="00557A6F" w:rsidTr="00557A6F">
        <w:trPr>
          <w:trHeight w:val="600"/>
        </w:trPr>
        <w:tc>
          <w:tcPr>
            <w:tcW w:w="1140" w:type="dxa"/>
          </w:tcPr>
          <w:p w:rsidR="00557A6F" w:rsidRDefault="00557A6F" w:rsidP="00557A6F">
            <w:r>
              <w:t>Post</w:t>
            </w:r>
          </w:p>
        </w:tc>
        <w:tc>
          <w:tcPr>
            <w:tcW w:w="4560" w:type="dxa"/>
          </w:tcPr>
          <w:p w:rsidR="00557A6F" w:rsidRDefault="00557A6F" w:rsidP="00557A6F">
            <w:r>
              <w:t>Betegnelse</w:t>
            </w:r>
          </w:p>
        </w:tc>
        <w:tc>
          <w:tcPr>
            <w:tcW w:w="1140" w:type="dxa"/>
          </w:tcPr>
          <w:p w:rsidR="00557A6F" w:rsidRDefault="00557A6F" w:rsidP="00557A6F">
            <w:pPr>
              <w:jc w:val="right"/>
            </w:pPr>
            <w:r>
              <w:t>Regnskap 2018</w:t>
            </w:r>
          </w:p>
        </w:tc>
        <w:tc>
          <w:tcPr>
            <w:tcW w:w="1140" w:type="dxa"/>
          </w:tcPr>
          <w:p w:rsidR="00557A6F" w:rsidRDefault="00557A6F" w:rsidP="00557A6F">
            <w:pPr>
              <w:jc w:val="right"/>
            </w:pPr>
            <w:r>
              <w:t xml:space="preserve">Saldert </w:t>
            </w:r>
            <w:r>
              <w:br/>
              <w:t>budsjett 2019</w:t>
            </w:r>
          </w:p>
        </w:tc>
        <w:tc>
          <w:tcPr>
            <w:tcW w:w="1140" w:type="dxa"/>
          </w:tcPr>
          <w:p w:rsidR="00557A6F" w:rsidRDefault="00557A6F" w:rsidP="00557A6F">
            <w:pPr>
              <w:jc w:val="right"/>
            </w:pPr>
            <w:r>
              <w:t xml:space="preserve">Forslag </w:t>
            </w:r>
            <w:r>
              <w:br/>
              <w:t>2020</w:t>
            </w:r>
          </w:p>
        </w:tc>
      </w:tr>
      <w:tr w:rsidR="00557A6F" w:rsidTr="00557A6F">
        <w:trPr>
          <w:trHeight w:val="380"/>
        </w:trPr>
        <w:tc>
          <w:tcPr>
            <w:tcW w:w="1140" w:type="dxa"/>
          </w:tcPr>
          <w:p w:rsidR="00557A6F" w:rsidRDefault="00557A6F" w:rsidP="00557A6F">
            <w:r>
              <w:t>01</w:t>
            </w:r>
          </w:p>
        </w:tc>
        <w:tc>
          <w:tcPr>
            <w:tcW w:w="4560" w:type="dxa"/>
          </w:tcPr>
          <w:p w:rsidR="00557A6F" w:rsidRDefault="00557A6F" w:rsidP="00557A6F">
            <w:r>
              <w:t xml:space="preserve">Diverse gebyrer </w:t>
            </w:r>
          </w:p>
        </w:tc>
        <w:tc>
          <w:tcPr>
            <w:tcW w:w="1140" w:type="dxa"/>
          </w:tcPr>
          <w:p w:rsidR="00557A6F" w:rsidRDefault="00557A6F" w:rsidP="00557A6F">
            <w:pPr>
              <w:jc w:val="right"/>
            </w:pPr>
          </w:p>
        </w:tc>
        <w:tc>
          <w:tcPr>
            <w:tcW w:w="1140" w:type="dxa"/>
          </w:tcPr>
          <w:p w:rsidR="00557A6F" w:rsidRDefault="00557A6F" w:rsidP="00557A6F">
            <w:pPr>
              <w:jc w:val="right"/>
            </w:pPr>
          </w:p>
        </w:tc>
        <w:tc>
          <w:tcPr>
            <w:tcW w:w="1140" w:type="dxa"/>
          </w:tcPr>
          <w:p w:rsidR="00557A6F" w:rsidRDefault="00557A6F" w:rsidP="00557A6F">
            <w:pPr>
              <w:jc w:val="right"/>
            </w:pPr>
            <w:r>
              <w:t>597</w:t>
            </w:r>
          </w:p>
        </w:tc>
      </w:tr>
      <w:tr w:rsidR="00557A6F" w:rsidTr="00557A6F">
        <w:trPr>
          <w:trHeight w:val="380"/>
        </w:trPr>
        <w:tc>
          <w:tcPr>
            <w:tcW w:w="1140" w:type="dxa"/>
          </w:tcPr>
          <w:p w:rsidR="00557A6F" w:rsidRDefault="00557A6F" w:rsidP="00557A6F"/>
        </w:tc>
        <w:tc>
          <w:tcPr>
            <w:tcW w:w="4560" w:type="dxa"/>
          </w:tcPr>
          <w:p w:rsidR="00557A6F" w:rsidRDefault="00557A6F" w:rsidP="00557A6F">
            <w:r>
              <w:t>Sum kap. 3543</w:t>
            </w:r>
          </w:p>
        </w:tc>
        <w:tc>
          <w:tcPr>
            <w:tcW w:w="1140" w:type="dxa"/>
          </w:tcPr>
          <w:p w:rsidR="00557A6F" w:rsidRDefault="00557A6F" w:rsidP="00557A6F">
            <w:pPr>
              <w:jc w:val="right"/>
            </w:pPr>
          </w:p>
        </w:tc>
        <w:tc>
          <w:tcPr>
            <w:tcW w:w="1140" w:type="dxa"/>
          </w:tcPr>
          <w:p w:rsidR="00557A6F" w:rsidRDefault="00557A6F" w:rsidP="00557A6F">
            <w:pPr>
              <w:jc w:val="right"/>
            </w:pPr>
          </w:p>
        </w:tc>
        <w:tc>
          <w:tcPr>
            <w:tcW w:w="1140" w:type="dxa"/>
          </w:tcPr>
          <w:p w:rsidR="00557A6F" w:rsidRDefault="00557A6F" w:rsidP="00557A6F">
            <w:pPr>
              <w:jc w:val="right"/>
            </w:pPr>
            <w:r>
              <w:t>597</w:t>
            </w:r>
          </w:p>
        </w:tc>
      </w:tr>
    </w:tbl>
    <w:p w:rsidR="00557A6F" w:rsidRDefault="00557A6F" w:rsidP="00557A6F">
      <w:pPr>
        <w:pStyle w:val="tabell-noter"/>
      </w:pPr>
      <w:r>
        <w:t xml:space="preserve">Vedrørende 2019: Ved Stortingets vedtak av 25. april 2019 ble post 01 opprettet med en bevilgning på 0,6 mill. kroner, jf. Prop. 57 S og Innst. 236 S (2018–2019). </w:t>
      </w:r>
    </w:p>
    <w:p w:rsidR="00557A6F" w:rsidRDefault="00557A6F" w:rsidP="00557A6F">
      <w:pPr>
        <w:pStyle w:val="b-post"/>
      </w:pPr>
      <w:r>
        <w:t>Post 01 Diverse gebyrer</w:t>
      </w:r>
    </w:p>
    <w:p w:rsidR="00557A6F" w:rsidRDefault="00557A6F" w:rsidP="00557A6F">
      <w:r>
        <w:t>Nasjonal kommunikasjonsmyndighets utgifter på kap. 543, postene 01 og 45 dekkes i hovedsak av in</w:t>
      </w:r>
      <w:r>
        <w:t>n</w:t>
      </w:r>
      <w:r>
        <w:t>tekter fra sektoravgifter og gebyrer. I tillegg skal inntektene også dekke merverdiavgift som belastes sentralt på kap. 1633, post 01.</w:t>
      </w:r>
    </w:p>
    <w:p w:rsidR="00557A6F" w:rsidRDefault="00557A6F" w:rsidP="00557A6F">
      <w:r>
        <w:t>I selvfinansieringsordningen inngår ikke:</w:t>
      </w:r>
    </w:p>
    <w:p w:rsidR="00557A6F" w:rsidRDefault="00557A6F" w:rsidP="00557A6F">
      <w:pPr>
        <w:pStyle w:val="Liste"/>
      </w:pPr>
      <w:r>
        <w:t>10,0 mill. kroner i refusjon til drift av Radiostøykontrollen</w:t>
      </w:r>
    </w:p>
    <w:p w:rsidR="00557A6F" w:rsidRDefault="00557A6F" w:rsidP="00557A6F">
      <w:pPr>
        <w:pStyle w:val="Liste"/>
      </w:pPr>
      <w:r>
        <w:t>0,9 mill. kroner til å veilede fylkeskommunene i forbindelse med tilskudd til bredbåndsu</w:t>
      </w:r>
      <w:r>
        <w:t>t</w:t>
      </w:r>
      <w:r>
        <w:t>bygging.</w:t>
      </w:r>
    </w:p>
    <w:p w:rsidR="00557A6F" w:rsidRDefault="00557A6F" w:rsidP="00557A6F">
      <w:r>
        <w:t>Det er budsjettert med 597 000 kroner i gebyrinntekter som i hovedsak består av gebyrer knyttet til ti</w:t>
      </w:r>
      <w:r>
        <w:t>l</w:t>
      </w:r>
      <w:r>
        <w:t>latelser for radioamatører og gebyr for radioutstyr i luftfartøy.</w:t>
      </w:r>
    </w:p>
    <w:p w:rsidR="00557A6F" w:rsidRDefault="00557A6F" w:rsidP="00557A6F">
      <w:r>
        <w:t>Nasjonal kommunikasjonsmyndighets reguleringsfond er et hjelpemiddel for å kompensere for tilfeldige inntekts- og utgiftvariasjoner. Det foreslås at Kommunal- og moderniseringsdeparteme</w:t>
      </w:r>
      <w:r>
        <w:t>n</w:t>
      </w:r>
      <w:r>
        <w:t>tet i 2020 kan gi Nasjonal kommunikasjonsmyndighet fullmakt til å kompensere for tilfeldige in</w:t>
      </w:r>
      <w:r>
        <w:t>n</w:t>
      </w:r>
      <w:r>
        <w:t>tektsvariasjoner knyttet til gebyr- og avgiftsfinansiert virksomhet ved å overføre inntil 10 mill. kroner til eller fra regul</w:t>
      </w:r>
      <w:r>
        <w:t>e</w:t>
      </w:r>
      <w:r>
        <w:t>ringsfondet som inngår som del av virksomhetens mellomværende med statskassen, jf. forslag til rome</w:t>
      </w:r>
      <w:r>
        <w:t>r</w:t>
      </w:r>
      <w:r>
        <w:t>tallsvedtak.</w:t>
      </w:r>
    </w:p>
    <w:p w:rsidR="00557A6F" w:rsidRDefault="00557A6F" w:rsidP="00557A6F">
      <w:pPr>
        <w:pStyle w:val="b-budkaptit"/>
      </w:pPr>
      <w:r>
        <w:t>Kap. 5570 Sektoravgifter under Kommunal- og moderniseringsdepa</w:t>
      </w:r>
      <w:r>
        <w:t>r</w:t>
      </w:r>
      <w:r>
        <w:t>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7A6F" w:rsidTr="00557A6F">
        <w:trPr>
          <w:trHeight w:val="640"/>
        </w:trPr>
        <w:tc>
          <w:tcPr>
            <w:tcW w:w="1140" w:type="dxa"/>
            <w:shd w:val="clear" w:color="auto" w:fill="FFFFFF"/>
          </w:tcPr>
          <w:p w:rsidR="00557A6F" w:rsidRDefault="00557A6F" w:rsidP="00557A6F">
            <w:pPr>
              <w:pStyle w:val="Tabellnavn"/>
            </w:pPr>
            <w:r>
              <w:t>KPAL</w:t>
            </w:r>
          </w:p>
        </w:tc>
        <w:tc>
          <w:tcPr>
            <w:tcW w:w="4560" w:type="dxa"/>
          </w:tcPr>
          <w:p w:rsidR="00557A6F" w:rsidRDefault="00557A6F" w:rsidP="00557A6F"/>
        </w:tc>
        <w:tc>
          <w:tcPr>
            <w:tcW w:w="1140" w:type="dxa"/>
          </w:tcPr>
          <w:p w:rsidR="00557A6F" w:rsidRDefault="00557A6F" w:rsidP="00557A6F">
            <w:pPr>
              <w:pStyle w:val="Tabellnavn"/>
              <w:jc w:val="right"/>
            </w:pPr>
          </w:p>
        </w:tc>
        <w:tc>
          <w:tcPr>
            <w:tcW w:w="1140" w:type="dxa"/>
          </w:tcPr>
          <w:p w:rsidR="00557A6F" w:rsidRDefault="00557A6F" w:rsidP="00557A6F">
            <w:pPr>
              <w:pStyle w:val="Tabellnavn"/>
              <w:jc w:val="right"/>
            </w:pPr>
          </w:p>
        </w:tc>
        <w:tc>
          <w:tcPr>
            <w:tcW w:w="1140" w:type="dxa"/>
          </w:tcPr>
          <w:p w:rsidR="00557A6F" w:rsidRDefault="00557A6F" w:rsidP="00557A6F">
            <w:pPr>
              <w:jc w:val="right"/>
            </w:pPr>
            <w:r>
              <w:t>(i 1 000 kr)</w:t>
            </w:r>
          </w:p>
        </w:tc>
      </w:tr>
      <w:tr w:rsidR="00557A6F" w:rsidTr="00557A6F">
        <w:trPr>
          <w:trHeight w:val="600"/>
        </w:trPr>
        <w:tc>
          <w:tcPr>
            <w:tcW w:w="1140" w:type="dxa"/>
          </w:tcPr>
          <w:p w:rsidR="00557A6F" w:rsidRDefault="00557A6F" w:rsidP="00557A6F">
            <w:r>
              <w:t>Post</w:t>
            </w:r>
          </w:p>
        </w:tc>
        <w:tc>
          <w:tcPr>
            <w:tcW w:w="4560" w:type="dxa"/>
          </w:tcPr>
          <w:p w:rsidR="00557A6F" w:rsidRDefault="00557A6F" w:rsidP="00557A6F">
            <w:r>
              <w:t>Betegnelse</w:t>
            </w:r>
          </w:p>
        </w:tc>
        <w:tc>
          <w:tcPr>
            <w:tcW w:w="1140" w:type="dxa"/>
          </w:tcPr>
          <w:p w:rsidR="00557A6F" w:rsidRDefault="00557A6F" w:rsidP="00557A6F">
            <w:pPr>
              <w:jc w:val="right"/>
            </w:pPr>
            <w:r>
              <w:t>Regnskap 2018</w:t>
            </w:r>
          </w:p>
        </w:tc>
        <w:tc>
          <w:tcPr>
            <w:tcW w:w="1140" w:type="dxa"/>
          </w:tcPr>
          <w:p w:rsidR="00557A6F" w:rsidRDefault="00557A6F" w:rsidP="00557A6F">
            <w:pPr>
              <w:jc w:val="right"/>
            </w:pPr>
            <w:r>
              <w:t xml:space="preserve">Saldert </w:t>
            </w:r>
            <w:r>
              <w:br/>
              <w:t>budsjett 2019</w:t>
            </w:r>
          </w:p>
        </w:tc>
        <w:tc>
          <w:tcPr>
            <w:tcW w:w="1140" w:type="dxa"/>
          </w:tcPr>
          <w:p w:rsidR="00557A6F" w:rsidRDefault="00557A6F" w:rsidP="00557A6F">
            <w:pPr>
              <w:jc w:val="right"/>
            </w:pPr>
            <w:r>
              <w:t xml:space="preserve">Forslag </w:t>
            </w:r>
            <w:r>
              <w:br/>
              <w:t>2020</w:t>
            </w:r>
          </w:p>
        </w:tc>
      </w:tr>
      <w:tr w:rsidR="00557A6F" w:rsidTr="00557A6F">
        <w:trPr>
          <w:trHeight w:val="640"/>
        </w:trPr>
        <w:tc>
          <w:tcPr>
            <w:tcW w:w="1140" w:type="dxa"/>
          </w:tcPr>
          <w:p w:rsidR="00557A6F" w:rsidRDefault="00557A6F" w:rsidP="00557A6F">
            <w:r>
              <w:t>70</w:t>
            </w:r>
          </w:p>
        </w:tc>
        <w:tc>
          <w:tcPr>
            <w:tcW w:w="4560" w:type="dxa"/>
          </w:tcPr>
          <w:p w:rsidR="00557A6F" w:rsidRDefault="00557A6F" w:rsidP="00557A6F">
            <w:r>
              <w:t xml:space="preserve">Sektoravgifter Nasjonal </w:t>
            </w:r>
            <w:r>
              <w:br/>
              <w:t xml:space="preserve">kommunikasjonsmyndighet </w:t>
            </w:r>
          </w:p>
        </w:tc>
        <w:tc>
          <w:tcPr>
            <w:tcW w:w="1140" w:type="dxa"/>
          </w:tcPr>
          <w:p w:rsidR="00557A6F" w:rsidRDefault="00557A6F" w:rsidP="00557A6F">
            <w:pPr>
              <w:jc w:val="right"/>
            </w:pPr>
          </w:p>
        </w:tc>
        <w:tc>
          <w:tcPr>
            <w:tcW w:w="1140" w:type="dxa"/>
          </w:tcPr>
          <w:p w:rsidR="00557A6F" w:rsidRDefault="00557A6F" w:rsidP="00557A6F">
            <w:pPr>
              <w:jc w:val="right"/>
            </w:pPr>
          </w:p>
        </w:tc>
        <w:tc>
          <w:tcPr>
            <w:tcW w:w="1140" w:type="dxa"/>
          </w:tcPr>
          <w:p w:rsidR="00557A6F" w:rsidRDefault="00557A6F" w:rsidP="00557A6F">
            <w:pPr>
              <w:jc w:val="right"/>
            </w:pPr>
            <w:r>
              <w:t>247 880</w:t>
            </w:r>
          </w:p>
        </w:tc>
      </w:tr>
      <w:tr w:rsidR="00557A6F" w:rsidTr="00557A6F">
        <w:trPr>
          <w:trHeight w:val="380"/>
        </w:trPr>
        <w:tc>
          <w:tcPr>
            <w:tcW w:w="1140" w:type="dxa"/>
          </w:tcPr>
          <w:p w:rsidR="00557A6F" w:rsidRDefault="00557A6F" w:rsidP="00557A6F"/>
        </w:tc>
        <w:tc>
          <w:tcPr>
            <w:tcW w:w="4560" w:type="dxa"/>
          </w:tcPr>
          <w:p w:rsidR="00557A6F" w:rsidRDefault="00557A6F" w:rsidP="00557A6F">
            <w:r>
              <w:t>Sum kap. 5570</w:t>
            </w:r>
          </w:p>
        </w:tc>
        <w:tc>
          <w:tcPr>
            <w:tcW w:w="1140" w:type="dxa"/>
          </w:tcPr>
          <w:p w:rsidR="00557A6F" w:rsidRDefault="00557A6F" w:rsidP="00557A6F">
            <w:pPr>
              <w:jc w:val="right"/>
            </w:pPr>
          </w:p>
        </w:tc>
        <w:tc>
          <w:tcPr>
            <w:tcW w:w="1140" w:type="dxa"/>
          </w:tcPr>
          <w:p w:rsidR="00557A6F" w:rsidRDefault="00557A6F" w:rsidP="00557A6F">
            <w:pPr>
              <w:jc w:val="right"/>
            </w:pPr>
          </w:p>
        </w:tc>
        <w:tc>
          <w:tcPr>
            <w:tcW w:w="1140" w:type="dxa"/>
          </w:tcPr>
          <w:p w:rsidR="00557A6F" w:rsidRDefault="00557A6F" w:rsidP="00557A6F">
            <w:pPr>
              <w:jc w:val="right"/>
            </w:pPr>
            <w:r>
              <w:t>247 880</w:t>
            </w:r>
          </w:p>
        </w:tc>
      </w:tr>
    </w:tbl>
    <w:p w:rsidR="00557A6F" w:rsidRDefault="00557A6F" w:rsidP="00557A6F">
      <w:pPr>
        <w:pStyle w:val="tabell-noter"/>
      </w:pPr>
      <w:r>
        <w:t>Vedrørende 2019: Ved Stortingets vedtak av 25. april 2019 ble post 70 opprettet med en bevilgning på 243,4 mill. kroner, jf. Prop. 57 S og Innst. 236 S (2018–2019). Ved Stortingets vedtak av 21. juni 2019 ble post 70 redusert med 3,9 mill. kroner til 239,5 mill. kroner, jf. Prop. 114 S og Innst. 391 S (2018–2019).</w:t>
      </w:r>
    </w:p>
    <w:p w:rsidR="00557A6F" w:rsidRDefault="00557A6F" w:rsidP="00557A6F">
      <w:pPr>
        <w:pStyle w:val="b-post"/>
      </w:pPr>
      <w:r>
        <w:lastRenderedPageBreak/>
        <w:t>Post 70 Sektoravgifter Nasjonal kommunikasjonsmyndighet</w:t>
      </w:r>
    </w:p>
    <w:p w:rsidR="00557A6F" w:rsidRDefault="00557A6F" w:rsidP="00557A6F">
      <w:r>
        <w:t>Sektoravgiftene og gebyrene skal i hovedsak dekke Nasjonal kommunikasjonsmyndighets utgifter som er budsjettert på kap. 543, postene 01 og 45, og merverdiavgift på kap. 1633, post 01.</w:t>
      </w:r>
    </w:p>
    <w:p w:rsidR="00557A6F" w:rsidRDefault="00557A6F" w:rsidP="00557A6F">
      <w:r>
        <w:t>Nasjonal kommunikasjonsmyndighet administrerer og tildeler 5-sifrede nummer direkte til organ</w:t>
      </w:r>
      <w:r>
        <w:t>i</w:t>
      </w:r>
      <w:r>
        <w:t>sasjoner og virksomheter. Inntektene føres på kap. 5583 Særskilte avgifter i bruk av frekvenser, post 70 Avgift på frekvenser mv. Sektoravgifter for å dekke kostnadene med å administrere or</w:t>
      </w:r>
      <w:r>
        <w:t>d</w:t>
      </w:r>
      <w:r>
        <w:t>ningen inntekt</w:t>
      </w:r>
      <w:r>
        <w:t>s</w:t>
      </w:r>
      <w:r>
        <w:t>føres på kap. 5570, post 70.</w:t>
      </w:r>
    </w:p>
    <w:p w:rsidR="00557A6F" w:rsidRDefault="00557A6F" w:rsidP="00557A6F">
      <w:r>
        <w:t>Sektoravgiftene er anslått til 247,9 mill. kroner. Det er en økning på 9,4 mill. kroner sammenlignet med saldert budsjett 2019. Økningen gjelder styrking av ressurser i Nasjonal kommunikasjon</w:t>
      </w:r>
      <w:r>
        <w:t>s</w:t>
      </w:r>
      <w:r>
        <w:t>myndighet knyttet til etabl</w:t>
      </w:r>
      <w:r>
        <w:t>e</w:t>
      </w:r>
      <w:r>
        <w:t xml:space="preserve">ringen av 5G, jf. omtale under kap. 543, post 01. </w:t>
      </w:r>
    </w:p>
    <w:p w:rsidR="00557A6F" w:rsidRDefault="00557A6F" w:rsidP="00557A6F">
      <w:pPr>
        <w:pStyle w:val="b-progkat"/>
      </w:pPr>
      <w:r>
        <w:lastRenderedPageBreak/>
        <w:t>Programkategori 13.45 Personvern</w:t>
      </w:r>
    </w:p>
    <w:p w:rsidR="00557A6F" w:rsidRDefault="00557A6F" w:rsidP="00557A6F">
      <w:pPr>
        <w:pStyle w:val="avsnitt-tittel"/>
      </w:pPr>
      <w:r>
        <w:t>Utgifter under programkategori 13.45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557A6F" w:rsidTr="00557A6F">
        <w:trPr>
          <w:trHeight w:val="640"/>
        </w:trPr>
        <w:tc>
          <w:tcPr>
            <w:tcW w:w="1020" w:type="dxa"/>
            <w:shd w:val="clear" w:color="auto" w:fill="FFFFFF"/>
          </w:tcPr>
          <w:p w:rsidR="00557A6F" w:rsidRDefault="00557A6F" w:rsidP="00557A6F">
            <w:pPr>
              <w:pStyle w:val="Tabellnavn"/>
            </w:pPr>
            <w:r>
              <w:t>PIKL</w:t>
            </w:r>
          </w:p>
        </w:tc>
        <w:tc>
          <w:tcPr>
            <w:tcW w:w="4080" w:type="dxa"/>
          </w:tcPr>
          <w:p w:rsidR="00557A6F" w:rsidRDefault="00557A6F" w:rsidP="00557A6F"/>
        </w:tc>
        <w:tc>
          <w:tcPr>
            <w:tcW w:w="1020" w:type="dxa"/>
          </w:tcPr>
          <w:p w:rsidR="00557A6F" w:rsidRDefault="00557A6F" w:rsidP="00557A6F">
            <w:pPr>
              <w:pStyle w:val="Tabellnavn"/>
              <w:jc w:val="right"/>
            </w:pPr>
          </w:p>
        </w:tc>
        <w:tc>
          <w:tcPr>
            <w:tcW w:w="1020" w:type="dxa"/>
          </w:tcPr>
          <w:p w:rsidR="00557A6F" w:rsidRDefault="00557A6F" w:rsidP="00557A6F">
            <w:pPr>
              <w:pStyle w:val="Tabellnavn"/>
              <w:jc w:val="right"/>
            </w:pPr>
          </w:p>
        </w:tc>
        <w:tc>
          <w:tcPr>
            <w:tcW w:w="1020" w:type="dxa"/>
          </w:tcPr>
          <w:p w:rsidR="00557A6F" w:rsidRDefault="00557A6F" w:rsidP="00557A6F">
            <w:pPr>
              <w:pStyle w:val="Tabellnavn"/>
              <w:jc w:val="right"/>
            </w:pPr>
          </w:p>
        </w:tc>
        <w:tc>
          <w:tcPr>
            <w:tcW w:w="1020" w:type="dxa"/>
          </w:tcPr>
          <w:p w:rsidR="00557A6F" w:rsidRDefault="00557A6F" w:rsidP="00557A6F">
            <w:pPr>
              <w:jc w:val="right"/>
            </w:pPr>
            <w:r>
              <w:t>(i 1 000 kr)</w:t>
            </w:r>
          </w:p>
        </w:tc>
      </w:tr>
      <w:tr w:rsidR="00557A6F" w:rsidTr="00557A6F">
        <w:trPr>
          <w:trHeight w:val="600"/>
        </w:trPr>
        <w:tc>
          <w:tcPr>
            <w:tcW w:w="1020" w:type="dxa"/>
          </w:tcPr>
          <w:p w:rsidR="00557A6F" w:rsidRDefault="00557A6F" w:rsidP="00557A6F">
            <w:r>
              <w:t>Kap.</w:t>
            </w:r>
          </w:p>
        </w:tc>
        <w:tc>
          <w:tcPr>
            <w:tcW w:w="4080" w:type="dxa"/>
          </w:tcPr>
          <w:p w:rsidR="00557A6F" w:rsidRDefault="00557A6F" w:rsidP="00557A6F">
            <w:r>
              <w:t>Betegnelse</w:t>
            </w:r>
          </w:p>
        </w:tc>
        <w:tc>
          <w:tcPr>
            <w:tcW w:w="1020" w:type="dxa"/>
          </w:tcPr>
          <w:p w:rsidR="00557A6F" w:rsidRDefault="00557A6F" w:rsidP="00557A6F">
            <w:pPr>
              <w:jc w:val="right"/>
            </w:pPr>
            <w:r>
              <w:t>Reg</w:t>
            </w:r>
            <w:r>
              <w:t>n</w:t>
            </w:r>
            <w:r>
              <w:t>skap 2018</w:t>
            </w:r>
          </w:p>
        </w:tc>
        <w:tc>
          <w:tcPr>
            <w:tcW w:w="1020" w:type="dxa"/>
          </w:tcPr>
          <w:p w:rsidR="00557A6F" w:rsidRDefault="00557A6F" w:rsidP="00557A6F">
            <w:pPr>
              <w:jc w:val="right"/>
            </w:pPr>
            <w:r>
              <w:t xml:space="preserve">Saldert </w:t>
            </w:r>
            <w:r>
              <w:br/>
              <w:t>budsjett 2019</w:t>
            </w:r>
          </w:p>
        </w:tc>
        <w:tc>
          <w:tcPr>
            <w:tcW w:w="1020" w:type="dxa"/>
          </w:tcPr>
          <w:p w:rsidR="00557A6F" w:rsidRDefault="00557A6F" w:rsidP="00557A6F">
            <w:pPr>
              <w:jc w:val="right"/>
            </w:pPr>
            <w:r>
              <w:t xml:space="preserve">Forslag </w:t>
            </w:r>
            <w:r>
              <w:br/>
              <w:t>2020</w:t>
            </w:r>
          </w:p>
        </w:tc>
        <w:tc>
          <w:tcPr>
            <w:tcW w:w="1020" w:type="dxa"/>
          </w:tcPr>
          <w:p w:rsidR="00557A6F" w:rsidRDefault="00557A6F" w:rsidP="00557A6F">
            <w:pPr>
              <w:jc w:val="right"/>
            </w:pPr>
            <w:r>
              <w:t xml:space="preserve">Pst. endr. </w:t>
            </w:r>
            <w:r>
              <w:br/>
              <w:t>19/20</w:t>
            </w:r>
          </w:p>
        </w:tc>
      </w:tr>
      <w:tr w:rsidR="00557A6F" w:rsidTr="00557A6F">
        <w:trPr>
          <w:trHeight w:val="380"/>
        </w:trPr>
        <w:tc>
          <w:tcPr>
            <w:tcW w:w="1020" w:type="dxa"/>
          </w:tcPr>
          <w:p w:rsidR="00557A6F" w:rsidRDefault="00557A6F" w:rsidP="00557A6F">
            <w:r>
              <w:t>545</w:t>
            </w:r>
          </w:p>
        </w:tc>
        <w:tc>
          <w:tcPr>
            <w:tcW w:w="4080" w:type="dxa"/>
          </w:tcPr>
          <w:p w:rsidR="00557A6F" w:rsidRDefault="00557A6F" w:rsidP="00557A6F">
            <w:r>
              <w:t>Datatilsynet</w:t>
            </w:r>
          </w:p>
        </w:tc>
        <w:tc>
          <w:tcPr>
            <w:tcW w:w="1020" w:type="dxa"/>
          </w:tcPr>
          <w:p w:rsidR="00557A6F" w:rsidRDefault="00557A6F" w:rsidP="00557A6F">
            <w:pPr>
              <w:jc w:val="right"/>
            </w:pPr>
            <w:r>
              <w:t>52 546</w:t>
            </w:r>
          </w:p>
        </w:tc>
        <w:tc>
          <w:tcPr>
            <w:tcW w:w="1020" w:type="dxa"/>
          </w:tcPr>
          <w:p w:rsidR="00557A6F" w:rsidRDefault="00557A6F" w:rsidP="00557A6F">
            <w:pPr>
              <w:jc w:val="right"/>
            </w:pPr>
            <w:r>
              <w:t>57 672</w:t>
            </w:r>
          </w:p>
        </w:tc>
        <w:tc>
          <w:tcPr>
            <w:tcW w:w="1020" w:type="dxa"/>
          </w:tcPr>
          <w:p w:rsidR="00557A6F" w:rsidRDefault="00557A6F" w:rsidP="00557A6F">
            <w:pPr>
              <w:jc w:val="right"/>
            </w:pPr>
            <w:r>
              <w:t>66 478</w:t>
            </w:r>
          </w:p>
        </w:tc>
        <w:tc>
          <w:tcPr>
            <w:tcW w:w="1020" w:type="dxa"/>
          </w:tcPr>
          <w:p w:rsidR="00557A6F" w:rsidRDefault="00557A6F" w:rsidP="00557A6F">
            <w:pPr>
              <w:jc w:val="right"/>
            </w:pPr>
            <w:r>
              <w:t>15,3</w:t>
            </w:r>
          </w:p>
        </w:tc>
      </w:tr>
      <w:tr w:rsidR="00557A6F" w:rsidTr="00557A6F">
        <w:trPr>
          <w:trHeight w:val="380"/>
        </w:trPr>
        <w:tc>
          <w:tcPr>
            <w:tcW w:w="1020" w:type="dxa"/>
          </w:tcPr>
          <w:p w:rsidR="00557A6F" w:rsidRDefault="00557A6F" w:rsidP="00557A6F">
            <w:r>
              <w:t>546</w:t>
            </w:r>
          </w:p>
        </w:tc>
        <w:tc>
          <w:tcPr>
            <w:tcW w:w="4080" w:type="dxa"/>
          </w:tcPr>
          <w:p w:rsidR="00557A6F" w:rsidRDefault="00557A6F" w:rsidP="00557A6F">
            <w:r>
              <w:t>Personvernnemnda</w:t>
            </w:r>
          </w:p>
        </w:tc>
        <w:tc>
          <w:tcPr>
            <w:tcW w:w="1020" w:type="dxa"/>
          </w:tcPr>
          <w:p w:rsidR="00557A6F" w:rsidRDefault="00557A6F" w:rsidP="00557A6F">
            <w:pPr>
              <w:jc w:val="right"/>
            </w:pPr>
            <w:r>
              <w:t>2 013</w:t>
            </w:r>
          </w:p>
        </w:tc>
        <w:tc>
          <w:tcPr>
            <w:tcW w:w="1020" w:type="dxa"/>
          </w:tcPr>
          <w:p w:rsidR="00557A6F" w:rsidRDefault="00557A6F" w:rsidP="00557A6F">
            <w:pPr>
              <w:jc w:val="right"/>
            </w:pPr>
            <w:r>
              <w:t>2 325</w:t>
            </w:r>
          </w:p>
        </w:tc>
        <w:tc>
          <w:tcPr>
            <w:tcW w:w="1020" w:type="dxa"/>
          </w:tcPr>
          <w:p w:rsidR="00557A6F" w:rsidRDefault="00557A6F" w:rsidP="00557A6F">
            <w:pPr>
              <w:jc w:val="right"/>
            </w:pPr>
            <w:r>
              <w:t>2 564</w:t>
            </w:r>
          </w:p>
        </w:tc>
        <w:tc>
          <w:tcPr>
            <w:tcW w:w="1020" w:type="dxa"/>
          </w:tcPr>
          <w:p w:rsidR="00557A6F" w:rsidRDefault="00557A6F" w:rsidP="00557A6F">
            <w:pPr>
              <w:jc w:val="right"/>
            </w:pPr>
            <w:r>
              <w:t>10,3</w:t>
            </w:r>
          </w:p>
        </w:tc>
      </w:tr>
      <w:tr w:rsidR="00557A6F" w:rsidTr="00557A6F">
        <w:trPr>
          <w:trHeight w:val="380"/>
        </w:trPr>
        <w:tc>
          <w:tcPr>
            <w:tcW w:w="1020" w:type="dxa"/>
          </w:tcPr>
          <w:p w:rsidR="00557A6F" w:rsidRDefault="00557A6F" w:rsidP="00557A6F"/>
        </w:tc>
        <w:tc>
          <w:tcPr>
            <w:tcW w:w="4080" w:type="dxa"/>
          </w:tcPr>
          <w:p w:rsidR="00557A6F" w:rsidRDefault="00557A6F" w:rsidP="00557A6F">
            <w:r>
              <w:t>Sum kategori 13.45</w:t>
            </w:r>
          </w:p>
        </w:tc>
        <w:tc>
          <w:tcPr>
            <w:tcW w:w="1020" w:type="dxa"/>
          </w:tcPr>
          <w:p w:rsidR="00557A6F" w:rsidRDefault="00557A6F" w:rsidP="00557A6F">
            <w:pPr>
              <w:jc w:val="right"/>
            </w:pPr>
            <w:r>
              <w:t>54 559</w:t>
            </w:r>
          </w:p>
        </w:tc>
        <w:tc>
          <w:tcPr>
            <w:tcW w:w="1020" w:type="dxa"/>
          </w:tcPr>
          <w:p w:rsidR="00557A6F" w:rsidRDefault="00557A6F" w:rsidP="00557A6F">
            <w:pPr>
              <w:jc w:val="right"/>
            </w:pPr>
            <w:r>
              <w:t>59 997</w:t>
            </w:r>
          </w:p>
        </w:tc>
        <w:tc>
          <w:tcPr>
            <w:tcW w:w="1020" w:type="dxa"/>
          </w:tcPr>
          <w:p w:rsidR="00557A6F" w:rsidRDefault="00557A6F" w:rsidP="00557A6F">
            <w:pPr>
              <w:jc w:val="right"/>
            </w:pPr>
            <w:r>
              <w:t>69 042</w:t>
            </w:r>
          </w:p>
        </w:tc>
        <w:tc>
          <w:tcPr>
            <w:tcW w:w="1020" w:type="dxa"/>
          </w:tcPr>
          <w:p w:rsidR="00557A6F" w:rsidRDefault="00557A6F" w:rsidP="00557A6F">
            <w:pPr>
              <w:jc w:val="right"/>
            </w:pPr>
            <w:r>
              <w:t>15,1</w:t>
            </w:r>
          </w:p>
        </w:tc>
      </w:tr>
    </w:tbl>
    <w:p w:rsidR="00557A6F" w:rsidRDefault="00557A6F" w:rsidP="00557A6F">
      <w:pPr>
        <w:pStyle w:val="avsnitt-tittel"/>
      </w:pPr>
      <w:r>
        <w:t>Inntekter under programkategori 13.45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557A6F" w:rsidTr="00557A6F">
        <w:trPr>
          <w:trHeight w:val="640"/>
        </w:trPr>
        <w:tc>
          <w:tcPr>
            <w:tcW w:w="1020" w:type="dxa"/>
            <w:shd w:val="clear" w:color="auto" w:fill="FFFFFF"/>
          </w:tcPr>
          <w:p w:rsidR="00557A6F" w:rsidRDefault="00557A6F" w:rsidP="00557A6F">
            <w:pPr>
              <w:pStyle w:val="Tabellnavn"/>
            </w:pPr>
            <w:r>
              <w:t>PIKL</w:t>
            </w:r>
          </w:p>
        </w:tc>
        <w:tc>
          <w:tcPr>
            <w:tcW w:w="4080" w:type="dxa"/>
          </w:tcPr>
          <w:p w:rsidR="00557A6F" w:rsidRDefault="00557A6F" w:rsidP="00557A6F"/>
        </w:tc>
        <w:tc>
          <w:tcPr>
            <w:tcW w:w="1020" w:type="dxa"/>
          </w:tcPr>
          <w:p w:rsidR="00557A6F" w:rsidRDefault="00557A6F" w:rsidP="00557A6F">
            <w:pPr>
              <w:pStyle w:val="Tabellnavn"/>
              <w:jc w:val="right"/>
            </w:pPr>
          </w:p>
        </w:tc>
        <w:tc>
          <w:tcPr>
            <w:tcW w:w="1020" w:type="dxa"/>
          </w:tcPr>
          <w:p w:rsidR="00557A6F" w:rsidRDefault="00557A6F" w:rsidP="00557A6F">
            <w:pPr>
              <w:pStyle w:val="Tabellnavn"/>
              <w:jc w:val="right"/>
            </w:pPr>
          </w:p>
        </w:tc>
        <w:tc>
          <w:tcPr>
            <w:tcW w:w="1020" w:type="dxa"/>
          </w:tcPr>
          <w:p w:rsidR="00557A6F" w:rsidRDefault="00557A6F" w:rsidP="00557A6F">
            <w:pPr>
              <w:pStyle w:val="Tabellnavn"/>
              <w:jc w:val="right"/>
            </w:pPr>
          </w:p>
        </w:tc>
        <w:tc>
          <w:tcPr>
            <w:tcW w:w="1020" w:type="dxa"/>
          </w:tcPr>
          <w:p w:rsidR="00557A6F" w:rsidRDefault="00557A6F" w:rsidP="00557A6F">
            <w:pPr>
              <w:jc w:val="right"/>
            </w:pPr>
            <w:r>
              <w:t>(i 1 000 kr)</w:t>
            </w:r>
          </w:p>
        </w:tc>
      </w:tr>
      <w:tr w:rsidR="00557A6F" w:rsidTr="00557A6F">
        <w:trPr>
          <w:trHeight w:val="600"/>
        </w:trPr>
        <w:tc>
          <w:tcPr>
            <w:tcW w:w="1020" w:type="dxa"/>
          </w:tcPr>
          <w:p w:rsidR="00557A6F" w:rsidRDefault="00557A6F" w:rsidP="00557A6F">
            <w:r>
              <w:t>Kap.</w:t>
            </w:r>
          </w:p>
        </w:tc>
        <w:tc>
          <w:tcPr>
            <w:tcW w:w="4080" w:type="dxa"/>
          </w:tcPr>
          <w:p w:rsidR="00557A6F" w:rsidRDefault="00557A6F" w:rsidP="00557A6F">
            <w:r>
              <w:t>Betegnelse</w:t>
            </w:r>
          </w:p>
        </w:tc>
        <w:tc>
          <w:tcPr>
            <w:tcW w:w="1020" w:type="dxa"/>
          </w:tcPr>
          <w:p w:rsidR="00557A6F" w:rsidRDefault="00557A6F" w:rsidP="00557A6F">
            <w:pPr>
              <w:jc w:val="right"/>
            </w:pPr>
            <w:r>
              <w:t>Reg</w:t>
            </w:r>
            <w:r>
              <w:t>n</w:t>
            </w:r>
            <w:r>
              <w:t>skap 2018</w:t>
            </w:r>
          </w:p>
        </w:tc>
        <w:tc>
          <w:tcPr>
            <w:tcW w:w="1020" w:type="dxa"/>
          </w:tcPr>
          <w:p w:rsidR="00557A6F" w:rsidRDefault="00557A6F" w:rsidP="00557A6F">
            <w:pPr>
              <w:jc w:val="right"/>
            </w:pPr>
            <w:r>
              <w:t xml:space="preserve">Saldert </w:t>
            </w:r>
            <w:r>
              <w:br/>
              <w:t>budsjett 2019</w:t>
            </w:r>
          </w:p>
        </w:tc>
        <w:tc>
          <w:tcPr>
            <w:tcW w:w="1020" w:type="dxa"/>
          </w:tcPr>
          <w:p w:rsidR="00557A6F" w:rsidRDefault="00557A6F" w:rsidP="00557A6F">
            <w:pPr>
              <w:jc w:val="right"/>
            </w:pPr>
            <w:r>
              <w:t xml:space="preserve">Forslag </w:t>
            </w:r>
            <w:r>
              <w:br/>
              <w:t>2020</w:t>
            </w:r>
          </w:p>
        </w:tc>
        <w:tc>
          <w:tcPr>
            <w:tcW w:w="1020" w:type="dxa"/>
          </w:tcPr>
          <w:p w:rsidR="00557A6F" w:rsidRDefault="00557A6F" w:rsidP="00557A6F">
            <w:pPr>
              <w:jc w:val="right"/>
            </w:pPr>
            <w:r>
              <w:t xml:space="preserve">Pst. endr. </w:t>
            </w:r>
            <w:r>
              <w:br/>
              <w:t>19/20</w:t>
            </w:r>
          </w:p>
        </w:tc>
      </w:tr>
      <w:tr w:rsidR="00557A6F" w:rsidTr="00557A6F">
        <w:trPr>
          <w:trHeight w:val="380"/>
        </w:trPr>
        <w:tc>
          <w:tcPr>
            <w:tcW w:w="1020" w:type="dxa"/>
          </w:tcPr>
          <w:p w:rsidR="00557A6F" w:rsidRDefault="00557A6F" w:rsidP="00557A6F">
            <w:r>
              <w:t>3545</w:t>
            </w:r>
          </w:p>
        </w:tc>
        <w:tc>
          <w:tcPr>
            <w:tcW w:w="4080" w:type="dxa"/>
          </w:tcPr>
          <w:p w:rsidR="00557A6F" w:rsidRDefault="00557A6F" w:rsidP="00557A6F">
            <w:r>
              <w:t>Datatilsynet</w:t>
            </w:r>
          </w:p>
        </w:tc>
        <w:tc>
          <w:tcPr>
            <w:tcW w:w="1020" w:type="dxa"/>
          </w:tcPr>
          <w:p w:rsidR="00557A6F" w:rsidRDefault="00557A6F" w:rsidP="00557A6F">
            <w:pPr>
              <w:jc w:val="right"/>
            </w:pPr>
            <w:r>
              <w:t>7 581</w:t>
            </w: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p>
        </w:tc>
      </w:tr>
      <w:tr w:rsidR="00557A6F" w:rsidTr="00557A6F">
        <w:trPr>
          <w:trHeight w:val="380"/>
        </w:trPr>
        <w:tc>
          <w:tcPr>
            <w:tcW w:w="1020" w:type="dxa"/>
          </w:tcPr>
          <w:p w:rsidR="00557A6F" w:rsidRDefault="00557A6F" w:rsidP="00557A6F"/>
        </w:tc>
        <w:tc>
          <w:tcPr>
            <w:tcW w:w="4080" w:type="dxa"/>
          </w:tcPr>
          <w:p w:rsidR="00557A6F" w:rsidRDefault="00557A6F" w:rsidP="00557A6F">
            <w:r>
              <w:t>Sum kategori 13.45</w:t>
            </w:r>
          </w:p>
        </w:tc>
        <w:tc>
          <w:tcPr>
            <w:tcW w:w="1020" w:type="dxa"/>
          </w:tcPr>
          <w:p w:rsidR="00557A6F" w:rsidRDefault="00557A6F" w:rsidP="00557A6F">
            <w:pPr>
              <w:jc w:val="right"/>
            </w:pPr>
            <w:r>
              <w:t>7 581</w:t>
            </w: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p>
        </w:tc>
      </w:tr>
    </w:tbl>
    <w:p w:rsidR="00557A6F" w:rsidRDefault="00557A6F" w:rsidP="00557A6F">
      <w:pPr>
        <w:pStyle w:val="Undertittel"/>
      </w:pPr>
      <w:r>
        <w:t>Ansvarsområder</w:t>
      </w:r>
    </w:p>
    <w:p w:rsidR="00557A6F" w:rsidRDefault="00557A6F" w:rsidP="00557A6F">
      <w:r>
        <w:t>Kommunal- og moderniseringsdepartementet har det overordnede ansvaret for personvernpoliti</w:t>
      </w:r>
      <w:r>
        <w:t>k</w:t>
      </w:r>
      <w:r>
        <w:t>ken og ansvaret for personopplysningsforskriften, samt administrativt ansvar for Datatilsynet og Personvernnemnda. Ansvaret for personopplysningsloven ligger i Justis- og beredskapsdepart</w:t>
      </w:r>
      <w:r>
        <w:t>e</w:t>
      </w:r>
      <w:r>
        <w:t>mentet. Det enkelte departement har ansvaret for at personvernregelverket følges og at perso</w:t>
      </w:r>
      <w:r>
        <w:t>n</w:t>
      </w:r>
      <w:r>
        <w:t>vernhensyn ivaretas i deres sektor.</w:t>
      </w:r>
    </w:p>
    <w:p w:rsidR="00557A6F" w:rsidRDefault="00557A6F" w:rsidP="00557A6F">
      <w:r>
        <w:t>Datatilsynet er et faglig uavhengig forvaltningsorgan opprettet i medhold av personopplysningsl</w:t>
      </w:r>
      <w:r>
        <w:t>o</w:t>
      </w:r>
      <w:r>
        <w:t>ven § 20 jf. personvernforordningen artikkel 51. Tilsynet skal kontrollere at personvernregelverket følges, veilede om behandling av personopplysninger og behandle klager på behandling av pe</w:t>
      </w:r>
      <w:r>
        <w:t>r</w:t>
      </w:r>
      <w:r>
        <w:t>sonopplysninger. De skal også oppmuntre til utarbeidelse av atferdsnormer og mekanismer for personvernsertifisering, holde seg orientert om utviklingen på personvernområdet og delta i inte</w:t>
      </w:r>
      <w:r>
        <w:t>r</w:t>
      </w:r>
      <w:r>
        <w:t>nasjonalt personvernsamarbeid.</w:t>
      </w:r>
    </w:p>
    <w:p w:rsidR="00557A6F" w:rsidRDefault="00557A6F" w:rsidP="00557A6F">
      <w:r>
        <w:t>Personvernnemnda er klageorgan for vedtak fattet av Datatilsynet. Nemndas oppgaver og organis</w:t>
      </w:r>
      <w:r>
        <w:t>e</w:t>
      </w:r>
      <w:r>
        <w:t>ring følger av personopplysningsloven § 22 med forskrifter.</w:t>
      </w:r>
    </w:p>
    <w:p w:rsidR="00557A6F" w:rsidRDefault="00557A6F" w:rsidP="00557A6F">
      <w:r>
        <w:t>Departementet legger årlig fram en melding til Stortinget om Datatilsynets og Personvernnemndas virksomhet.</w:t>
      </w:r>
    </w:p>
    <w:p w:rsidR="00557A6F" w:rsidRDefault="00557A6F" w:rsidP="00557A6F">
      <w:r>
        <w:t>Programkategorien omfatter bevilgninger til Datatilsynet og Personvernnemnda.</w:t>
      </w:r>
    </w:p>
    <w:p w:rsidR="00557A6F" w:rsidRDefault="00557A6F" w:rsidP="00557A6F">
      <w:pPr>
        <w:pStyle w:val="Undertittel"/>
      </w:pPr>
      <w:r>
        <w:t>Utviklingstrekk og utfordringer</w:t>
      </w:r>
    </w:p>
    <w:p w:rsidR="00557A6F" w:rsidRDefault="00557A6F" w:rsidP="00557A6F">
      <w:r>
        <w:t>Stadig flere tjenester og teknologiske hjelpemidler er koblet til internett. Innbyggernes bruk av di</w:t>
      </w:r>
      <w:r>
        <w:t>s</w:t>
      </w:r>
      <w:r>
        <w:t>se genererer enorme informasjonsmengder. Informasjonen er verdifull i produksjon og utvikling av en rekke tjenester. Enkel og rimelig tilgang til enorme mengder data kan utfordre personvernet og innbyggernes tillit til at personvernet ivaretas. Samtidig åpner teknologi muligheter for å ivareta personvernet, og der</w:t>
      </w:r>
      <w:r>
        <w:lastRenderedPageBreak/>
        <w:t xml:space="preserve">igjennom </w:t>
      </w:r>
      <w:proofErr w:type="gramStart"/>
      <w:r>
        <w:t>håndtere</w:t>
      </w:r>
      <w:proofErr w:type="gramEnd"/>
      <w:r>
        <w:t xml:space="preserve"> de utfordringene registrering og behandling av personop</w:t>
      </w:r>
      <w:r>
        <w:t>p</w:t>
      </w:r>
      <w:r>
        <w:t>lysninger kan by på. Personvernspørsmål må drøftes tidlig i utredningsprosesser slik at de r</w:t>
      </w:r>
      <w:r>
        <w:t>e</w:t>
      </w:r>
      <w:r>
        <w:t>gistrertes personvern kan ivaretas best mulig. Personvernregelverket forutsetter bruk av innebygd personvern og personvern som standardinnstilling. Løsninger skal designes slik at personvernhe</w:t>
      </w:r>
      <w:r>
        <w:t>n</w:t>
      </w:r>
      <w:r>
        <w:t>syn ivaretas og personvernvennlige altern</w:t>
      </w:r>
      <w:r>
        <w:t>a</w:t>
      </w:r>
      <w:r>
        <w:t>tiver er forhåndsprogrammerte førstevalg.</w:t>
      </w:r>
    </w:p>
    <w:p w:rsidR="00557A6F" w:rsidRDefault="00557A6F" w:rsidP="00557A6F">
      <w:r>
        <w:t>Digitale tjenester er effektivt både for innbyggerne og forvaltningen. Bruk av digitale løsninger forutsetter at innbyggerne har tillit til systemene og teknologien. Stabile, pålitelige og personver</w:t>
      </w:r>
      <w:r>
        <w:t>n</w:t>
      </w:r>
      <w:r>
        <w:t>vennlige systemer er grun</w:t>
      </w:r>
      <w:r>
        <w:t>n</w:t>
      </w:r>
      <w:r>
        <w:t>leggende for innbyggernes vilje til elektronisk samhandling med både forvaltningen og næringslivet.</w:t>
      </w:r>
    </w:p>
    <w:p w:rsidR="00557A6F" w:rsidRDefault="00557A6F" w:rsidP="00557A6F">
      <w:r>
        <w:t>Internasjonal informasjonsutveksling øker. Internasjonalt personvernregelverk har stor betydning også for norske borgere og virksomheter. Personopplysningsloven gjennomfører EUs forordning 2016/679 om vern av personopplysninger i norsk rett. Forordningen forutsetter et betydelig sama</w:t>
      </w:r>
      <w:r>
        <w:t>r</w:t>
      </w:r>
      <w:r>
        <w:t>beid mellom europeiske personvernmy</w:t>
      </w:r>
      <w:r>
        <w:t>n</w:t>
      </w:r>
      <w:r>
        <w:t>digheter både for å løse enkeltsaker og mer overgripende personvernutfordringer. Også virksomheter basert utenfor Europa, men som retter tjenester til e</w:t>
      </w:r>
      <w:r>
        <w:t>u</w:t>
      </w:r>
      <w:r>
        <w:t>ropeiske borgere, må forholde seg til europeisk personvernrege</w:t>
      </w:r>
      <w:r>
        <w:t>l</w:t>
      </w:r>
      <w:r>
        <w:t>verk. Personvernreglene som trådte i kraft i 2018 har ført til økt oppmerksomhet om personvern.</w:t>
      </w:r>
    </w:p>
    <w:p w:rsidR="00557A6F" w:rsidRDefault="00557A6F" w:rsidP="00557A6F">
      <w:pPr>
        <w:pStyle w:val="Undertittel"/>
      </w:pPr>
      <w:r>
        <w:t>Mål og rapportering, strategier og tiltak</w:t>
      </w:r>
    </w:p>
    <w:p w:rsidR="007F3140" w:rsidRPr="007F3140" w:rsidRDefault="007F3140" w:rsidP="007F3140">
      <w:pPr>
        <w:pStyle w:val="tabell-tittel"/>
      </w:pPr>
      <w:r>
        <w:t>Mål for programkategori 13.45 Personvern</w:t>
      </w:r>
    </w:p>
    <w:p w:rsidR="00557A6F" w:rsidRDefault="00557A6F" w:rsidP="00557A6F">
      <w:pPr>
        <w:pStyle w:val="Tabellnavn"/>
      </w:pPr>
      <w:r>
        <w:t>02J0xx2</w:t>
      </w:r>
    </w:p>
    <w:tbl>
      <w:tblPr>
        <w:tblStyle w:val="StandardTabell"/>
        <w:tblW w:w="0" w:type="auto"/>
        <w:tblLayout w:type="fixed"/>
        <w:tblLook w:val="04A0" w:firstRow="1" w:lastRow="0" w:firstColumn="1" w:lastColumn="0" w:noHBand="0" w:noVBand="1"/>
      </w:tblPr>
      <w:tblGrid>
        <w:gridCol w:w="9200"/>
      </w:tblGrid>
      <w:tr w:rsidR="00557A6F" w:rsidTr="00557A6F">
        <w:trPr>
          <w:trHeight w:val="380"/>
        </w:trPr>
        <w:tc>
          <w:tcPr>
            <w:tcW w:w="9200" w:type="dxa"/>
          </w:tcPr>
          <w:p w:rsidR="00557A6F" w:rsidRDefault="00557A6F" w:rsidP="00557A6F">
            <w:r>
              <w:t>1.</w:t>
            </w:r>
            <w:r>
              <w:tab/>
              <w:t>Et godt personvern for alle</w:t>
            </w:r>
          </w:p>
        </w:tc>
      </w:tr>
    </w:tbl>
    <w:p w:rsidR="00557A6F" w:rsidRDefault="00557A6F" w:rsidP="00557A6F">
      <w:pPr>
        <w:pStyle w:val="avsnitt-tittel"/>
      </w:pPr>
      <w:r>
        <w:t>Mål 1 Et godt personvern for alle</w:t>
      </w:r>
    </w:p>
    <w:p w:rsidR="00557A6F" w:rsidRDefault="00557A6F" w:rsidP="00557A6F">
      <w:r>
        <w:t>Personvern som menneskerett følger av både Den europeiske menneskerettskonvensjonen artikkel 8 og av Grunnloven § 102. Personvernhensyn gjør seg gjeldende på alle områder der personop</w:t>
      </w:r>
      <w:r>
        <w:t>p</w:t>
      </w:r>
      <w:r>
        <w:t>lysninger samles inn og behandles. Regler både i Grunnloven, personopplysningsloven og i sæ</w:t>
      </w:r>
      <w:r>
        <w:t>r</w:t>
      </w:r>
      <w:r>
        <w:t>lovgivning skal beskytte den enkelte mot at personvernet blir krenket ved behandling av perso</w:t>
      </w:r>
      <w:r>
        <w:t>n</w:t>
      </w:r>
      <w:r>
        <w:t>opplysninger, og ivareta enkeltindividets personlige integritet. Kjennskap til og forståelse for re</w:t>
      </w:r>
      <w:r>
        <w:t>g</w:t>
      </w:r>
      <w:r>
        <w:t>lene er viktig. Departementets arbeid skal støtte opp om Datatilsynets aktiviteter og tiltak i samsvar med de oppgaver tilsynet er gitt i personvernregelverket.</w:t>
      </w:r>
    </w:p>
    <w:p w:rsidR="00557A6F" w:rsidRDefault="00557A6F" w:rsidP="00557A6F">
      <w:r>
        <w:t>Personopplysningsvern, som personopplysningsloven og personvernforordningen ivaretar, og vern av den pe</w:t>
      </w:r>
      <w:r>
        <w:t>r</w:t>
      </w:r>
      <w:r>
        <w:t>sonlige integritet, privatliv og familieliv, er grunnleggende og nødvendige verdier i et demokratisk samfunn. Noen prinsipper står sentralt i lovgivningen:</w:t>
      </w:r>
    </w:p>
    <w:p w:rsidR="00557A6F" w:rsidRDefault="00557A6F" w:rsidP="00557A6F">
      <w:pPr>
        <w:pStyle w:val="Liste"/>
      </w:pPr>
      <w:r>
        <w:t>Personopplysninger kan bare samles inn og brukes til klart definerte formål som er saklig begrunnet i den behandlingsansvarliges virksomhet.</w:t>
      </w:r>
    </w:p>
    <w:p w:rsidR="00557A6F" w:rsidRDefault="00557A6F" w:rsidP="00557A6F">
      <w:pPr>
        <w:pStyle w:val="Liste"/>
      </w:pPr>
      <w:r>
        <w:t>All behandling av personopplysninger skal ha et rettslig grunnlag.</w:t>
      </w:r>
    </w:p>
    <w:p w:rsidR="00557A6F" w:rsidRDefault="00557A6F" w:rsidP="00557A6F">
      <w:pPr>
        <w:pStyle w:val="Liste"/>
      </w:pPr>
      <w:r>
        <w:t>Den som behandler personopplysninger, skal gi de registrerte innsyn i opplysningene som er lagret om dem, og gi informasjon om behandlingen.</w:t>
      </w:r>
    </w:p>
    <w:p w:rsidR="00557A6F" w:rsidRDefault="00557A6F" w:rsidP="00557A6F">
      <w:pPr>
        <w:pStyle w:val="Liste"/>
      </w:pPr>
      <w:r>
        <w:t>Registrerte personopplysninger skal være korrekte. Feil skal rettes.</w:t>
      </w:r>
    </w:p>
    <w:p w:rsidR="00557A6F" w:rsidRDefault="00557A6F" w:rsidP="00557A6F">
      <w:pPr>
        <w:pStyle w:val="Liste"/>
      </w:pPr>
      <w:r>
        <w:t>Informasjonssikkerhet skal ivaretas. Systemer og rutiner for ivaretakelse av personvernr</w:t>
      </w:r>
      <w:r>
        <w:t>e</w:t>
      </w:r>
      <w:r>
        <w:t>gelverket skal dokumenteres.</w:t>
      </w:r>
    </w:p>
    <w:p w:rsidR="00557A6F" w:rsidRDefault="00557A6F" w:rsidP="00557A6F">
      <w:pPr>
        <w:pStyle w:val="Liste"/>
      </w:pPr>
      <w:r>
        <w:t>Når nye teknologiske løsninger utvikles, skal det legges vekt på innebygd personvern og personvern som standardinnstilling.</w:t>
      </w:r>
    </w:p>
    <w:p w:rsidR="00557A6F" w:rsidRDefault="00557A6F" w:rsidP="00557A6F">
      <w:pPr>
        <w:pStyle w:val="avsnitt-undertittel"/>
      </w:pPr>
      <w:r>
        <w:t>Rapport, strategier og tiltak</w:t>
      </w:r>
    </w:p>
    <w:p w:rsidR="00557A6F" w:rsidRDefault="00557A6F" w:rsidP="00557A6F">
      <w:r>
        <w:t>Det finnes i dag knapt noen teknologiske eller geografiske grenser for innsamling og bruk av pe</w:t>
      </w:r>
      <w:r>
        <w:t>r</w:t>
      </w:r>
      <w:r>
        <w:t>sonopplysninger. Det ligger store verdier i god bruk av personopplysninger. De kommersielle dr</w:t>
      </w:r>
      <w:r>
        <w:t>i</w:t>
      </w:r>
      <w:r>
        <w:t>verne for innsamling og bruk av opplysninger er sterke. De rettslige rammene for å sikre ivaret</w:t>
      </w:r>
      <w:r>
        <w:t>a</w:t>
      </w:r>
      <w:r>
        <w:t>kelse av personvernet er derfor viktige.</w:t>
      </w:r>
    </w:p>
    <w:p w:rsidR="00557A6F" w:rsidRDefault="00557A6F" w:rsidP="00557A6F">
      <w:r>
        <w:lastRenderedPageBreak/>
        <w:t>Et oppdatert regelverk, Datatilsynets virksomhet, Personvernnemnda som uavhengig overpr</w:t>
      </w:r>
      <w:r>
        <w:t>ø</w:t>
      </w:r>
      <w:r>
        <w:t>vingsinstans og et robust internasjonalt personvernsamarbeid skal bidra til å sikre et forsvarlig pe</w:t>
      </w:r>
      <w:r>
        <w:t>r</w:t>
      </w:r>
      <w:r>
        <w:t>sonvern. Både offentlige og pr</w:t>
      </w:r>
      <w:r>
        <w:t>i</w:t>
      </w:r>
      <w:r>
        <w:t>vate virksomheter har ansvar for å kjenne og handle i samsvar med personvernlovgivningen. Hensynet til effekt</w:t>
      </w:r>
      <w:r>
        <w:t>i</w:t>
      </w:r>
      <w:r>
        <w:t>vitet og informasjonsutveksling må balanseres med hensynet til personvern. Jo tidligere personvernhensyn ident</w:t>
      </w:r>
      <w:r>
        <w:t>i</w:t>
      </w:r>
      <w:r>
        <w:t>fiseres og veies mot andre hensyn, jo enklere er det å finne gode lø</w:t>
      </w:r>
      <w:r>
        <w:t>s</w:t>
      </w:r>
      <w:r>
        <w:t>ninger. Regjeringen vil videreføre arbeidet for at personvern skal tidlig inn i utredningsprosesser, og at offentlig sektor ivaretar prinsippet om innebygd perso</w:t>
      </w:r>
      <w:r>
        <w:t>n</w:t>
      </w:r>
      <w:r>
        <w:t>vern.</w:t>
      </w:r>
    </w:p>
    <w:p w:rsidR="00557A6F" w:rsidRDefault="00557A6F" w:rsidP="00557A6F">
      <w:r>
        <w:t>Datatilsynet har avdekket at mange virksomheter har mangelfulle rutiner for behandling av pe</w:t>
      </w:r>
      <w:r>
        <w:t>r</w:t>
      </w:r>
      <w:r>
        <w:t>sonopplysninger. Tilsynsmyndigheten legger derfor vekt på å informere om verdien av og plikten til å ha gode og dokumenterte rutiner for behandling av personopplysninger.</w:t>
      </w:r>
    </w:p>
    <w:p w:rsidR="00557A6F" w:rsidRDefault="00557A6F" w:rsidP="00557A6F">
      <w:r>
        <w:t>Både departementet og Datatilsynet deltar i nasjonalt og internasjonalt samarbeid for et oppdatert regelverk som ivaretar den enkeltes personvern. Effektiv håndheving av reglene forutsetter en kompetent sektormyndighet med tilstrekkelige ressurser. I 2020 vil betydelige ressurser gå til å tilpasse virksomh</w:t>
      </w:r>
      <w:r>
        <w:t>e</w:t>
      </w:r>
      <w:r>
        <w:t>ten til å håndtere oppgaver etter nytt personvernregelverk.</w:t>
      </w:r>
    </w:p>
    <w:p w:rsidR="00557A6F" w:rsidRDefault="00557A6F" w:rsidP="00557A6F">
      <w:pPr>
        <w:pStyle w:val="b-budkaptit"/>
      </w:pPr>
      <w:r>
        <w:t>Kap. 545 Datatilsynet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7A6F" w:rsidTr="00557A6F">
        <w:trPr>
          <w:trHeight w:val="640"/>
        </w:trPr>
        <w:tc>
          <w:tcPr>
            <w:tcW w:w="1140" w:type="dxa"/>
            <w:shd w:val="clear" w:color="auto" w:fill="FFFFFF"/>
          </w:tcPr>
          <w:p w:rsidR="00557A6F" w:rsidRDefault="00557A6F" w:rsidP="00557A6F">
            <w:pPr>
              <w:pStyle w:val="Tabellnavn"/>
            </w:pPr>
            <w:r>
              <w:t>KPAL</w:t>
            </w:r>
          </w:p>
        </w:tc>
        <w:tc>
          <w:tcPr>
            <w:tcW w:w="4560" w:type="dxa"/>
          </w:tcPr>
          <w:p w:rsidR="00557A6F" w:rsidRDefault="00557A6F" w:rsidP="00557A6F"/>
        </w:tc>
        <w:tc>
          <w:tcPr>
            <w:tcW w:w="1140" w:type="dxa"/>
          </w:tcPr>
          <w:p w:rsidR="00557A6F" w:rsidRDefault="00557A6F" w:rsidP="00557A6F">
            <w:pPr>
              <w:pStyle w:val="Tabellnavn"/>
              <w:jc w:val="right"/>
            </w:pPr>
          </w:p>
        </w:tc>
        <w:tc>
          <w:tcPr>
            <w:tcW w:w="1140" w:type="dxa"/>
          </w:tcPr>
          <w:p w:rsidR="00557A6F" w:rsidRDefault="00557A6F" w:rsidP="00557A6F">
            <w:pPr>
              <w:pStyle w:val="Tabellnavn"/>
              <w:jc w:val="right"/>
            </w:pPr>
          </w:p>
        </w:tc>
        <w:tc>
          <w:tcPr>
            <w:tcW w:w="1140" w:type="dxa"/>
          </w:tcPr>
          <w:p w:rsidR="00557A6F" w:rsidRDefault="00557A6F" w:rsidP="00557A6F">
            <w:pPr>
              <w:jc w:val="right"/>
            </w:pPr>
            <w:r>
              <w:t>(i 1 000 kr)</w:t>
            </w:r>
          </w:p>
        </w:tc>
      </w:tr>
      <w:tr w:rsidR="00557A6F" w:rsidTr="00557A6F">
        <w:trPr>
          <w:trHeight w:val="600"/>
        </w:trPr>
        <w:tc>
          <w:tcPr>
            <w:tcW w:w="1140" w:type="dxa"/>
          </w:tcPr>
          <w:p w:rsidR="00557A6F" w:rsidRDefault="00557A6F" w:rsidP="00557A6F">
            <w:r>
              <w:t>Post</w:t>
            </w:r>
          </w:p>
        </w:tc>
        <w:tc>
          <w:tcPr>
            <w:tcW w:w="4560" w:type="dxa"/>
          </w:tcPr>
          <w:p w:rsidR="00557A6F" w:rsidRDefault="00557A6F" w:rsidP="00557A6F">
            <w:r>
              <w:t>Betegnelse</w:t>
            </w:r>
          </w:p>
        </w:tc>
        <w:tc>
          <w:tcPr>
            <w:tcW w:w="1140" w:type="dxa"/>
          </w:tcPr>
          <w:p w:rsidR="00557A6F" w:rsidRDefault="00557A6F" w:rsidP="00557A6F">
            <w:pPr>
              <w:jc w:val="right"/>
            </w:pPr>
            <w:r>
              <w:t>Regnskap 2018</w:t>
            </w:r>
          </w:p>
        </w:tc>
        <w:tc>
          <w:tcPr>
            <w:tcW w:w="1140" w:type="dxa"/>
          </w:tcPr>
          <w:p w:rsidR="00557A6F" w:rsidRDefault="00557A6F" w:rsidP="00557A6F">
            <w:pPr>
              <w:jc w:val="right"/>
            </w:pPr>
            <w:r>
              <w:t xml:space="preserve">Saldert </w:t>
            </w:r>
            <w:r>
              <w:br/>
              <w:t>budsjett 2019</w:t>
            </w:r>
          </w:p>
        </w:tc>
        <w:tc>
          <w:tcPr>
            <w:tcW w:w="1140" w:type="dxa"/>
          </w:tcPr>
          <w:p w:rsidR="00557A6F" w:rsidRDefault="00557A6F" w:rsidP="00557A6F">
            <w:pPr>
              <w:jc w:val="right"/>
            </w:pPr>
            <w:r>
              <w:t xml:space="preserve">Forslag </w:t>
            </w:r>
            <w:r>
              <w:br/>
              <w:t>2020</w:t>
            </w:r>
          </w:p>
        </w:tc>
      </w:tr>
      <w:tr w:rsidR="00557A6F" w:rsidTr="00557A6F">
        <w:trPr>
          <w:trHeight w:val="380"/>
        </w:trPr>
        <w:tc>
          <w:tcPr>
            <w:tcW w:w="1140" w:type="dxa"/>
          </w:tcPr>
          <w:p w:rsidR="00557A6F" w:rsidRDefault="00557A6F" w:rsidP="00557A6F">
            <w:r>
              <w:t>01</w:t>
            </w:r>
          </w:p>
        </w:tc>
        <w:tc>
          <w:tcPr>
            <w:tcW w:w="4560" w:type="dxa"/>
          </w:tcPr>
          <w:p w:rsidR="00557A6F" w:rsidRDefault="00557A6F" w:rsidP="00557A6F">
            <w:r>
              <w:t xml:space="preserve">Driftsutgifter </w:t>
            </w:r>
          </w:p>
        </w:tc>
        <w:tc>
          <w:tcPr>
            <w:tcW w:w="1140" w:type="dxa"/>
          </w:tcPr>
          <w:p w:rsidR="00557A6F" w:rsidRDefault="00557A6F" w:rsidP="00557A6F">
            <w:pPr>
              <w:jc w:val="right"/>
            </w:pPr>
            <w:r>
              <w:t>52 546</w:t>
            </w:r>
          </w:p>
        </w:tc>
        <w:tc>
          <w:tcPr>
            <w:tcW w:w="1140" w:type="dxa"/>
          </w:tcPr>
          <w:p w:rsidR="00557A6F" w:rsidRDefault="00557A6F" w:rsidP="00557A6F">
            <w:pPr>
              <w:jc w:val="right"/>
            </w:pPr>
            <w:r>
              <w:t>57 672</w:t>
            </w:r>
          </w:p>
        </w:tc>
        <w:tc>
          <w:tcPr>
            <w:tcW w:w="1140" w:type="dxa"/>
          </w:tcPr>
          <w:p w:rsidR="00557A6F" w:rsidRDefault="00557A6F" w:rsidP="00557A6F">
            <w:pPr>
              <w:jc w:val="right"/>
            </w:pPr>
            <w:r>
              <w:t>66 478</w:t>
            </w:r>
          </w:p>
        </w:tc>
      </w:tr>
      <w:tr w:rsidR="00557A6F" w:rsidTr="00557A6F">
        <w:trPr>
          <w:trHeight w:val="380"/>
        </w:trPr>
        <w:tc>
          <w:tcPr>
            <w:tcW w:w="1140" w:type="dxa"/>
          </w:tcPr>
          <w:p w:rsidR="00557A6F" w:rsidRDefault="00557A6F" w:rsidP="00557A6F"/>
        </w:tc>
        <w:tc>
          <w:tcPr>
            <w:tcW w:w="4560" w:type="dxa"/>
          </w:tcPr>
          <w:p w:rsidR="00557A6F" w:rsidRDefault="00557A6F" w:rsidP="00557A6F">
            <w:r>
              <w:t>Sum kap. 0545</w:t>
            </w:r>
          </w:p>
        </w:tc>
        <w:tc>
          <w:tcPr>
            <w:tcW w:w="1140" w:type="dxa"/>
          </w:tcPr>
          <w:p w:rsidR="00557A6F" w:rsidRDefault="00557A6F" w:rsidP="00557A6F">
            <w:pPr>
              <w:jc w:val="right"/>
            </w:pPr>
            <w:r>
              <w:t>52 546</w:t>
            </w:r>
          </w:p>
        </w:tc>
        <w:tc>
          <w:tcPr>
            <w:tcW w:w="1140" w:type="dxa"/>
          </w:tcPr>
          <w:p w:rsidR="00557A6F" w:rsidRDefault="00557A6F" w:rsidP="00557A6F">
            <w:pPr>
              <w:jc w:val="right"/>
            </w:pPr>
            <w:r>
              <w:t>57 672</w:t>
            </w:r>
          </w:p>
        </w:tc>
        <w:tc>
          <w:tcPr>
            <w:tcW w:w="1140" w:type="dxa"/>
          </w:tcPr>
          <w:p w:rsidR="00557A6F" w:rsidRDefault="00557A6F" w:rsidP="00557A6F">
            <w:pPr>
              <w:jc w:val="right"/>
            </w:pPr>
            <w:r>
              <w:t>66 478</w:t>
            </w:r>
          </w:p>
        </w:tc>
      </w:tr>
    </w:tbl>
    <w:p w:rsidR="00557A6F" w:rsidRDefault="00557A6F" w:rsidP="00557A6F">
      <w:r>
        <w:t>Datatilsynet har både tilsyns- og ombudsoppgaver. Tilsynsoppgavene følger blant annet av pe</w:t>
      </w:r>
      <w:r>
        <w:t>r</w:t>
      </w:r>
      <w:r>
        <w:t>sonopplysningsloven og personvernforordningen, pasientjournalloven, helseregisterloven, hels</w:t>
      </w:r>
      <w:r>
        <w:t>e</w:t>
      </w:r>
      <w:r>
        <w:t>forskningsloven, politiregisterloven og lov om Schengen informasjonssystem. Tilsyn, saksbehan</w:t>
      </w:r>
      <w:r>
        <w:t>d</w:t>
      </w:r>
      <w:r>
        <w:t>ling og andre virkemidler brukes for kontroll av at regelverket blir fulgt og at mangler rettes. O</w:t>
      </w:r>
      <w:r>
        <w:t>m</w:t>
      </w:r>
      <w:r>
        <w:t>budsrollen krever at det tas tydelig stilling i personvernspørsmål.</w:t>
      </w:r>
    </w:p>
    <w:p w:rsidR="00557A6F" w:rsidRDefault="00557A6F" w:rsidP="00557A6F">
      <w:pPr>
        <w:pStyle w:val="b-post"/>
      </w:pPr>
      <w:r>
        <w:t>Post 01 Driftsutgifter</w:t>
      </w:r>
    </w:p>
    <w:p w:rsidR="00557A6F" w:rsidRDefault="00557A6F" w:rsidP="00557A6F">
      <w:r>
        <w:t>Bevilgningen dekker drift av Datatilsynets løpende oppgaver, samt kostnader ved tilpasning til personvernregelverket som trådte i kraft i 2018.</w:t>
      </w:r>
    </w:p>
    <w:p w:rsidR="00557A6F" w:rsidRDefault="00557A6F" w:rsidP="00557A6F">
      <w:pPr>
        <w:pStyle w:val="avsnitt-tittel"/>
      </w:pPr>
      <w:r>
        <w:t xml:space="preserve">Rapport </w:t>
      </w:r>
    </w:p>
    <w:p w:rsidR="00557A6F" w:rsidRDefault="00557A6F" w:rsidP="00557A6F">
      <w:r>
        <w:t>Datatilsynet har i 2018 bygget kompetanse internt og forberedt organisasjonen på å håndtere op</w:t>
      </w:r>
      <w:r>
        <w:t>p</w:t>
      </w:r>
      <w:r>
        <w:t>gaver etter ny personvernlovgivning, herunder modernisert intern IKT-infrastruktur, utviklet og etablert forval</w:t>
      </w:r>
      <w:r>
        <w:t>t</w:t>
      </w:r>
      <w:r>
        <w:t>ningspraksis tilpasset nytt regelverk og avviklet saker etter gammelt regelverk. I tillegg har de forberedt behandlingsansvarlige virksomheter på å etterleve det nye regelverket, u</w:t>
      </w:r>
      <w:r>
        <w:t>t</w:t>
      </w:r>
      <w:r>
        <w:t>arbeidet veiledninger og gjort personvernombudsordningen kjent.</w:t>
      </w:r>
    </w:p>
    <w:p w:rsidR="00557A6F" w:rsidRDefault="00557A6F" w:rsidP="00557A6F">
      <w:r>
        <w:t>Datatilsynet har prioritert EU-/EØS-relatert personvernarbeid, samarbeid med de nordiske datati</w:t>
      </w:r>
      <w:r>
        <w:t>l</w:t>
      </w:r>
      <w:r>
        <w:t>synene samt møter i Personvernrådet og flere av dets ekspertundergrupper. Tilsynet har også deltatt i arbeidet med flere re</w:t>
      </w:r>
      <w:r>
        <w:t>s</w:t>
      </w:r>
      <w:r>
        <w:t>surskrevende internasjonale saker. I 2018 registrerte Datatilsynet 2 654 nye saker, en betydelig økning fra 2017. Det ble fattet 13 vedtak om overtredelsesgebyr, hvorav ett etter ny lovgivning. Ni av de 13 overtredelsesgebyrene ble gitt til ulike helseforetak for brudd på personopplysningslovens regler om informasjonssikkerhet. Datatilsynet mottok i perioden 1 276 avviksmeldinger, en tredobling fra 2017. 821 avviksmeldinger kom etter at nytt rege</w:t>
      </w:r>
      <w:r>
        <w:t>l</w:t>
      </w:r>
      <w:r>
        <w:t>verk trådte i kraft i juli 2018, og antall meldte avvik øker stadig.</w:t>
      </w:r>
    </w:p>
    <w:p w:rsidR="00557A6F" w:rsidRDefault="00557A6F" w:rsidP="00557A6F">
      <w:r>
        <w:lastRenderedPageBreak/>
        <w:t>Datatilsynet avga 36 høringsuttalelser med dels omfattende merknader, blant annet om behovet for utredning av personvernkonsekvenser. Tilsynet vektlegger informasjons- og veiledningsarbeid. Det ble publisert ni nye veil</w:t>
      </w:r>
      <w:r>
        <w:t>e</w:t>
      </w:r>
      <w:r>
        <w:t>dere som skal hjelpe norske virksomheter til å etterleve personvernreglene, blant annet om personvernprinsipper, behandlingsgrunnlag, atferdsnormer og kunstig intelligens. Nye netts</w:t>
      </w:r>
      <w:r>
        <w:t>i</w:t>
      </w:r>
      <w:r>
        <w:t>der ble publisert.</w:t>
      </w:r>
    </w:p>
    <w:p w:rsidR="00557A6F" w:rsidRDefault="00557A6F" w:rsidP="00557A6F">
      <w:r>
        <w:t>I 2018 holdt Datatilsynet 257 foredrag, og det ble registrert 11 971 henvendelser om personvern til tilsynets veiledningstjeneste, en økning på ca. 10 pst. fra 2017. Tilsynet publiserte flere debatt- og blog</w:t>
      </w:r>
      <w:r>
        <w:t>g</w:t>
      </w:r>
      <w:r>
        <w:t>innlegg, besvarte 698 mediehenvendelser og fikk 4 239 medieoppslag.</w:t>
      </w:r>
    </w:p>
    <w:p w:rsidR="00557A6F" w:rsidRDefault="00557A6F" w:rsidP="00557A6F">
      <w:r>
        <w:t>Tilsynsvirksomhet er et strategisk virkemiddel for å avklare praksis og etterlevelse av regelverk. I 2018 ble det gjennomført 196 brevlige tilsyn. 177 kontrollerte opprettelse av personvernombud i offentlige virksomheter, og 19 var tilsyn med organer i helsesektoren.</w:t>
      </w:r>
    </w:p>
    <w:p w:rsidR="00557A6F" w:rsidRDefault="00557A6F" w:rsidP="00557A6F">
      <w:pPr>
        <w:pStyle w:val="avsnitt-tittel"/>
      </w:pPr>
      <w:r>
        <w:t>Budsjettforslag</w:t>
      </w:r>
    </w:p>
    <w:p w:rsidR="00557A6F" w:rsidRDefault="00557A6F" w:rsidP="00557A6F">
      <w:r>
        <w:t>I 2018 og 2019 ble bevilgningen økt med henholdsvis 11 og 2 mill. kroner for å dekke kostnader ved ti</w:t>
      </w:r>
      <w:r>
        <w:t>l</w:t>
      </w:r>
      <w:r>
        <w:t>pasning til nytt personvernregelverk. I 2020 foreslås det en ytterligere økning på 7,8 mill. kroner. Midlene skal dekke bemanningsbehov, ressurser til videreutvikling og drift av IKT-systemer, nye digitale komm</w:t>
      </w:r>
      <w:r>
        <w:t>u</w:t>
      </w:r>
      <w:r>
        <w:t>nikasjonsløsninger, informasjons- og kommunikasjonstiltak, kompetanseutvikling, kostnader knyttet til økt deltakelse i internasjonalt personvernarbeid og lo</w:t>
      </w:r>
      <w:r>
        <w:t>v</w:t>
      </w:r>
      <w:r>
        <w:t>pålagt samhandling med andre personvernmy</w:t>
      </w:r>
      <w:r>
        <w:t>n</w:t>
      </w:r>
      <w:r>
        <w:t xml:space="preserve">digheter. </w:t>
      </w:r>
    </w:p>
    <w:p w:rsidR="00557A6F" w:rsidRDefault="00557A6F" w:rsidP="00557A6F">
      <w:r>
        <w:t>Inkludert endringer som følge av avbyråkratiserings- og effektiviseringsreformen og lønns- og prisjustering, for</w:t>
      </w:r>
      <w:r>
        <w:t>e</w:t>
      </w:r>
      <w:r>
        <w:t>slås det en bevilgning på 66,5 mill. kroner.</w:t>
      </w:r>
    </w:p>
    <w:p w:rsidR="00557A6F" w:rsidRDefault="00557A6F" w:rsidP="00557A6F">
      <w:pPr>
        <w:pStyle w:val="b-budkaptit"/>
      </w:pPr>
      <w:r>
        <w:t>Kap. 3545 Datatilsynet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7A6F" w:rsidTr="00557A6F">
        <w:trPr>
          <w:trHeight w:val="640"/>
        </w:trPr>
        <w:tc>
          <w:tcPr>
            <w:tcW w:w="1140" w:type="dxa"/>
            <w:shd w:val="clear" w:color="auto" w:fill="FFFFFF"/>
          </w:tcPr>
          <w:p w:rsidR="00557A6F" w:rsidRDefault="00557A6F" w:rsidP="00557A6F">
            <w:pPr>
              <w:pStyle w:val="Tabellnavn"/>
            </w:pPr>
            <w:r>
              <w:t>KPAL</w:t>
            </w:r>
          </w:p>
        </w:tc>
        <w:tc>
          <w:tcPr>
            <w:tcW w:w="4560" w:type="dxa"/>
          </w:tcPr>
          <w:p w:rsidR="00557A6F" w:rsidRDefault="00557A6F" w:rsidP="00557A6F"/>
        </w:tc>
        <w:tc>
          <w:tcPr>
            <w:tcW w:w="1140" w:type="dxa"/>
          </w:tcPr>
          <w:p w:rsidR="00557A6F" w:rsidRDefault="00557A6F" w:rsidP="00557A6F">
            <w:pPr>
              <w:pStyle w:val="Tabellnavn"/>
              <w:jc w:val="right"/>
            </w:pPr>
          </w:p>
        </w:tc>
        <w:tc>
          <w:tcPr>
            <w:tcW w:w="1140" w:type="dxa"/>
          </w:tcPr>
          <w:p w:rsidR="00557A6F" w:rsidRDefault="00557A6F" w:rsidP="00557A6F">
            <w:pPr>
              <w:pStyle w:val="Tabellnavn"/>
              <w:jc w:val="right"/>
            </w:pPr>
          </w:p>
        </w:tc>
        <w:tc>
          <w:tcPr>
            <w:tcW w:w="1140" w:type="dxa"/>
          </w:tcPr>
          <w:p w:rsidR="00557A6F" w:rsidRDefault="00557A6F" w:rsidP="00557A6F">
            <w:pPr>
              <w:jc w:val="right"/>
            </w:pPr>
            <w:r>
              <w:t>(i 1 000 kr)</w:t>
            </w:r>
          </w:p>
        </w:tc>
      </w:tr>
      <w:tr w:rsidR="00557A6F" w:rsidTr="00557A6F">
        <w:trPr>
          <w:trHeight w:val="600"/>
        </w:trPr>
        <w:tc>
          <w:tcPr>
            <w:tcW w:w="1140" w:type="dxa"/>
          </w:tcPr>
          <w:p w:rsidR="00557A6F" w:rsidRDefault="00557A6F" w:rsidP="00557A6F">
            <w:r>
              <w:t>Post</w:t>
            </w:r>
          </w:p>
        </w:tc>
        <w:tc>
          <w:tcPr>
            <w:tcW w:w="4560" w:type="dxa"/>
          </w:tcPr>
          <w:p w:rsidR="00557A6F" w:rsidRDefault="00557A6F" w:rsidP="00557A6F">
            <w:r>
              <w:t>Betegnelse</w:t>
            </w:r>
          </w:p>
        </w:tc>
        <w:tc>
          <w:tcPr>
            <w:tcW w:w="1140" w:type="dxa"/>
          </w:tcPr>
          <w:p w:rsidR="00557A6F" w:rsidRDefault="00557A6F" w:rsidP="00557A6F">
            <w:pPr>
              <w:jc w:val="right"/>
            </w:pPr>
            <w:r>
              <w:t>Regnskap 2018</w:t>
            </w:r>
          </w:p>
        </w:tc>
        <w:tc>
          <w:tcPr>
            <w:tcW w:w="1140" w:type="dxa"/>
          </w:tcPr>
          <w:p w:rsidR="00557A6F" w:rsidRDefault="00557A6F" w:rsidP="00557A6F">
            <w:pPr>
              <w:jc w:val="right"/>
            </w:pPr>
            <w:r>
              <w:t xml:space="preserve">Saldert </w:t>
            </w:r>
            <w:r>
              <w:br/>
              <w:t>budsjett 2019</w:t>
            </w:r>
          </w:p>
        </w:tc>
        <w:tc>
          <w:tcPr>
            <w:tcW w:w="1140" w:type="dxa"/>
          </w:tcPr>
          <w:p w:rsidR="00557A6F" w:rsidRDefault="00557A6F" w:rsidP="00557A6F">
            <w:pPr>
              <w:jc w:val="right"/>
            </w:pPr>
            <w:r>
              <w:t xml:space="preserve">Forslag </w:t>
            </w:r>
            <w:r>
              <w:br/>
              <w:t>2020</w:t>
            </w:r>
          </w:p>
        </w:tc>
      </w:tr>
      <w:tr w:rsidR="00557A6F" w:rsidTr="00557A6F">
        <w:trPr>
          <w:trHeight w:val="380"/>
        </w:trPr>
        <w:tc>
          <w:tcPr>
            <w:tcW w:w="1140" w:type="dxa"/>
          </w:tcPr>
          <w:p w:rsidR="00557A6F" w:rsidRDefault="00557A6F" w:rsidP="00557A6F">
            <w:r>
              <w:t>01</w:t>
            </w:r>
          </w:p>
        </w:tc>
        <w:tc>
          <w:tcPr>
            <w:tcW w:w="4560" w:type="dxa"/>
          </w:tcPr>
          <w:p w:rsidR="00557A6F" w:rsidRDefault="00557A6F" w:rsidP="00557A6F">
            <w:r>
              <w:t xml:space="preserve">Inntekter ved oppdrag </w:t>
            </w:r>
          </w:p>
        </w:tc>
        <w:tc>
          <w:tcPr>
            <w:tcW w:w="1140" w:type="dxa"/>
          </w:tcPr>
          <w:p w:rsidR="00557A6F" w:rsidRDefault="00557A6F" w:rsidP="00557A6F">
            <w:pPr>
              <w:jc w:val="right"/>
            </w:pPr>
            <w:r>
              <w:t>7 581</w:t>
            </w:r>
          </w:p>
        </w:tc>
        <w:tc>
          <w:tcPr>
            <w:tcW w:w="1140" w:type="dxa"/>
          </w:tcPr>
          <w:p w:rsidR="00557A6F" w:rsidRDefault="00557A6F" w:rsidP="00557A6F">
            <w:pPr>
              <w:jc w:val="right"/>
            </w:pPr>
          </w:p>
        </w:tc>
        <w:tc>
          <w:tcPr>
            <w:tcW w:w="1140" w:type="dxa"/>
          </w:tcPr>
          <w:p w:rsidR="00557A6F" w:rsidRDefault="00557A6F" w:rsidP="00557A6F">
            <w:pPr>
              <w:jc w:val="right"/>
            </w:pPr>
          </w:p>
        </w:tc>
      </w:tr>
      <w:tr w:rsidR="00557A6F" w:rsidTr="00557A6F">
        <w:trPr>
          <w:trHeight w:val="380"/>
        </w:trPr>
        <w:tc>
          <w:tcPr>
            <w:tcW w:w="1140" w:type="dxa"/>
          </w:tcPr>
          <w:p w:rsidR="00557A6F" w:rsidRDefault="00557A6F" w:rsidP="00557A6F"/>
        </w:tc>
        <w:tc>
          <w:tcPr>
            <w:tcW w:w="4560" w:type="dxa"/>
          </w:tcPr>
          <w:p w:rsidR="00557A6F" w:rsidRDefault="00557A6F" w:rsidP="00557A6F">
            <w:r>
              <w:t>Sum kap. 3545</w:t>
            </w:r>
          </w:p>
        </w:tc>
        <w:tc>
          <w:tcPr>
            <w:tcW w:w="1140" w:type="dxa"/>
          </w:tcPr>
          <w:p w:rsidR="00557A6F" w:rsidRDefault="00557A6F" w:rsidP="00557A6F">
            <w:pPr>
              <w:jc w:val="right"/>
            </w:pPr>
            <w:r>
              <w:t>7 581</w:t>
            </w:r>
          </w:p>
        </w:tc>
        <w:tc>
          <w:tcPr>
            <w:tcW w:w="1140" w:type="dxa"/>
          </w:tcPr>
          <w:p w:rsidR="00557A6F" w:rsidRDefault="00557A6F" w:rsidP="00557A6F">
            <w:pPr>
              <w:jc w:val="right"/>
            </w:pPr>
          </w:p>
        </w:tc>
        <w:tc>
          <w:tcPr>
            <w:tcW w:w="1140" w:type="dxa"/>
          </w:tcPr>
          <w:p w:rsidR="00557A6F" w:rsidRDefault="00557A6F" w:rsidP="00557A6F">
            <w:pPr>
              <w:jc w:val="right"/>
            </w:pPr>
          </w:p>
        </w:tc>
      </w:tr>
    </w:tbl>
    <w:p w:rsidR="00557A6F" w:rsidRDefault="00557A6F" w:rsidP="00557A6F">
      <w:pPr>
        <w:pStyle w:val="b-post"/>
      </w:pPr>
      <w:r>
        <w:t>Post 01 Inntekter ved oppdrag</w:t>
      </w:r>
    </w:p>
    <w:p w:rsidR="00557A6F" w:rsidRDefault="00557A6F" w:rsidP="00557A6F">
      <w:r>
        <w:t>Inntektene er innbetalte overtredelsesgebyrer og tvangsmulkt i forbindelse med overtredelser og unnl</w:t>
      </w:r>
      <w:r>
        <w:t>a</w:t>
      </w:r>
      <w:r>
        <w:t>telse av å etterleve personvernregelverket.</w:t>
      </w:r>
    </w:p>
    <w:p w:rsidR="00557A6F" w:rsidRDefault="00557A6F" w:rsidP="00557A6F">
      <w:pPr>
        <w:pStyle w:val="b-budkaptit"/>
      </w:pPr>
      <w:r>
        <w:t>Kap. 546 Personvernnemnda</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7A6F" w:rsidTr="00557A6F">
        <w:trPr>
          <w:trHeight w:val="640"/>
        </w:trPr>
        <w:tc>
          <w:tcPr>
            <w:tcW w:w="1140" w:type="dxa"/>
            <w:shd w:val="clear" w:color="auto" w:fill="FFFFFF"/>
          </w:tcPr>
          <w:p w:rsidR="00557A6F" w:rsidRDefault="00557A6F" w:rsidP="00557A6F">
            <w:pPr>
              <w:pStyle w:val="Tabellnavn"/>
            </w:pPr>
            <w:r>
              <w:t>KPAL</w:t>
            </w:r>
          </w:p>
        </w:tc>
        <w:tc>
          <w:tcPr>
            <w:tcW w:w="4560" w:type="dxa"/>
          </w:tcPr>
          <w:p w:rsidR="00557A6F" w:rsidRDefault="00557A6F" w:rsidP="00557A6F"/>
        </w:tc>
        <w:tc>
          <w:tcPr>
            <w:tcW w:w="1140" w:type="dxa"/>
          </w:tcPr>
          <w:p w:rsidR="00557A6F" w:rsidRDefault="00557A6F" w:rsidP="00557A6F">
            <w:pPr>
              <w:pStyle w:val="Tabellnavn"/>
              <w:jc w:val="right"/>
            </w:pPr>
          </w:p>
        </w:tc>
        <w:tc>
          <w:tcPr>
            <w:tcW w:w="1140" w:type="dxa"/>
          </w:tcPr>
          <w:p w:rsidR="00557A6F" w:rsidRDefault="00557A6F" w:rsidP="00557A6F">
            <w:pPr>
              <w:pStyle w:val="Tabellnavn"/>
              <w:jc w:val="right"/>
            </w:pPr>
          </w:p>
        </w:tc>
        <w:tc>
          <w:tcPr>
            <w:tcW w:w="1140" w:type="dxa"/>
          </w:tcPr>
          <w:p w:rsidR="00557A6F" w:rsidRDefault="00557A6F" w:rsidP="00557A6F">
            <w:pPr>
              <w:jc w:val="right"/>
            </w:pPr>
            <w:r>
              <w:t>(i 1 000 kr)</w:t>
            </w:r>
          </w:p>
        </w:tc>
      </w:tr>
      <w:tr w:rsidR="00557A6F" w:rsidTr="00557A6F">
        <w:trPr>
          <w:trHeight w:val="600"/>
        </w:trPr>
        <w:tc>
          <w:tcPr>
            <w:tcW w:w="1140" w:type="dxa"/>
          </w:tcPr>
          <w:p w:rsidR="00557A6F" w:rsidRDefault="00557A6F" w:rsidP="00557A6F">
            <w:r>
              <w:t>Post</w:t>
            </w:r>
          </w:p>
        </w:tc>
        <w:tc>
          <w:tcPr>
            <w:tcW w:w="4560" w:type="dxa"/>
          </w:tcPr>
          <w:p w:rsidR="00557A6F" w:rsidRDefault="00557A6F" w:rsidP="00557A6F">
            <w:r>
              <w:t>Betegnelse</w:t>
            </w:r>
          </w:p>
        </w:tc>
        <w:tc>
          <w:tcPr>
            <w:tcW w:w="1140" w:type="dxa"/>
          </w:tcPr>
          <w:p w:rsidR="00557A6F" w:rsidRDefault="00557A6F" w:rsidP="00557A6F">
            <w:pPr>
              <w:jc w:val="right"/>
            </w:pPr>
            <w:r>
              <w:t>Regnskap 2018</w:t>
            </w:r>
          </w:p>
        </w:tc>
        <w:tc>
          <w:tcPr>
            <w:tcW w:w="1140" w:type="dxa"/>
          </w:tcPr>
          <w:p w:rsidR="00557A6F" w:rsidRDefault="00557A6F" w:rsidP="00557A6F">
            <w:pPr>
              <w:jc w:val="right"/>
            </w:pPr>
            <w:r>
              <w:t xml:space="preserve">Saldert </w:t>
            </w:r>
            <w:r>
              <w:br/>
              <w:t>budsjett 2019</w:t>
            </w:r>
          </w:p>
        </w:tc>
        <w:tc>
          <w:tcPr>
            <w:tcW w:w="1140" w:type="dxa"/>
          </w:tcPr>
          <w:p w:rsidR="00557A6F" w:rsidRDefault="00557A6F" w:rsidP="00557A6F">
            <w:pPr>
              <w:jc w:val="right"/>
            </w:pPr>
            <w:r>
              <w:t xml:space="preserve">Forslag </w:t>
            </w:r>
            <w:r>
              <w:br/>
              <w:t>2020</w:t>
            </w:r>
          </w:p>
        </w:tc>
      </w:tr>
      <w:tr w:rsidR="00557A6F" w:rsidTr="00557A6F">
        <w:trPr>
          <w:trHeight w:val="380"/>
        </w:trPr>
        <w:tc>
          <w:tcPr>
            <w:tcW w:w="1140" w:type="dxa"/>
          </w:tcPr>
          <w:p w:rsidR="00557A6F" w:rsidRDefault="00557A6F" w:rsidP="00557A6F">
            <w:r>
              <w:t>01</w:t>
            </w:r>
          </w:p>
        </w:tc>
        <w:tc>
          <w:tcPr>
            <w:tcW w:w="4560" w:type="dxa"/>
          </w:tcPr>
          <w:p w:rsidR="00557A6F" w:rsidRDefault="00557A6F" w:rsidP="00557A6F">
            <w:r>
              <w:t xml:space="preserve">Driftsutgifter </w:t>
            </w:r>
          </w:p>
        </w:tc>
        <w:tc>
          <w:tcPr>
            <w:tcW w:w="1140" w:type="dxa"/>
          </w:tcPr>
          <w:p w:rsidR="00557A6F" w:rsidRDefault="00557A6F" w:rsidP="00557A6F">
            <w:pPr>
              <w:jc w:val="right"/>
            </w:pPr>
            <w:r>
              <w:t>2 013</w:t>
            </w:r>
          </w:p>
        </w:tc>
        <w:tc>
          <w:tcPr>
            <w:tcW w:w="1140" w:type="dxa"/>
          </w:tcPr>
          <w:p w:rsidR="00557A6F" w:rsidRDefault="00557A6F" w:rsidP="00557A6F">
            <w:pPr>
              <w:jc w:val="right"/>
            </w:pPr>
            <w:r>
              <w:t>2 325</w:t>
            </w:r>
          </w:p>
        </w:tc>
        <w:tc>
          <w:tcPr>
            <w:tcW w:w="1140" w:type="dxa"/>
          </w:tcPr>
          <w:p w:rsidR="00557A6F" w:rsidRDefault="00557A6F" w:rsidP="00557A6F">
            <w:pPr>
              <w:jc w:val="right"/>
            </w:pPr>
            <w:r>
              <w:t>2 564</w:t>
            </w:r>
          </w:p>
        </w:tc>
      </w:tr>
      <w:tr w:rsidR="00557A6F" w:rsidTr="00557A6F">
        <w:trPr>
          <w:trHeight w:val="380"/>
        </w:trPr>
        <w:tc>
          <w:tcPr>
            <w:tcW w:w="1140" w:type="dxa"/>
          </w:tcPr>
          <w:p w:rsidR="00557A6F" w:rsidRDefault="00557A6F" w:rsidP="00557A6F"/>
        </w:tc>
        <w:tc>
          <w:tcPr>
            <w:tcW w:w="4560" w:type="dxa"/>
          </w:tcPr>
          <w:p w:rsidR="00557A6F" w:rsidRDefault="00557A6F" w:rsidP="00557A6F">
            <w:r>
              <w:t>Sum kap. 0546</w:t>
            </w:r>
          </w:p>
        </w:tc>
        <w:tc>
          <w:tcPr>
            <w:tcW w:w="1140" w:type="dxa"/>
          </w:tcPr>
          <w:p w:rsidR="00557A6F" w:rsidRDefault="00557A6F" w:rsidP="00557A6F">
            <w:pPr>
              <w:jc w:val="right"/>
            </w:pPr>
            <w:r>
              <w:t>2 013</w:t>
            </w:r>
          </w:p>
        </w:tc>
        <w:tc>
          <w:tcPr>
            <w:tcW w:w="1140" w:type="dxa"/>
          </w:tcPr>
          <w:p w:rsidR="00557A6F" w:rsidRDefault="00557A6F" w:rsidP="00557A6F">
            <w:pPr>
              <w:jc w:val="right"/>
            </w:pPr>
            <w:r>
              <w:t>2 325</w:t>
            </w:r>
          </w:p>
        </w:tc>
        <w:tc>
          <w:tcPr>
            <w:tcW w:w="1140" w:type="dxa"/>
          </w:tcPr>
          <w:p w:rsidR="00557A6F" w:rsidRDefault="00557A6F" w:rsidP="00557A6F">
            <w:pPr>
              <w:jc w:val="right"/>
            </w:pPr>
            <w:r>
              <w:t>2 564</w:t>
            </w:r>
          </w:p>
        </w:tc>
      </w:tr>
    </w:tbl>
    <w:p w:rsidR="00557A6F" w:rsidRDefault="00557A6F" w:rsidP="00557A6F">
      <w:r>
        <w:t>Personvernnemnda har sju medlemmer oppnevnt for fire år. Leder og nestleder er oppnevnt av Stortinget, mens de øvrige medlemmene er oppnevnt ved kgl. res. Nåværende medlemmer er op</w:t>
      </w:r>
      <w:r>
        <w:t>p</w:t>
      </w:r>
      <w:r>
        <w:t>nevnt for perioden 2017–2020. Nemnda er sammensatt med variert kompetanse og er godt rustet til å foreta krevende avve</w:t>
      </w:r>
      <w:r>
        <w:t>i</w:t>
      </w:r>
      <w:r>
        <w:t>ninger mellom personvern og andre viktige samfunnshensyn.</w:t>
      </w:r>
    </w:p>
    <w:p w:rsidR="00557A6F" w:rsidRDefault="00557A6F" w:rsidP="00557A6F">
      <w:pPr>
        <w:pStyle w:val="b-post"/>
      </w:pPr>
      <w:r>
        <w:t>Post 01 Driftsutgifter</w:t>
      </w:r>
    </w:p>
    <w:p w:rsidR="00557A6F" w:rsidRDefault="00557A6F" w:rsidP="00557A6F">
      <w:r>
        <w:t>Bevilgningen dekker i hovedsak lønns- og driftsutgifter til nemndas sekretariat, som ble økt fra 80 pst. til 100 pst. stilling i 2018, og godtgjørelse til medlemmene.</w:t>
      </w:r>
    </w:p>
    <w:p w:rsidR="00557A6F" w:rsidRDefault="00557A6F" w:rsidP="00557A6F">
      <w:pPr>
        <w:pStyle w:val="avsnitt-tittel"/>
      </w:pPr>
      <w:r>
        <w:t>Rapport</w:t>
      </w:r>
    </w:p>
    <w:p w:rsidR="00557A6F" w:rsidRDefault="00557A6F" w:rsidP="00557A6F">
      <w:r>
        <w:t>Personvernnemnda avholdt ti møter i 2018, og ferdigbehandlet 15 saker. Fire av sakene var in</w:t>
      </w:r>
      <w:r>
        <w:t>n</w:t>
      </w:r>
      <w:r>
        <w:t>kommet i 2017. Totalt kom det inn 20 saker i 2018, hvorav ni ble overført til behandling i 2019. To saker gjaldt krav om dekning av sakskostnader etter forvaltningsloven § 36 og utsatt iverksettelse etter forvaltningsloven § 42. De øvrige sakene gjaldt personvernrettslige spørsmål. Datatilsynets vedtak ble opprettholdt i seks saker, mens åtte vedtak ble helt eller delvis omgjort. Omgjøringspr</w:t>
      </w:r>
      <w:r>
        <w:t>o</w:t>
      </w:r>
      <w:r>
        <w:t>senten er noe høyere enn de foregående årene, noe som kan skyldes at Datatilsynet behandlet s</w:t>
      </w:r>
      <w:r>
        <w:t>a</w:t>
      </w:r>
      <w:r>
        <w:t>kene etter personopplysningsloven 2000, mens nemnda, i samsvar med lovens overgangsregler, behandlet sakene etter personopplysningsloven 2018. Antall klagesaker og omgjøringer er likevel fremdeles lavt sett i forhold til at Datatilsynet fattet 246 vedtak i 2018. Gjennomsnittlig saksb</w:t>
      </w:r>
      <w:r>
        <w:t>e</w:t>
      </w:r>
      <w:r>
        <w:t>handlingstid i 2018 var ca. 4,3 måneder.</w:t>
      </w:r>
    </w:p>
    <w:p w:rsidR="00557A6F" w:rsidRDefault="00557A6F" w:rsidP="00557A6F">
      <w:r>
        <w:t>Personvernnemnda har i meldingsåret hatt fokus på kvalitet, og har som ambisjon å skrive faglig gode vedtak som kan gi veiledning i senere liknende saker. Behandlede saker gjaldt blant annet avindeksering på nett, sletting og overtredelsesgebyr. Flere saker var prinsipielle.</w:t>
      </w:r>
    </w:p>
    <w:p w:rsidR="00557A6F" w:rsidRDefault="00557A6F" w:rsidP="00557A6F">
      <w:pPr>
        <w:pStyle w:val="avsnitt-tittel"/>
      </w:pPr>
      <w:r>
        <w:t>Budsjettforslag</w:t>
      </w:r>
    </w:p>
    <w:p w:rsidR="00557A6F" w:rsidRDefault="00557A6F" w:rsidP="00557A6F">
      <w:r>
        <w:t>Bevilgningen foreslås økt med 0,2 mill. kroner for å dekke økte kostnader som følge av nytt pe</w:t>
      </w:r>
      <w:r>
        <w:t>r</w:t>
      </w:r>
      <w:r>
        <w:t>sonvernregelverk. Midlene skal i hovedsak dekke økte lønnskostnader og godtgjørelse som følge av mer kom</w:t>
      </w:r>
      <w:r>
        <w:t>p</w:t>
      </w:r>
      <w:r>
        <w:t>lekse saker.</w:t>
      </w:r>
    </w:p>
    <w:p w:rsidR="00557A6F" w:rsidRDefault="00557A6F" w:rsidP="00557A6F">
      <w:r>
        <w:t>Inkludert endringer som følge av avbyråkratiserings- og effektiviseringsreformen og lønns- og prisjustering, for</w:t>
      </w:r>
      <w:r>
        <w:t>e</w:t>
      </w:r>
      <w:r>
        <w:t>slås det en samlet bevilgning på 2,6 mill. kroner.</w:t>
      </w:r>
    </w:p>
    <w:p w:rsidR="00557A6F" w:rsidRDefault="00557A6F" w:rsidP="00557A6F">
      <w:pPr>
        <w:pStyle w:val="b-progkat"/>
      </w:pPr>
      <w:r>
        <w:lastRenderedPageBreak/>
        <w:t>Programkategori 13.50 Distrikts- og regionalpolitikk</w:t>
      </w:r>
    </w:p>
    <w:p w:rsidR="00557A6F" w:rsidRDefault="00557A6F" w:rsidP="00557A6F">
      <w:pPr>
        <w:pStyle w:val="avsnitt-tittel"/>
      </w:pPr>
      <w:r>
        <w:t>Utgifter under programkategori 13.50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557A6F" w:rsidTr="00557A6F">
        <w:trPr>
          <w:trHeight w:val="640"/>
        </w:trPr>
        <w:tc>
          <w:tcPr>
            <w:tcW w:w="1020" w:type="dxa"/>
            <w:shd w:val="clear" w:color="auto" w:fill="FFFFFF"/>
          </w:tcPr>
          <w:p w:rsidR="00557A6F" w:rsidRDefault="00557A6F" w:rsidP="00557A6F">
            <w:pPr>
              <w:pStyle w:val="Tabellnavn"/>
            </w:pPr>
            <w:r>
              <w:t>PIKL</w:t>
            </w:r>
          </w:p>
        </w:tc>
        <w:tc>
          <w:tcPr>
            <w:tcW w:w="4080" w:type="dxa"/>
          </w:tcPr>
          <w:p w:rsidR="00557A6F" w:rsidRDefault="00557A6F" w:rsidP="00557A6F"/>
        </w:tc>
        <w:tc>
          <w:tcPr>
            <w:tcW w:w="1020" w:type="dxa"/>
          </w:tcPr>
          <w:p w:rsidR="00557A6F" w:rsidRDefault="00557A6F" w:rsidP="00557A6F">
            <w:pPr>
              <w:pStyle w:val="Tabellnavn"/>
              <w:jc w:val="right"/>
            </w:pPr>
          </w:p>
        </w:tc>
        <w:tc>
          <w:tcPr>
            <w:tcW w:w="1020" w:type="dxa"/>
          </w:tcPr>
          <w:p w:rsidR="00557A6F" w:rsidRDefault="00557A6F" w:rsidP="00557A6F">
            <w:pPr>
              <w:pStyle w:val="Tabellnavn"/>
              <w:jc w:val="right"/>
            </w:pPr>
          </w:p>
        </w:tc>
        <w:tc>
          <w:tcPr>
            <w:tcW w:w="1020" w:type="dxa"/>
          </w:tcPr>
          <w:p w:rsidR="00557A6F" w:rsidRDefault="00557A6F" w:rsidP="00557A6F">
            <w:pPr>
              <w:pStyle w:val="Tabellnavn"/>
              <w:jc w:val="right"/>
            </w:pPr>
          </w:p>
        </w:tc>
        <w:tc>
          <w:tcPr>
            <w:tcW w:w="1020" w:type="dxa"/>
          </w:tcPr>
          <w:p w:rsidR="00557A6F" w:rsidRDefault="00557A6F" w:rsidP="00557A6F">
            <w:pPr>
              <w:jc w:val="right"/>
            </w:pPr>
            <w:r>
              <w:t>(i 1 000 kr)</w:t>
            </w:r>
          </w:p>
        </w:tc>
      </w:tr>
      <w:tr w:rsidR="00557A6F" w:rsidTr="00557A6F">
        <w:trPr>
          <w:trHeight w:val="600"/>
        </w:trPr>
        <w:tc>
          <w:tcPr>
            <w:tcW w:w="1020" w:type="dxa"/>
          </w:tcPr>
          <w:p w:rsidR="00557A6F" w:rsidRDefault="00557A6F" w:rsidP="00557A6F">
            <w:r>
              <w:t>Kap.</w:t>
            </w:r>
          </w:p>
        </w:tc>
        <w:tc>
          <w:tcPr>
            <w:tcW w:w="4080" w:type="dxa"/>
          </w:tcPr>
          <w:p w:rsidR="00557A6F" w:rsidRDefault="00557A6F" w:rsidP="00557A6F">
            <w:r>
              <w:t>Betegnelse</w:t>
            </w:r>
          </w:p>
        </w:tc>
        <w:tc>
          <w:tcPr>
            <w:tcW w:w="1020" w:type="dxa"/>
          </w:tcPr>
          <w:p w:rsidR="00557A6F" w:rsidRDefault="00557A6F" w:rsidP="00557A6F">
            <w:pPr>
              <w:jc w:val="right"/>
            </w:pPr>
            <w:r>
              <w:t>Reg</w:t>
            </w:r>
            <w:r>
              <w:t>n</w:t>
            </w:r>
            <w:r>
              <w:t>skap 2018</w:t>
            </w:r>
          </w:p>
        </w:tc>
        <w:tc>
          <w:tcPr>
            <w:tcW w:w="1020" w:type="dxa"/>
          </w:tcPr>
          <w:p w:rsidR="00557A6F" w:rsidRDefault="00557A6F" w:rsidP="00557A6F">
            <w:pPr>
              <w:jc w:val="right"/>
            </w:pPr>
            <w:r>
              <w:t xml:space="preserve">Saldert </w:t>
            </w:r>
            <w:r>
              <w:br/>
              <w:t>budsjett 2019</w:t>
            </w:r>
          </w:p>
        </w:tc>
        <w:tc>
          <w:tcPr>
            <w:tcW w:w="1020" w:type="dxa"/>
          </w:tcPr>
          <w:p w:rsidR="00557A6F" w:rsidRDefault="00557A6F" w:rsidP="00557A6F">
            <w:pPr>
              <w:jc w:val="right"/>
            </w:pPr>
            <w:r>
              <w:t xml:space="preserve">Forslag </w:t>
            </w:r>
            <w:r>
              <w:br/>
              <w:t>2020</w:t>
            </w:r>
          </w:p>
        </w:tc>
        <w:tc>
          <w:tcPr>
            <w:tcW w:w="1020" w:type="dxa"/>
          </w:tcPr>
          <w:p w:rsidR="00557A6F" w:rsidRDefault="00557A6F" w:rsidP="00557A6F">
            <w:pPr>
              <w:jc w:val="right"/>
            </w:pPr>
            <w:r>
              <w:t xml:space="preserve">Pst. endr. </w:t>
            </w:r>
            <w:r>
              <w:br/>
              <w:t>19/20</w:t>
            </w:r>
          </w:p>
        </w:tc>
      </w:tr>
      <w:tr w:rsidR="00557A6F" w:rsidTr="00557A6F">
        <w:trPr>
          <w:trHeight w:val="640"/>
        </w:trPr>
        <w:tc>
          <w:tcPr>
            <w:tcW w:w="1020" w:type="dxa"/>
          </w:tcPr>
          <w:p w:rsidR="00557A6F" w:rsidRDefault="00557A6F" w:rsidP="00557A6F">
            <w:r>
              <w:t>550</w:t>
            </w:r>
          </w:p>
        </w:tc>
        <w:tc>
          <w:tcPr>
            <w:tcW w:w="4080" w:type="dxa"/>
          </w:tcPr>
          <w:p w:rsidR="00557A6F" w:rsidRDefault="00557A6F" w:rsidP="00557A6F">
            <w:r>
              <w:t>Omstillingsdyktig næringsliv og lokalsa</w:t>
            </w:r>
            <w:r>
              <w:t>m</w:t>
            </w:r>
            <w:r>
              <w:t>funn i distriktene</w:t>
            </w:r>
          </w:p>
        </w:tc>
        <w:tc>
          <w:tcPr>
            <w:tcW w:w="1020" w:type="dxa"/>
          </w:tcPr>
          <w:p w:rsidR="00557A6F" w:rsidRDefault="00557A6F" w:rsidP="00557A6F">
            <w:pPr>
              <w:jc w:val="right"/>
            </w:pPr>
            <w:r>
              <w:t>801 218</w:t>
            </w:r>
          </w:p>
        </w:tc>
        <w:tc>
          <w:tcPr>
            <w:tcW w:w="1020" w:type="dxa"/>
          </w:tcPr>
          <w:p w:rsidR="00557A6F" w:rsidRDefault="00557A6F" w:rsidP="00557A6F">
            <w:pPr>
              <w:jc w:val="right"/>
            </w:pPr>
            <w:r>
              <w:t>681 814</w:t>
            </w:r>
          </w:p>
        </w:tc>
        <w:tc>
          <w:tcPr>
            <w:tcW w:w="1020" w:type="dxa"/>
          </w:tcPr>
          <w:p w:rsidR="00557A6F" w:rsidRDefault="00557A6F" w:rsidP="00557A6F">
            <w:pPr>
              <w:jc w:val="right"/>
            </w:pPr>
          </w:p>
        </w:tc>
        <w:tc>
          <w:tcPr>
            <w:tcW w:w="1020" w:type="dxa"/>
          </w:tcPr>
          <w:p w:rsidR="00557A6F" w:rsidRDefault="00557A6F" w:rsidP="00557A6F">
            <w:pPr>
              <w:jc w:val="right"/>
            </w:pPr>
            <w:r>
              <w:t>-100,0</w:t>
            </w:r>
          </w:p>
        </w:tc>
      </w:tr>
      <w:tr w:rsidR="00557A6F" w:rsidTr="00557A6F">
        <w:trPr>
          <w:trHeight w:val="640"/>
        </w:trPr>
        <w:tc>
          <w:tcPr>
            <w:tcW w:w="1020" w:type="dxa"/>
          </w:tcPr>
          <w:p w:rsidR="00557A6F" w:rsidRDefault="00557A6F" w:rsidP="00557A6F">
            <w:r>
              <w:t>552</w:t>
            </w:r>
          </w:p>
        </w:tc>
        <w:tc>
          <w:tcPr>
            <w:tcW w:w="4080" w:type="dxa"/>
          </w:tcPr>
          <w:p w:rsidR="00557A6F" w:rsidRDefault="00557A6F" w:rsidP="00557A6F">
            <w:r>
              <w:t>Nasjonalt samarbeid for regional utvikling</w:t>
            </w:r>
          </w:p>
        </w:tc>
        <w:tc>
          <w:tcPr>
            <w:tcW w:w="1020" w:type="dxa"/>
          </w:tcPr>
          <w:p w:rsidR="00557A6F" w:rsidRDefault="00557A6F" w:rsidP="00557A6F">
            <w:pPr>
              <w:jc w:val="right"/>
            </w:pPr>
            <w:r>
              <w:t>475</w:t>
            </w: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p>
        </w:tc>
      </w:tr>
      <w:tr w:rsidR="00557A6F" w:rsidTr="00557A6F">
        <w:trPr>
          <w:trHeight w:val="380"/>
        </w:trPr>
        <w:tc>
          <w:tcPr>
            <w:tcW w:w="1020" w:type="dxa"/>
          </w:tcPr>
          <w:p w:rsidR="00557A6F" w:rsidRDefault="00557A6F" w:rsidP="00557A6F">
            <w:r>
              <w:t>553</w:t>
            </w:r>
          </w:p>
        </w:tc>
        <w:tc>
          <w:tcPr>
            <w:tcW w:w="4080" w:type="dxa"/>
          </w:tcPr>
          <w:p w:rsidR="00557A6F" w:rsidRDefault="00557A6F" w:rsidP="00557A6F">
            <w:r>
              <w:t>Regional- og distriktsutvikling</w:t>
            </w:r>
          </w:p>
        </w:tc>
        <w:tc>
          <w:tcPr>
            <w:tcW w:w="1020" w:type="dxa"/>
          </w:tcPr>
          <w:p w:rsidR="00557A6F" w:rsidRDefault="00557A6F" w:rsidP="00557A6F">
            <w:pPr>
              <w:jc w:val="right"/>
            </w:pPr>
            <w:r>
              <w:t>608 891</w:t>
            </w:r>
          </w:p>
        </w:tc>
        <w:tc>
          <w:tcPr>
            <w:tcW w:w="1020" w:type="dxa"/>
          </w:tcPr>
          <w:p w:rsidR="00557A6F" w:rsidRDefault="00557A6F" w:rsidP="00557A6F">
            <w:pPr>
              <w:jc w:val="right"/>
            </w:pPr>
            <w:r>
              <w:t>491 551</w:t>
            </w:r>
          </w:p>
        </w:tc>
        <w:tc>
          <w:tcPr>
            <w:tcW w:w="1020" w:type="dxa"/>
          </w:tcPr>
          <w:p w:rsidR="00557A6F" w:rsidRDefault="00557A6F" w:rsidP="00557A6F">
            <w:pPr>
              <w:jc w:val="right"/>
            </w:pPr>
            <w:r>
              <w:t>1 193 946</w:t>
            </w:r>
          </w:p>
        </w:tc>
        <w:tc>
          <w:tcPr>
            <w:tcW w:w="1020" w:type="dxa"/>
          </w:tcPr>
          <w:p w:rsidR="00557A6F" w:rsidRDefault="00557A6F" w:rsidP="00557A6F">
            <w:pPr>
              <w:jc w:val="right"/>
            </w:pPr>
            <w:r>
              <w:t>142,9</w:t>
            </w:r>
          </w:p>
        </w:tc>
      </w:tr>
      <w:tr w:rsidR="00557A6F" w:rsidTr="00557A6F">
        <w:trPr>
          <w:trHeight w:val="640"/>
        </w:trPr>
        <w:tc>
          <w:tcPr>
            <w:tcW w:w="1020" w:type="dxa"/>
          </w:tcPr>
          <w:p w:rsidR="00557A6F" w:rsidRDefault="00557A6F" w:rsidP="00557A6F">
            <w:r>
              <w:t>554</w:t>
            </w:r>
          </w:p>
        </w:tc>
        <w:tc>
          <w:tcPr>
            <w:tcW w:w="4080" w:type="dxa"/>
          </w:tcPr>
          <w:p w:rsidR="00557A6F" w:rsidRDefault="00557A6F" w:rsidP="00557A6F">
            <w:r>
              <w:t>Kompetansesenter for distriktsu</w:t>
            </w:r>
            <w:r>
              <w:t>t</w:t>
            </w:r>
            <w:r>
              <w:t>vikling</w:t>
            </w:r>
          </w:p>
        </w:tc>
        <w:tc>
          <w:tcPr>
            <w:tcW w:w="1020" w:type="dxa"/>
          </w:tcPr>
          <w:p w:rsidR="00557A6F" w:rsidRDefault="00557A6F" w:rsidP="00557A6F">
            <w:pPr>
              <w:jc w:val="right"/>
            </w:pPr>
            <w:r>
              <w:t>28 140</w:t>
            </w:r>
          </w:p>
        </w:tc>
        <w:tc>
          <w:tcPr>
            <w:tcW w:w="1020" w:type="dxa"/>
          </w:tcPr>
          <w:p w:rsidR="00557A6F" w:rsidRDefault="00557A6F" w:rsidP="00557A6F">
            <w:pPr>
              <w:jc w:val="right"/>
            </w:pPr>
            <w:r>
              <w:t>32 753</w:t>
            </w:r>
          </w:p>
        </w:tc>
        <w:tc>
          <w:tcPr>
            <w:tcW w:w="1020" w:type="dxa"/>
          </w:tcPr>
          <w:p w:rsidR="00557A6F" w:rsidRDefault="00557A6F" w:rsidP="00557A6F">
            <w:pPr>
              <w:jc w:val="right"/>
            </w:pPr>
            <w:r>
              <w:t>92 752</w:t>
            </w:r>
          </w:p>
        </w:tc>
        <w:tc>
          <w:tcPr>
            <w:tcW w:w="1020" w:type="dxa"/>
          </w:tcPr>
          <w:p w:rsidR="00557A6F" w:rsidRDefault="00557A6F" w:rsidP="00557A6F">
            <w:pPr>
              <w:jc w:val="right"/>
            </w:pPr>
            <w:r>
              <w:t>183,2</w:t>
            </w:r>
          </w:p>
        </w:tc>
      </w:tr>
      <w:tr w:rsidR="00557A6F" w:rsidTr="00557A6F">
        <w:trPr>
          <w:trHeight w:val="380"/>
        </w:trPr>
        <w:tc>
          <w:tcPr>
            <w:tcW w:w="1020" w:type="dxa"/>
          </w:tcPr>
          <w:p w:rsidR="00557A6F" w:rsidRDefault="00557A6F" w:rsidP="00557A6F"/>
        </w:tc>
        <w:tc>
          <w:tcPr>
            <w:tcW w:w="4080" w:type="dxa"/>
          </w:tcPr>
          <w:p w:rsidR="00557A6F" w:rsidRDefault="00557A6F" w:rsidP="00557A6F">
            <w:r>
              <w:t>Sum kategori 13.50</w:t>
            </w:r>
          </w:p>
        </w:tc>
        <w:tc>
          <w:tcPr>
            <w:tcW w:w="1020" w:type="dxa"/>
          </w:tcPr>
          <w:p w:rsidR="00557A6F" w:rsidRDefault="00557A6F" w:rsidP="00557A6F">
            <w:pPr>
              <w:jc w:val="right"/>
            </w:pPr>
            <w:r>
              <w:t>1 438 724</w:t>
            </w:r>
          </w:p>
        </w:tc>
        <w:tc>
          <w:tcPr>
            <w:tcW w:w="1020" w:type="dxa"/>
          </w:tcPr>
          <w:p w:rsidR="00557A6F" w:rsidRDefault="00557A6F" w:rsidP="00557A6F">
            <w:pPr>
              <w:jc w:val="right"/>
            </w:pPr>
            <w:r>
              <w:t>1 206 118</w:t>
            </w:r>
          </w:p>
        </w:tc>
        <w:tc>
          <w:tcPr>
            <w:tcW w:w="1020" w:type="dxa"/>
          </w:tcPr>
          <w:p w:rsidR="00557A6F" w:rsidRDefault="00557A6F" w:rsidP="00557A6F">
            <w:pPr>
              <w:jc w:val="right"/>
            </w:pPr>
            <w:r>
              <w:t>1 286 698</w:t>
            </w:r>
          </w:p>
        </w:tc>
        <w:tc>
          <w:tcPr>
            <w:tcW w:w="1020" w:type="dxa"/>
          </w:tcPr>
          <w:p w:rsidR="00557A6F" w:rsidRDefault="00557A6F" w:rsidP="00557A6F">
            <w:pPr>
              <w:jc w:val="right"/>
            </w:pPr>
            <w:r>
              <w:t>6,7</w:t>
            </w:r>
          </w:p>
        </w:tc>
      </w:tr>
    </w:tbl>
    <w:p w:rsidR="00557A6F" w:rsidRDefault="00557A6F" w:rsidP="00557A6F">
      <w:r>
        <w:t>Målet med regional- og distriktspolitikken er regional balanse gjennom vekstkraft, likeverdige l</w:t>
      </w:r>
      <w:r>
        <w:t>e</w:t>
      </w:r>
      <w:r>
        <w:t>vekår og bærekraftige regioner i hele landet. En bærekraftig region har en balansert befolkning</w:t>
      </w:r>
      <w:r>
        <w:t>s</w:t>
      </w:r>
      <w:r>
        <w:t>sammensetning og forvalter menneskelige ressurser og naturressurser for utvikling og verdiskaping nå og i framtiden. Dette vil legge til rette for å opprettholde hovedtrekkene i bosettingsmønsteret. En vellykket regional- og distriktspolitikk forutsetter innsats på en rekke politikkområder. Blant annet er satsing på samferdsel, vekstfremmende skatte- og avgiftslettelser, gode helsetjenester, u</w:t>
      </w:r>
      <w:r>
        <w:t>t</w:t>
      </w:r>
      <w:r>
        <w:t>danning, forskning og innovasjon viktig for å få til en god regional utvikling og regional balanse. Inntektssystemet for kommuner og fylkesko</w:t>
      </w:r>
      <w:r>
        <w:t>m</w:t>
      </w:r>
      <w:r>
        <w:t>muner og den differensierte arbeidsgiveravgiften har stor betydning. Vedlegg 1.1 gir en oversikt over virkemidler under andre politikkområder som e</w:t>
      </w:r>
      <w:r>
        <w:t>n</w:t>
      </w:r>
      <w:r>
        <w:t>ten er begrunnet i distriktspolitiske mål, eller som er særlig viktige for distriktsområder. Samlet foreslår Regjeringen å bevilge omlag 44,6 mrd. kroner til de</w:t>
      </w:r>
      <w:r>
        <w:t>t</w:t>
      </w:r>
      <w:r>
        <w:t>te, en vekst på om lag 2 pst. fra 2019.</w:t>
      </w:r>
    </w:p>
    <w:p w:rsidR="00557A6F" w:rsidRDefault="00557A6F" w:rsidP="00557A6F">
      <w:r>
        <w:t>Regjeringen foreslår at det bevilges om lag 1,3 mrd. kroner under programkategorien. Som følge av r</w:t>
      </w:r>
      <w:r>
        <w:t>e</w:t>
      </w:r>
      <w:r>
        <w:t>gionreformen er det flere endringer i programkategorien, se boks 6.1. Omleggingen medfører en betydelig desentralisering, og en tydeliggjøring av ansvarsområder, innsats og resultater.</w:t>
      </w:r>
    </w:p>
    <w:p w:rsidR="00557A6F" w:rsidRDefault="00557A6F" w:rsidP="00557A6F">
      <w:pPr>
        <w:pStyle w:val="tittel-ramme"/>
      </w:pPr>
      <w:r>
        <w:t xml:space="preserve">Regionreformen og programkategori 13.50 </w:t>
      </w:r>
    </w:p>
    <w:p w:rsidR="00557A6F" w:rsidRDefault="00557A6F" w:rsidP="00557A6F">
      <w:r>
        <w:t xml:space="preserve">Programkategori 13.50 endres som følge av regionreformen, jf. Meld. St. 6 (2018–2019) </w:t>
      </w:r>
      <w:r>
        <w:rPr>
          <w:rStyle w:val="kursiv"/>
          <w:sz w:val="21"/>
          <w:szCs w:val="21"/>
        </w:rPr>
        <w:t>Oppgaver til nye regioner</w:t>
      </w:r>
      <w:r>
        <w:t xml:space="preserve"> og Prop. 113 S (2018–2019) </w:t>
      </w:r>
      <w:r>
        <w:rPr>
          <w:rStyle w:val="kursiv"/>
          <w:sz w:val="21"/>
          <w:szCs w:val="21"/>
        </w:rPr>
        <w:t>Kommuneproposisjonen 2020.</w:t>
      </w:r>
      <w:r>
        <w:t xml:space="preserve"> Oversikt over endringer:</w:t>
      </w:r>
    </w:p>
    <w:p w:rsidR="00557A6F" w:rsidRDefault="00557A6F" w:rsidP="00557A6F">
      <w:pPr>
        <w:pStyle w:val="Nummerertliste"/>
      </w:pPr>
      <w:r>
        <w:t>Følgende tilskudd innlemmes i rammetilskuddet til fylkeskommunene, under kap. 572, post 60 Innby</w:t>
      </w:r>
      <w:r>
        <w:t>g</w:t>
      </w:r>
      <w:r>
        <w:t>gertilskudd, totalt 100,1 mill. kroner:</w:t>
      </w:r>
    </w:p>
    <w:p w:rsidR="00557A6F" w:rsidRDefault="00557A6F" w:rsidP="00557A6F">
      <w:pPr>
        <w:pStyle w:val="Liste2"/>
      </w:pPr>
      <w:r>
        <w:t>Kap. 550, post 64 Inkluderende og vekstkraftige lokalsamfunn (51,6 mill. kroner).</w:t>
      </w:r>
    </w:p>
    <w:p w:rsidR="00557A6F" w:rsidRDefault="00557A6F" w:rsidP="00557A6F">
      <w:pPr>
        <w:pStyle w:val="Liste2"/>
      </w:pPr>
      <w:r>
        <w:t>Kap. 553, post 60 Regionale tiltak for utvikling av næringsmiljøer og tilgang til ko</w:t>
      </w:r>
      <w:r>
        <w:t>m</w:t>
      </w:r>
      <w:r>
        <w:t>petanse (48,5 mill. kroner).</w:t>
      </w:r>
    </w:p>
    <w:p w:rsidR="00557A6F" w:rsidRDefault="00557A6F" w:rsidP="00557A6F">
      <w:pPr>
        <w:pStyle w:val="Listeavsnitt"/>
      </w:pPr>
      <w:r>
        <w:t>Tilskuddene vil i 2020 bli gitt en særskilt fordeling innenfor rammetilskuddet til fylkesko</w:t>
      </w:r>
      <w:r>
        <w:t>m</w:t>
      </w:r>
      <w:r>
        <w:t xml:space="preserve">munene (tabell c). </w:t>
      </w:r>
    </w:p>
    <w:p w:rsidR="00557A6F" w:rsidRDefault="00557A6F" w:rsidP="00557A6F">
      <w:pPr>
        <w:pStyle w:val="Nummerertliste"/>
      </w:pPr>
      <w:r>
        <w:t>Fylkeskommunene får oppdragsgiveransvaret for en rekke næringsrettede virkemidler i Inn</w:t>
      </w:r>
      <w:r>
        <w:t>o</w:t>
      </w:r>
      <w:r>
        <w:t xml:space="preserve">vasjon Norge og Siva. Disse samles på kap. 553, post 61(ny) Mobiliserende og kvalifiserende næringsutvikling med totalt 763,3 mill. kroner: </w:t>
      </w:r>
    </w:p>
    <w:p w:rsidR="00557A6F" w:rsidRDefault="00557A6F" w:rsidP="00557A6F">
      <w:pPr>
        <w:pStyle w:val="Liste2"/>
      </w:pPr>
      <w:r>
        <w:lastRenderedPageBreak/>
        <w:t>Næringshageprogrammet: 76,3 mill. kroner overføres fra kap. 550, post 70 Bedriftsre</w:t>
      </w:r>
      <w:r>
        <w:t>t</w:t>
      </w:r>
      <w:r>
        <w:t>tede progra</w:t>
      </w:r>
      <w:r>
        <w:t>m</w:t>
      </w:r>
      <w:r>
        <w:t>mer i distriktene.</w:t>
      </w:r>
    </w:p>
    <w:p w:rsidR="00557A6F" w:rsidRDefault="00557A6F" w:rsidP="00557A6F">
      <w:pPr>
        <w:pStyle w:val="Liste2"/>
      </w:pPr>
      <w:r>
        <w:t>Inkubasjonsprogrammet: 49,0 mill. kroner overføres fra kap. 553, post 74 Klynger og innovasjon og 73,8 mill. kroner overføres fra Nærings- og fiskeridepartementets kap. 2426, post 70 Tilskudd.</w:t>
      </w:r>
    </w:p>
    <w:p w:rsidR="00557A6F" w:rsidRDefault="00557A6F" w:rsidP="00557A6F">
      <w:pPr>
        <w:pStyle w:val="Liste2"/>
      </w:pPr>
      <w:r>
        <w:t>Bedriftsnettverk: 26,1 mill. kroner overføres fra kap. 553, post 74 Klynger og innov</w:t>
      </w:r>
      <w:r>
        <w:t>a</w:t>
      </w:r>
      <w:r>
        <w:t>sjon, 10,8 mill. kroner overføres fra Nærings- og fiskeridepartementets kap. 2421, post 71 Innovative næringsmiljøer og 4,1 mill. kroner overføres fra Kulturdepartementets kap. 325, post 71 Kultur som næring.</w:t>
      </w:r>
    </w:p>
    <w:p w:rsidR="00557A6F" w:rsidRDefault="00557A6F" w:rsidP="00557A6F">
      <w:pPr>
        <w:pStyle w:val="Liste2"/>
      </w:pPr>
      <w:r>
        <w:t>Mentortjenesten: 12,0 mill. kroner overføres fra kap. 550, post 70 Bedriftsrettede pr</w:t>
      </w:r>
      <w:r>
        <w:t>o</w:t>
      </w:r>
      <w:r>
        <w:t>grammer i distriktene og 5,3 mill. kroner overføres fra Nærings- og fiskerideparteme</w:t>
      </w:r>
      <w:r>
        <w:t>n</w:t>
      </w:r>
      <w:r>
        <w:t>tets kap. 2421, post 74 Reis</w:t>
      </w:r>
      <w:r>
        <w:t>e</w:t>
      </w:r>
      <w:r>
        <w:t>liv, profilering og kompetanse.</w:t>
      </w:r>
    </w:p>
    <w:p w:rsidR="00557A6F" w:rsidRDefault="00557A6F" w:rsidP="00557A6F">
      <w:pPr>
        <w:pStyle w:val="Liste2"/>
      </w:pPr>
      <w:r>
        <w:t>Deler av det landsdekkende etablerertilskuddet: 38,3 mill. kroner overføres fra N</w:t>
      </w:r>
      <w:r>
        <w:t>æ</w:t>
      </w:r>
      <w:r>
        <w:t>rings- og fiskeridepart</w:t>
      </w:r>
      <w:r>
        <w:t>e</w:t>
      </w:r>
      <w:r>
        <w:t>mentets kap. 2421, post 50 Innovasjon – prosjekter, fond.</w:t>
      </w:r>
    </w:p>
    <w:p w:rsidR="00557A6F" w:rsidRDefault="00557A6F" w:rsidP="00557A6F">
      <w:pPr>
        <w:pStyle w:val="Liste2"/>
      </w:pPr>
      <w:r>
        <w:t>I tillegg overføres virkemidlene under kap. 550, post 62 Bedriftsrettede låne- og ti</w:t>
      </w:r>
      <w:r>
        <w:t>l</w:t>
      </w:r>
      <w:r>
        <w:t>skuddsordninger i distriktene, 467,6 mill. kroner, slik at fylkeskommunenes oppdrag</w:t>
      </w:r>
      <w:r>
        <w:t>s</w:t>
      </w:r>
      <w:r>
        <w:t xml:space="preserve">giveransvar samles på én post. </w:t>
      </w:r>
    </w:p>
    <w:p w:rsidR="00557A6F" w:rsidRDefault="00557A6F" w:rsidP="00557A6F">
      <w:pPr>
        <w:pStyle w:val="Listeavsnitt"/>
      </w:pPr>
      <w:r>
        <w:t>Overføring av oppgaver til fylkeskommunene gir en tydeligere arbeidsdeling mellom staten og fylkesko</w:t>
      </w:r>
      <w:r>
        <w:t>m</w:t>
      </w:r>
      <w:r>
        <w:t>munene i næringspolitikken. Oppdragsgiveransvar for landsdekkende næringsrettede virkemidler og nasjon</w:t>
      </w:r>
      <w:r>
        <w:t>a</w:t>
      </w:r>
      <w:r>
        <w:t xml:space="preserve">le konkurransearenaer som skal bidra til høyest mulig nasjonal effekt og innovasjonsgrad, skal fortsatt være statlige. </w:t>
      </w:r>
    </w:p>
    <w:p w:rsidR="00557A6F" w:rsidRDefault="00557A6F" w:rsidP="00557A6F">
      <w:pPr>
        <w:pStyle w:val="Nummerertliste"/>
      </w:pPr>
      <w:r>
        <w:t>Regjeringen foreslår å overføre 45,5 mill. kroner av Arktis 2030 fra Utenriksdepartementets kap. 118, post 70 Nordområdetiltak, samarbeid med Russland og atomsikkerhet til kap. 553, post 63 Interreg og Arktis 2030. Ordningen skal forvaltes av Troms og Finnmark fylkesko</w:t>
      </w:r>
      <w:r>
        <w:t>m</w:t>
      </w:r>
      <w:r>
        <w:t>mune, i nært samarbeid med Nordland fylke</w:t>
      </w:r>
      <w:r>
        <w:t>s</w:t>
      </w:r>
      <w:r>
        <w:t xml:space="preserve">kommune. </w:t>
      </w:r>
    </w:p>
    <w:p w:rsidR="00557A6F" w:rsidRDefault="00557A6F" w:rsidP="00557A6F">
      <w:pPr>
        <w:pStyle w:val="Nummerertliste"/>
      </w:pPr>
      <w:r>
        <w:t>Troms og Finnmark fylkeskommune får fra 1. januar 2020 ansvar for et sekretariat for Regi</w:t>
      </w:r>
      <w:r>
        <w:t>o</w:t>
      </w:r>
      <w:r>
        <w:t>nalt nordområdeforum i Vadsø. Sekretariatet finansieres under kap. 553, post 63 Interreg og Arktis 2030.</w:t>
      </w:r>
    </w:p>
    <w:p w:rsidR="00557A6F" w:rsidRDefault="00557A6F" w:rsidP="00557A6F">
      <w:r>
        <w:t>Se nærmere omtale under den enkelte budsjettpost.</w:t>
      </w:r>
    </w:p>
    <w:p w:rsidR="00557A6F" w:rsidRDefault="007F3140" w:rsidP="007F3140">
      <w:pPr>
        <w:pStyle w:val="Ramme-slutt"/>
      </w:pPr>
      <w:r>
        <w:t>[Boks slutt]</w:t>
      </w:r>
    </w:p>
    <w:p w:rsidR="00557A6F" w:rsidRDefault="00557A6F" w:rsidP="00557A6F">
      <w:pPr>
        <w:pStyle w:val="Undertittel"/>
      </w:pPr>
      <w:r>
        <w:t>Ansvarsområder</w:t>
      </w:r>
    </w:p>
    <w:p w:rsidR="00557A6F" w:rsidRDefault="00557A6F" w:rsidP="00557A6F">
      <w:r>
        <w:t>Kommunal- og moderniseringsdepartementet har en samordningsrolle i saker som har betydning for regional- og distriktspolitiske mål. Departementet koordinerer regjeringens arbeid med lokal</w:t>
      </w:r>
      <w:r>
        <w:t>i</w:t>
      </w:r>
      <w:r>
        <w:t>sering av statlige arbeidsplasser, og bidrar med dette til å styrke kompetansemiljøer over hele la</w:t>
      </w:r>
      <w:r>
        <w:t>n</w:t>
      </w:r>
      <w:r>
        <w:t>det. Departeme</w:t>
      </w:r>
      <w:r>
        <w:t>n</w:t>
      </w:r>
      <w:r>
        <w:t>tet arbeider aktivt for at EØS-regelverket for regionalpolitisk offentlig støtte gir handlingsrom for regional- og distriktspolitisk innsats. Departementet skal bidra til bedre samor</w:t>
      </w:r>
      <w:r>
        <w:t>d</w:t>
      </w:r>
      <w:r>
        <w:t>ning mellom regjeringens nordo</w:t>
      </w:r>
      <w:r>
        <w:t>m</w:t>
      </w:r>
      <w:r>
        <w:t>rådesatsing og annen innsats i Nord-Norge.</w:t>
      </w:r>
    </w:p>
    <w:p w:rsidR="00557A6F" w:rsidRDefault="00557A6F" w:rsidP="00557A6F">
      <w:r>
        <w:t>Fylkeskommunene har, som regionalt folkevalgt nivå, ansvar for å legge til rette for verdiskaping og samfunnsutvikling i sine fylker. Om lag 74 pst. av midlene over programkategori 13.50 blir overført til fylkeskommunene. Som følge av regionreformen får fylkeskommunene økt ansvar for virkemidler som er sentrale for å mobilisere og utvikle særlig små og mellomstore bedrifter og gründere i alle deler av landet. Kommunene har ansvar for å sikre gode levekår og et likeverdig tjenestetilbud lokalt, og skal samtidig være en pådriver for lokal samfunns- og næringsutvikling.</w:t>
      </w:r>
    </w:p>
    <w:p w:rsidR="00557A6F" w:rsidRDefault="00557A6F" w:rsidP="00557A6F">
      <w:r>
        <w:t>Kompetansesenter for distriktsutvikling (Distriktssenteret) er en støttespiller og rådgiver for helhe</w:t>
      </w:r>
      <w:r>
        <w:t>t</w:t>
      </w:r>
      <w:r>
        <w:t>lig og bærekraftig utviklingsarbeid i distriktsområder. Senteret skal bidra til å nå regional- og distriktspolitiske mål gje</w:t>
      </w:r>
      <w:r>
        <w:t>n</w:t>
      </w:r>
      <w:r>
        <w:t>nom å hente inn, systematisere og formidle erfarings- og forskningsbasert kunnskap om lokal samfunnsutvi</w:t>
      </w:r>
      <w:r>
        <w:t>k</w:t>
      </w:r>
      <w:r>
        <w:t>ling. Distriktssenteret skal bistå fylkeskommunene i deres arbeid med å skape en helhetlig og ønsket utvikling i egen region. Distriktssenteret forvalter også Me</w:t>
      </w:r>
      <w:r>
        <w:t>r</w:t>
      </w:r>
      <w:r>
        <w:t>kur-programmet. Dette er et virkemiddel for å sikre tilgang til grunnleggende private tjenester, med vekt på dagligvarer og drivstofftilbud, i områder med få innbyggere.</w:t>
      </w:r>
    </w:p>
    <w:p w:rsidR="00557A6F" w:rsidRDefault="00557A6F" w:rsidP="00557A6F">
      <w:r>
        <w:lastRenderedPageBreak/>
        <w:t>De nasjonale virkemiddelaktørene Innovasjon Norge, Selskapet for industrivekst SF (Siva) og Norges Forskningsråd (Forskningsrådet) forvalter økonomiske virkemidler i regional- og distrikt</w:t>
      </w:r>
      <w:r>
        <w:t>s</w:t>
      </w:r>
      <w:r>
        <w:t>politikken. Innovasjon Norge skal utløse samfunnsøkonomisk lønnsom næringsutvikling og regi</w:t>
      </w:r>
      <w:r>
        <w:t>o</w:t>
      </w:r>
      <w:r>
        <w:t>nenes næringsmessige muligheter. Siva skal, gjennom fysisk og organisatorisk infrastruktur, utvi</w:t>
      </w:r>
      <w:r>
        <w:t>k</w:t>
      </w:r>
      <w:r>
        <w:t>le oppstarts- og innovasjonsmiljøer og bedriftsfellesskap. Forskningsrådet skal arbeide for at n</w:t>
      </w:r>
      <w:r>
        <w:t>æ</w:t>
      </w:r>
      <w:r>
        <w:t>ringslivet etterspør mer forskning, forsker mer og at forskningsresultater i større grad blir tatt i bruk. Virkemiddelaktørene sa</w:t>
      </w:r>
      <w:r>
        <w:t>m</w:t>
      </w:r>
      <w:r>
        <w:t>arbeider tett med fylkeskommunene. Oppdragsgiveransvaret for flere ordninger under Innovasjon Norge og Siva flyttes fra departementene til fylkeskommunene fra 2020, se boks 6.1 og omtale under kap. 553, post 61 Mobiliserende og kvalifiserende næring</w:t>
      </w:r>
      <w:r>
        <w:t>s</w:t>
      </w:r>
      <w:r>
        <w:t>utvikling.</w:t>
      </w:r>
    </w:p>
    <w:p w:rsidR="00557A6F" w:rsidRDefault="00557A6F" w:rsidP="00557A6F">
      <w:pPr>
        <w:pStyle w:val="Undertittel"/>
      </w:pPr>
      <w:r>
        <w:t>Utviklingstrekk og utfordringer</w:t>
      </w:r>
    </w:p>
    <w:p w:rsidR="00557A6F" w:rsidRDefault="00557A6F" w:rsidP="00557A6F">
      <w:r>
        <w:t>Norsk økonomi er inne i en oppgangskonjunktur. Etterspørselen etter arbeidskraft har økt, og a</w:t>
      </w:r>
      <w:r>
        <w:t>r</w:t>
      </w:r>
      <w:r>
        <w:t>beidsledigheten har avtatt de siste to årene. Arbeidsledigheten i Distrikts-Norge er på et lavere nivå enn i resten av landet, og mange steder også lavere enn før oljeprisfallet.</w:t>
      </w:r>
    </w:p>
    <w:p w:rsidR="00557A6F" w:rsidRDefault="00557A6F" w:rsidP="00557A6F">
      <w:r>
        <w:t>Befolkningen i Norge har vært i kraftig vekst de siste tiårene, men Statistisk sentralbyrå forventer l</w:t>
      </w:r>
      <w:r>
        <w:t>a</w:t>
      </w:r>
      <w:r>
        <w:t>vere vekst framover. Lavere innvandring og fruktbarhet gjør at aldringen av befolkningen vil bli sterkere enn tidligere antatt. Demografiske endringer vil føre til færre personer i arbeidsfør alder, særlig i distriktskommuner. Konkurransen om arbeidskraften blir større. Mange bedrifter og offen</w:t>
      </w:r>
      <w:r>
        <w:t>t</w:t>
      </w:r>
      <w:r>
        <w:t>lige virksomheter i distriktskommuner mangler kompetent arbeidskraft. Tilgang på relevant ko</w:t>
      </w:r>
      <w:r>
        <w:t>m</w:t>
      </w:r>
      <w:r>
        <w:t>petanse er en viktig forutsetning for å gjennomføre nødvendige en</w:t>
      </w:r>
      <w:r>
        <w:t>d</w:t>
      </w:r>
      <w:r>
        <w:t>ringer i offentlig sektor og i næringslivet.</w:t>
      </w:r>
    </w:p>
    <w:p w:rsidR="00557A6F" w:rsidRDefault="00557A6F" w:rsidP="00557A6F">
      <w:r>
        <w:t>At en stor andel står utenfor arbeidslivet forsterker utfordringene. Det er store forskjeller i sysse</w:t>
      </w:r>
      <w:r>
        <w:t>l</w:t>
      </w:r>
      <w:r>
        <w:t>settingsandelen mellom kommuner, men distriktskommuner har i gjennomsnitt like høy sysselse</w:t>
      </w:r>
      <w:r>
        <w:t>t</w:t>
      </w:r>
      <w:r>
        <w:t>tingsandel som mer sentrale kommuner. De siste par årene har flere kommet i jobb, og nedgangen i sysselsettingsandelen er snudd til op</w:t>
      </w:r>
      <w:r>
        <w:t>p</w:t>
      </w:r>
      <w:r>
        <w:t>gang.</w:t>
      </w:r>
    </w:p>
    <w:p w:rsidR="00557A6F" w:rsidRDefault="00557A6F" w:rsidP="00557A6F">
      <w:r>
        <w:t>Distriktsområder har strukturelle utfordringer på grunn av mindre bredde i næringsstrukturen, små næringsmiljøer, mindre markeder og større avstander til kompetansemiljøer, investorer og andre sama</w:t>
      </w:r>
      <w:r>
        <w:t>r</w:t>
      </w:r>
      <w:r>
        <w:t>beidspartnere. Slike strukturelle ulemper gjør det mer krevende å utnytte ressursene for vekst og verdiskaping, samt å omstille seg når det skjer større endringer i marked, teknologi, råvareti</w:t>
      </w:r>
      <w:r>
        <w:t>l</w:t>
      </w:r>
      <w:r>
        <w:t>gang eller krav til kompetanse.</w:t>
      </w:r>
    </w:p>
    <w:p w:rsidR="00557A6F" w:rsidRDefault="00557A6F" w:rsidP="00557A6F">
      <w:r>
        <w:t>Norske regioner er klassifisert som ledende eller sterke innovatører i Europa.</w:t>
      </w:r>
      <w:r>
        <w:rPr>
          <w:vertAlign w:val="superscript"/>
        </w:rPr>
        <w:footnoteReference w:id="3"/>
      </w:r>
      <w:r>
        <w:t xml:space="preserve"> Over halvparten av foretakene i n</w:t>
      </w:r>
      <w:r>
        <w:t>æ</w:t>
      </w:r>
      <w:r>
        <w:t>ringslivet utfører innovasjonsaktiviteter, og det er like mye som næringslivet i de andre nordiske landene.</w:t>
      </w:r>
      <w:r>
        <w:rPr>
          <w:vertAlign w:val="superscript"/>
        </w:rPr>
        <w:footnoteReference w:id="4"/>
      </w:r>
      <w:r>
        <w:t xml:space="preserve"> Graden av innovasjonsaktivitet i Norge er relativt jevnt fordelt mellom regionene. Det er en styrke for landet og indikerer at norske regioner evner å respondere på en</w:t>
      </w:r>
      <w:r>
        <w:t>d</w:t>
      </w:r>
      <w:r>
        <w:t>ringer i markedet og har kapasitet til omstilling.</w:t>
      </w:r>
    </w:p>
    <w:p w:rsidR="00557A6F" w:rsidRDefault="00557A6F" w:rsidP="00557A6F">
      <w:r>
        <w:t>Rammene for vekst og omstilling i bedrifter og næringsmiljøer er likevel ulike fra en region til en annen. Blant annet er det store variasjoner i tilgangen på relevante samarbeidspartnere, investorer, kun</w:t>
      </w:r>
      <w:r>
        <w:t>n</w:t>
      </w:r>
      <w:r>
        <w:t>skap og kompetent arbeidskraft. Skal Norge opprettholde den høye velferden, må ressursene i hele landet utnyttes effektivt. Geografisk spredning av verdiskapende aktivitet vil være en forutse</w:t>
      </w:r>
      <w:r>
        <w:t>t</w:t>
      </w:r>
      <w:r>
        <w:t>ning for full ressursutnyttelse og høyest mulig n</w:t>
      </w:r>
      <w:r>
        <w:t>a</w:t>
      </w:r>
      <w:r>
        <w:t>sjonalinntekt.</w:t>
      </w:r>
    </w:p>
    <w:p w:rsidR="00557A6F" w:rsidRDefault="00557A6F" w:rsidP="00557A6F">
      <w:r>
        <w:t>Med dette som bakgrunn retter programkategori 13.50 seg mot følgende utfordringer:</w:t>
      </w:r>
    </w:p>
    <w:p w:rsidR="00557A6F" w:rsidRDefault="00557A6F" w:rsidP="00557A6F">
      <w:pPr>
        <w:pStyle w:val="avsnitt-under-undertittel"/>
        <w:rPr>
          <w:rStyle w:val="kursiv"/>
          <w:i/>
          <w:iCs/>
          <w:sz w:val="21"/>
          <w:szCs w:val="21"/>
        </w:rPr>
      </w:pPr>
      <w:r>
        <w:rPr>
          <w:rStyle w:val="kursiv"/>
          <w:i/>
          <w:iCs/>
          <w:sz w:val="21"/>
          <w:szCs w:val="21"/>
        </w:rPr>
        <w:t>Utfordringer for vekstkraft</w:t>
      </w:r>
    </w:p>
    <w:p w:rsidR="00557A6F" w:rsidRDefault="00557A6F" w:rsidP="00557A6F">
      <w:r>
        <w:t>Utvikling av nye forretningsområder er risikofylt, spesielt i områder med avstand til store mark</w:t>
      </w:r>
      <w:r>
        <w:t>e</w:t>
      </w:r>
      <w:r>
        <w:t>der. Bedrifter i distriktsområder har ofte mindre tilgang på privat risikokapital enn bedrifter i mer sentrale strøk, og lange avstander gir dårligere tilgang på informasjon for investorer og banker. I tillegg kan risikoen oppleves som høy fordi annenhåndsverdien på pant er lav, for eksempel for eiendom, bygg og maskiner.</w:t>
      </w:r>
      <w:r>
        <w:rPr>
          <w:rStyle w:val="skrift-hevet"/>
          <w:sz w:val="21"/>
          <w:szCs w:val="21"/>
        </w:rPr>
        <w:footnoteReference w:id="5"/>
      </w:r>
    </w:p>
    <w:p w:rsidR="00557A6F" w:rsidRDefault="00557A6F" w:rsidP="00557A6F">
      <w:r>
        <w:lastRenderedPageBreak/>
        <w:t>Nyetablerte bedrifter kan oppleve mangel på kapital for å realisere prosjekter og for å vokse, da private investorer kan vurdere risikoen som for høy. Nye virksomheter er viktige, da de ofte vokser raskere og har høyere produkt</w:t>
      </w:r>
      <w:r>
        <w:t>i</w:t>
      </w:r>
      <w:r>
        <w:t>vitet enn virksomhetene de erstatter.</w:t>
      </w:r>
      <w:r>
        <w:rPr>
          <w:vertAlign w:val="superscript"/>
        </w:rPr>
        <w:footnoteReference w:id="6"/>
      </w:r>
      <w:r>
        <w:t xml:space="preserve"> Over tid vil nye og innovative bedrifter stå for en stadig større andel av samlet sysselsetting og verdiskaping.</w:t>
      </w:r>
      <w:r>
        <w:rPr>
          <w:vertAlign w:val="superscript"/>
        </w:rPr>
        <w:footnoteReference w:id="7"/>
      </w:r>
      <w:r>
        <w:t xml:space="preserve"> Å starte ny vir</w:t>
      </w:r>
      <w:r>
        <w:t>k</w:t>
      </w:r>
      <w:r>
        <w:t>somhet krever kunnskap og ferdigheter, og mangel på forretningskompetanse og nettverk er v</w:t>
      </w:r>
      <w:r>
        <w:t>e</w:t>
      </w:r>
      <w:r>
        <w:t>sentlige hindringer for suksess.</w:t>
      </w:r>
    </w:p>
    <w:p w:rsidR="00557A6F" w:rsidRDefault="00557A6F" w:rsidP="00557A6F">
      <w:r>
        <w:t>God tilgang på kompetent arbeidskraft er en hovedutfordring for vekst og verdiskaping i hele la</w:t>
      </w:r>
      <w:r>
        <w:t>n</w:t>
      </w:r>
      <w:r>
        <w:t>det, og er en særlig stor og gjennomgående utfordring i distriktene. Mange bedrifter og kommuner har begrenset mulighet å ta ut sitt potensial, fordi de har vanskelig for å rekruttere relevant arbeid</w:t>
      </w:r>
      <w:r>
        <w:t>s</w:t>
      </w:r>
      <w:r>
        <w:t>kraft og kompetanse. Manglende tilgang på kompetanse kan også svekke muligheten for å utvikle nye næringer i distriktene som etterspør andre typer arbeidskraft og kompetanse enn den som ti</w:t>
      </w:r>
      <w:r>
        <w:t>l</w:t>
      </w:r>
      <w:r>
        <w:t>bys.</w:t>
      </w:r>
    </w:p>
    <w:p w:rsidR="00557A6F" w:rsidRDefault="00557A6F" w:rsidP="00557A6F">
      <w:r>
        <w:t>Norsk næringsliv investerer mindre i FoU som andel av BNP enn andre land. Investeringene vari</w:t>
      </w:r>
      <w:r>
        <w:t>e</w:t>
      </w:r>
      <w:r>
        <w:t>rer med bransjetilknytning, men er mulige å påvirke ved å fremme økt erfaring med forskning, økt kompetansenivå i bedrifter og økt kjennskap til finansieringsmuligheter og FoU-institusjoner. Manglende sa</w:t>
      </w:r>
      <w:r>
        <w:t>m</w:t>
      </w:r>
      <w:r>
        <w:t>handling mellom bedrifter, forsknings- og utviklingsmiljø og offentlige aktører er også noe som begrenser innovasjons- og omstillingsevnen. For å utnytte potensialet for økonomisk vekst og utvikling i bedrifter og verdikjeder, er det behov for strukturer for deling og utvikling av kunnskap og kompetanse og for net</w:t>
      </w:r>
      <w:r>
        <w:t>t</w:t>
      </w:r>
      <w:r>
        <w:t>verk eller arenaer hvor dette kan skje.</w:t>
      </w:r>
    </w:p>
    <w:p w:rsidR="00557A6F" w:rsidRDefault="00557A6F" w:rsidP="00557A6F">
      <w:r>
        <w:t>Enkelte steder opplever nedleggelser, store nedbemanninger eller vedvarende høy ledighet. Det gir negative ringvirkninger for enkeltmennesker og lokalsamfunnet. Særlig små arbeidsmarkeder med så</w:t>
      </w:r>
      <w:r>
        <w:t>r</w:t>
      </w:r>
      <w:r>
        <w:t>bare næringsmiljøer og få pendlingsmuligheter kan oppleve behov for omstillingsinnsats. For landet som helhet er det lønnsomt med omstilling av slike arbeidsmarkeder og næringsmiljøer.</w:t>
      </w:r>
    </w:p>
    <w:p w:rsidR="00557A6F" w:rsidRDefault="00557A6F" w:rsidP="00557A6F">
      <w:pPr>
        <w:pStyle w:val="avsnitt-under-undertittel"/>
        <w:rPr>
          <w:rStyle w:val="kursiv"/>
          <w:i/>
          <w:iCs/>
          <w:sz w:val="21"/>
          <w:szCs w:val="21"/>
        </w:rPr>
      </w:pPr>
      <w:r>
        <w:rPr>
          <w:rStyle w:val="kursiv"/>
          <w:i/>
          <w:iCs/>
          <w:sz w:val="21"/>
          <w:szCs w:val="21"/>
        </w:rPr>
        <w:t>Grenseregionale utfordringer</w:t>
      </w:r>
    </w:p>
    <w:p w:rsidR="00557A6F" w:rsidRDefault="00557A6F" w:rsidP="00557A6F">
      <w:r>
        <w:t>Landegrenser og kulturforskjeller kan være hindre for flyt av varer, tjenester, kapital og personer, og dermed samlet økonomisk vekst i grenseregioner. Det er behov for utvikling og deling av kunnskap og kompetanse og for nettverk eller arenaer for samarbeid som bidrar til å styrke grens</w:t>
      </w:r>
      <w:r>
        <w:t>e</w:t>
      </w:r>
      <w:r>
        <w:t>regionenes økonomiske vekst. De fleste grensekommunene ligger i det distriktspolitiske virkeo</w:t>
      </w:r>
      <w:r>
        <w:t>m</w:t>
      </w:r>
      <w:r>
        <w:t>rådet og har naturlige samarbeidspartnere i Norges naboland. Dette bildet er særlig tydelig i Nord-Norge, der mange utfor</w:t>
      </w:r>
      <w:r>
        <w:t>d</w:t>
      </w:r>
      <w:r>
        <w:t>ringer best løses gjennom internasjonalt samarbeid.</w:t>
      </w:r>
    </w:p>
    <w:p w:rsidR="00557A6F" w:rsidRDefault="00557A6F" w:rsidP="00557A6F">
      <w:pPr>
        <w:pStyle w:val="avsnitt-under-undertittel"/>
        <w:rPr>
          <w:rStyle w:val="kursiv"/>
          <w:i/>
          <w:iCs/>
          <w:sz w:val="21"/>
          <w:szCs w:val="21"/>
        </w:rPr>
      </w:pPr>
      <w:r>
        <w:rPr>
          <w:rStyle w:val="kursiv"/>
          <w:i/>
          <w:iCs/>
          <w:sz w:val="21"/>
          <w:szCs w:val="21"/>
        </w:rPr>
        <w:t>Utfordringer for lokal utviklingsevne og tilgang til private tjenester i områder med få innbyggere</w:t>
      </w:r>
    </w:p>
    <w:p w:rsidR="00557A6F" w:rsidRDefault="00557A6F" w:rsidP="00557A6F">
      <w:r>
        <w:t>Samfunnet er komplekst og i stadig endring. Det krever i økende grad samarbeid mellom forval</w:t>
      </w:r>
      <w:r>
        <w:t>t</w:t>
      </w:r>
      <w:r>
        <w:t>ningsnivåer og aktører for å legge til rette for vekst og likeverdige levekår. Det er viktig for ko</w:t>
      </w:r>
      <w:r>
        <w:t>m</w:t>
      </w:r>
      <w:r>
        <w:t>muner, fylke</w:t>
      </w:r>
      <w:r>
        <w:t>s</w:t>
      </w:r>
      <w:r>
        <w:t>kommuner og andre offentlige og private aktører å være oppdatert på kunnskap og erfaringer om gode arbeidsmåter i samfunnsutviklingsarbeidet. Flere kommuner i mindre arbeid</w:t>
      </w:r>
      <w:r>
        <w:t>s</w:t>
      </w:r>
      <w:r>
        <w:t>markeder har små administrasjoner og fagmiljø som gjør det ekstra krevende å tilegne seg slik kunnskap. I områder med få in</w:t>
      </w:r>
      <w:r>
        <w:t>n</w:t>
      </w:r>
      <w:r>
        <w:t>byggere kan et svakt kundegrunnlag gjøre det utfordrende å få til lønnsom drift av dagligvarebutikken og andre tjenester som er viktige for innbyggere og tilreise</w:t>
      </w:r>
      <w:r>
        <w:t>n</w:t>
      </w:r>
      <w:r>
        <w:t>de.</w:t>
      </w:r>
    </w:p>
    <w:p w:rsidR="00557A6F" w:rsidRDefault="00557A6F" w:rsidP="00557A6F">
      <w:pPr>
        <w:pStyle w:val="Undertittel"/>
      </w:pPr>
      <w:r>
        <w:t>Mål og rapportering, strategier og tiltak</w:t>
      </w:r>
    </w:p>
    <w:p w:rsidR="007F3140" w:rsidRPr="007F3140" w:rsidRDefault="007F3140" w:rsidP="007F3140">
      <w:pPr>
        <w:pStyle w:val="tabell-tittel"/>
      </w:pPr>
      <w:r>
        <w:t>Mål for programkategori 13.50 Distrikts- og regionalpolitikk</w:t>
      </w:r>
    </w:p>
    <w:p w:rsidR="00557A6F" w:rsidRDefault="00557A6F" w:rsidP="00557A6F">
      <w:pPr>
        <w:pStyle w:val="Tabellnavn"/>
      </w:pPr>
      <w:r>
        <w:t>02J0xx2</w:t>
      </w:r>
    </w:p>
    <w:tbl>
      <w:tblPr>
        <w:tblStyle w:val="StandardTabell"/>
        <w:tblW w:w="0" w:type="auto"/>
        <w:tblLayout w:type="fixed"/>
        <w:tblLook w:val="04A0" w:firstRow="1" w:lastRow="0" w:firstColumn="1" w:lastColumn="0" w:noHBand="0" w:noVBand="1"/>
      </w:tblPr>
      <w:tblGrid>
        <w:gridCol w:w="9200"/>
      </w:tblGrid>
      <w:tr w:rsidR="00557A6F" w:rsidTr="00557A6F">
        <w:trPr>
          <w:trHeight w:val="380"/>
        </w:trPr>
        <w:tc>
          <w:tcPr>
            <w:tcW w:w="9200" w:type="dxa"/>
          </w:tcPr>
          <w:p w:rsidR="00557A6F" w:rsidRDefault="00557A6F" w:rsidP="00557A6F">
            <w:r>
              <w:t>1.</w:t>
            </w:r>
            <w:r>
              <w:tab/>
              <w:t>Vekstkraftig næringsliv i regioner og distrikt</w:t>
            </w:r>
          </w:p>
        </w:tc>
      </w:tr>
      <w:tr w:rsidR="00557A6F" w:rsidTr="00557A6F">
        <w:trPr>
          <w:trHeight w:val="380"/>
        </w:trPr>
        <w:tc>
          <w:tcPr>
            <w:tcW w:w="9200" w:type="dxa"/>
          </w:tcPr>
          <w:p w:rsidR="00557A6F" w:rsidRDefault="00557A6F" w:rsidP="00557A6F">
            <w:r>
              <w:lastRenderedPageBreak/>
              <w:t>2.</w:t>
            </w:r>
            <w:r>
              <w:tab/>
              <w:t>Regional utvikling over landegrensene og i nordområdene</w:t>
            </w:r>
          </w:p>
        </w:tc>
      </w:tr>
      <w:tr w:rsidR="00557A6F" w:rsidTr="00557A6F">
        <w:trPr>
          <w:trHeight w:val="380"/>
        </w:trPr>
        <w:tc>
          <w:tcPr>
            <w:tcW w:w="9200" w:type="dxa"/>
          </w:tcPr>
          <w:p w:rsidR="00557A6F" w:rsidRDefault="00557A6F" w:rsidP="00557A6F">
            <w:r>
              <w:t>3.</w:t>
            </w:r>
            <w:r>
              <w:tab/>
              <w:t>Styrket utviklingsevne og tilgang til grunnleggende private tjenester i distriktene</w:t>
            </w:r>
          </w:p>
        </w:tc>
      </w:tr>
    </w:tbl>
    <w:p w:rsidR="00557A6F" w:rsidRDefault="00557A6F" w:rsidP="00557A6F">
      <w:r>
        <w:t>Departementet foreslår en del endringer under programkategorien som følge av regionreformen, jf. boks 6.1. Departementet har derfor endret målene fra Prop. 1 S (2018–2019) for Kommunal- og moderniseringsdepartementet. Hensikten er å legge til rette for desentralisering, tydeligere a</w:t>
      </w:r>
      <w:r>
        <w:t>n</w:t>
      </w:r>
      <w:r>
        <w:t>svarsfordeling og tydeligere prioriteringer, både geografisk og mellom mål. For å gi en mer sa</w:t>
      </w:r>
      <w:r>
        <w:t>m</w:t>
      </w:r>
      <w:r>
        <w:t>menhengende beskrivelse av regjeringens politikk og resultater, har departementet valgt å legge de nye målene til grunn for videre omtale av rapportering fra 2018, status i 2019 og strategier og tiltak i 2020.</w:t>
      </w:r>
    </w:p>
    <w:p w:rsidR="00557A6F" w:rsidRDefault="00557A6F" w:rsidP="00557A6F">
      <w:pPr>
        <w:pStyle w:val="avsnitt-tittel"/>
      </w:pPr>
      <w:r>
        <w:t>Mål 1 Vekstkraftig næringsliv i regioner og distrikt</w:t>
      </w:r>
    </w:p>
    <w:p w:rsidR="00557A6F" w:rsidRDefault="00557A6F" w:rsidP="00557A6F">
      <w:r>
        <w:t>Regjeringen vil bidra til vekstkraftig næringsliv i regioner og distrikt gjennom innsats tilpasset r</w:t>
      </w:r>
      <w:r>
        <w:t>e</w:t>
      </w:r>
      <w:r>
        <w:t>gionale muligheter og utfordringer.</w:t>
      </w:r>
    </w:p>
    <w:p w:rsidR="00557A6F" w:rsidRDefault="00557A6F" w:rsidP="00557A6F">
      <w:pPr>
        <w:pStyle w:val="avsnitt-undertittel"/>
      </w:pPr>
      <w:r>
        <w:t>Rapport, strategier og tiltak</w:t>
      </w:r>
    </w:p>
    <w:p w:rsidR="00557A6F" w:rsidRDefault="00557A6F" w:rsidP="00557A6F">
      <w:r>
        <w:t>Fylkeskommunene får fra 2020 oppdragsgiveransvar for en rekke næringsrettede ordninger i regi av Innovasjon Norge og Siva, og skal mobilisere og legge til rette for bedriftsutvikling og nysk</w:t>
      </w:r>
      <w:r>
        <w:t>a</w:t>
      </w:r>
      <w:r>
        <w:t>ping i alle deler av sine fylker, jf. boks 6.1. Bevilgningene til disse virkemidlene er samlet under kap. 553, post 61 Mobil</w:t>
      </w:r>
      <w:r>
        <w:t>i</w:t>
      </w:r>
      <w:r>
        <w:t>serende og kvalifiserende næringsutvikling:</w:t>
      </w:r>
    </w:p>
    <w:p w:rsidR="00557A6F" w:rsidRDefault="00557A6F" w:rsidP="00557A6F">
      <w:pPr>
        <w:pStyle w:val="Liste"/>
      </w:pPr>
      <w:r>
        <w:t>Distriktsrettede låne-, garanti- og tilskuddsordninger via Innovasjon Norge kan redusere bedriftenes risiko når de investerer i nye produksjonslinjer, utvikler nye markeder, oppd</w:t>
      </w:r>
      <w:r>
        <w:t>a</w:t>
      </w:r>
      <w:r>
        <w:t>terer nødvendig kunnskap mv. Disse ordningene har over tid gitt gode resultater, blant a</w:t>
      </w:r>
      <w:r>
        <w:t>n</w:t>
      </w:r>
      <w:r>
        <w:t>net i form av verdiskaping og sysselsetting hos bedriftene som mottar støtte. Se rapport</w:t>
      </w:r>
      <w:r>
        <w:t>e</w:t>
      </w:r>
      <w:r>
        <w:t>ring under kap. 550, post 62 Bedriftsrettede låne- og tilskuddsordninger i distriktene.</w:t>
      </w:r>
    </w:p>
    <w:p w:rsidR="00557A6F" w:rsidRDefault="00557A6F" w:rsidP="00557A6F">
      <w:pPr>
        <w:pStyle w:val="Liste"/>
      </w:pPr>
      <w:r>
        <w:t>Gründervirksomhet skaper arbeidsplasser og kan øke tilgangen på tilbud og tjenester i l</w:t>
      </w:r>
      <w:r>
        <w:t>o</w:t>
      </w:r>
      <w:r>
        <w:t>kalsamfunnet. Mentortjenesten og etablerertilskudd via Innovasjon Norge bidrar til at gründere får økt kunnskap om bedriftsutviklingsprosessen og støtter opp under utvikling av nyskapende og markedsorienterte forre</w:t>
      </w:r>
      <w:r>
        <w:t>t</w:t>
      </w:r>
      <w:r>
        <w:t>ningsideer. Se rapportering under kap. 550, post 62 Bedriftsrettede låne- og tilskuddordninger i distriktene, kap. 550, post 70 Bedriftsrettede programmer i distriktene og Nærings- og fiskeridepartementets budsjettproposisjon, kap. 2421 Innovasjon Norge, post 50 Innovasjon – prosjekter, fond og kap. 2421, post 74 Reis</w:t>
      </w:r>
      <w:r>
        <w:t>e</w:t>
      </w:r>
      <w:r>
        <w:t>liv, profilering og kompetanse.</w:t>
      </w:r>
    </w:p>
    <w:p w:rsidR="00557A6F" w:rsidRDefault="00557A6F" w:rsidP="00557A6F">
      <w:pPr>
        <w:pStyle w:val="Liste"/>
      </w:pPr>
      <w:r>
        <w:t>Næringshager tilbyr bedrifter et miljø og tjenester som legger til rette for vekst og fornying og bedre utviklingsmuligheter. Næringshageprogrammet i regi av Siva kan vise til gode resultater på omsetning, sysse</w:t>
      </w:r>
      <w:r>
        <w:t>l</w:t>
      </w:r>
      <w:r>
        <w:t>setting og verdiskaping. Se rapportering under kap. 550, post 70 Bedriftsrettede programmer i distriktene.</w:t>
      </w:r>
    </w:p>
    <w:p w:rsidR="00557A6F" w:rsidRDefault="00557A6F" w:rsidP="00557A6F">
      <w:pPr>
        <w:pStyle w:val="Liste"/>
      </w:pPr>
      <w:r>
        <w:t>Bedriftsnettverk og Inkubasjonsprogrammet, forvaltet av henholdsvis Innovasjon Norge og Siva, viser gode resultater på blant annet verdiskaping og økt kommersielt samarbeid me</w:t>
      </w:r>
      <w:r>
        <w:t>l</w:t>
      </w:r>
      <w:r>
        <w:t>lom bedrifter. Se rapportering under kap. 553, post 74 Klynger og innovasjon og budsjet</w:t>
      </w:r>
      <w:r>
        <w:t>t</w:t>
      </w:r>
      <w:r>
        <w:t>proposisjonene fra Nærings- og fiskeridepartementet, kap. 2421, post 71 Innovative N</w:t>
      </w:r>
      <w:r>
        <w:t>æ</w:t>
      </w:r>
      <w:r>
        <w:t>ringsmiljøer og kap. 2426 Siva SF, post 70 Tilskudd, samt Kulturdepartementet, kap. 325 Almenne kulturformål, post 71 Kultur som næring.</w:t>
      </w:r>
    </w:p>
    <w:p w:rsidR="00557A6F" w:rsidRDefault="00557A6F" w:rsidP="00557A6F">
      <w:r>
        <w:t>Departementet skal fortsatt være oppdragsgiver for Innovasjon Norge og Forskningsrådet for fø</w:t>
      </w:r>
      <w:r>
        <w:t>l</w:t>
      </w:r>
      <w:r>
        <w:t>gende virkemidler, se rapportering under kap. 553, post 74 Klynger og innovasjon:</w:t>
      </w:r>
    </w:p>
    <w:p w:rsidR="00557A6F" w:rsidRDefault="00557A6F" w:rsidP="00557A6F">
      <w:pPr>
        <w:pStyle w:val="Liste"/>
      </w:pPr>
      <w:r>
        <w:t>Klyngeprogrammet har vist gode resultater over tid. Programmet bidrar til innovasjon, ve</w:t>
      </w:r>
      <w:r>
        <w:t>r</w:t>
      </w:r>
      <w:r>
        <w:t>diskaping og økt samarbeid mellom bedrifter og mellom bedrifter og forskningsmiljøer.</w:t>
      </w:r>
    </w:p>
    <w:p w:rsidR="00557A6F" w:rsidRDefault="00557A6F" w:rsidP="00557A6F">
      <w:pPr>
        <w:pStyle w:val="Liste"/>
      </w:pPr>
      <w:r>
        <w:t>FORREGION skal styrke regionenes næringsmiljøer og omstillingsevne og har mobilisert næringsliv til å ta i bruk FoU i hele landet.</w:t>
      </w:r>
    </w:p>
    <w:p w:rsidR="00557A6F" w:rsidRDefault="00557A6F" w:rsidP="00557A6F">
      <w:pPr>
        <w:pStyle w:val="Liste"/>
      </w:pPr>
      <w:r>
        <w:t>Mange næringsmiljøer i distriktene er basert på fornybare ressurser. Norge har en sterk posisjon som leverandør av forholdsvis lite bearbeidede bioressurser innen blant annet tr</w:t>
      </w:r>
      <w:r>
        <w:t>e</w:t>
      </w:r>
      <w:r>
        <w:t>virke og sjømat. Bioøkonomiordningen mobiliserer til utviklingsprosjekter basert på re</w:t>
      </w:r>
      <w:r>
        <w:t>s</w:t>
      </w:r>
      <w:r>
        <w:t>surser fra hav, jord og skog.</w:t>
      </w:r>
    </w:p>
    <w:p w:rsidR="00557A6F" w:rsidRDefault="00557A6F" w:rsidP="00557A6F">
      <w:pPr>
        <w:pStyle w:val="Liste"/>
      </w:pPr>
      <w:r>
        <w:lastRenderedPageBreak/>
        <w:t>Hele landet er avhengig av en velfungerende offentlig sektor, som samtidig er et betydelig marked for næringslivet. Innovasjonspartnerskap skal bidra til innovasjon i offentlig sektor og næringslivet via o</w:t>
      </w:r>
      <w:r>
        <w:t>f</w:t>
      </w:r>
      <w:r>
        <w:t>fentlig-privat samarbeid om offentlige innkjøp.</w:t>
      </w:r>
    </w:p>
    <w:p w:rsidR="00557A6F" w:rsidRDefault="00557A6F" w:rsidP="00557A6F">
      <w:r>
        <w:t>I 2020 foreslår departementet en ny ordning med kompetansepiloter. Ordningen er rettet mot Di</w:t>
      </w:r>
      <w:r>
        <w:t>s</w:t>
      </w:r>
      <w:r>
        <w:t>trikts-Norge og skal stimulere etterspørsel og tilrettelegge for et regionalt tilpasset tilbud av utda</w:t>
      </w:r>
      <w:r>
        <w:t>n</w:t>
      </w:r>
      <w:r>
        <w:t>ning og kompetanseutvikling, se kap. 553, post 62 Kompetansepiloter.</w:t>
      </w:r>
    </w:p>
    <w:p w:rsidR="00557A6F" w:rsidRDefault="00557A6F" w:rsidP="00557A6F">
      <w:r>
        <w:t>Enkelte steder opplever nedleggelser, store nedbemanninger eller vedvarende høy ledighet. Målet med regional omstilling er å bidra til etablering av nye arbeidsplasser og styrke næringsgrunnlaget i kommuner og regioner som opplever stor nedgang i sysselsettingen. Omstillingsprosjektene sikret og/eller skapte 637 arbeidsplasser i 2018, se rapportering under kap. 553, post 65 Omstilling.</w:t>
      </w:r>
    </w:p>
    <w:p w:rsidR="00557A6F" w:rsidRDefault="00557A6F" w:rsidP="00557A6F">
      <w:r>
        <w:t>Regjeringen foreslår om lag 1,1 mrd. kroner i 2020 på poster som skal bidra til vekstkraftig n</w:t>
      </w:r>
      <w:r>
        <w:t>æ</w:t>
      </w:r>
      <w:r>
        <w:t xml:space="preserve">ringsliv i regioner og distrikt. </w:t>
      </w:r>
    </w:p>
    <w:p w:rsidR="00557A6F" w:rsidRDefault="00557A6F" w:rsidP="00557A6F">
      <w:r>
        <w:t>Innovasjon Norge, Siva og Forskningsrådet skal vurdere søknader etter kvalitet. Innenfor disse ra</w:t>
      </w:r>
      <w:r>
        <w:t>m</w:t>
      </w:r>
      <w:r>
        <w:t>mene, er det for næringsrettede ordninger et mål at minst 40 pst. av virkemidlene skal nå fram til bedrifter med kvinnelig leder eller eier. I 2018 var 35 pst. av tilsagnsbeløpene og 40 pst. av I</w:t>
      </w:r>
      <w:r>
        <w:t>n</w:t>
      </w:r>
      <w:r>
        <w:t>novasjon Norges tilsagn fra departementet kvi</w:t>
      </w:r>
      <w:r>
        <w:t>n</w:t>
      </w:r>
      <w:r>
        <w:t>nerettede. Andelen aktive målbedrifter med kvinner i ledende stillinger i Sivas næringshageprogram var 35 pst. Det er en økning på seks prosentpoeng fra 2013 til 2018. I Sivas Inkubasjonsprogram var andelen aktive målbedrifter med kvinner i l</w:t>
      </w:r>
      <w:r>
        <w:t>e</w:t>
      </w:r>
      <w:r>
        <w:t>dende stillinger 22 pst. i 2018, det vil si omtrent uendret fra 2013. I Forskningsrådets program FORREGION hadde 49 pst. av prosjektene en kvinne som prosjektansvarlig eller prosjektleder i 2018. Det ble også gitt tilskudd til to prosjekter for stimuleringstiltak og konkrete aktiviteter for å øke kvinneandelen i pr</w:t>
      </w:r>
      <w:r>
        <w:t>o</w:t>
      </w:r>
      <w:r>
        <w:t>grammets prosjektportefølje.</w:t>
      </w:r>
    </w:p>
    <w:p w:rsidR="00557A6F" w:rsidRDefault="00557A6F" w:rsidP="00557A6F">
      <w:pPr>
        <w:pStyle w:val="avsnitt-tittel"/>
      </w:pPr>
      <w:r>
        <w:t xml:space="preserve">Mål 2 Regional utvikling over landegrensene og i nordområdene </w:t>
      </w:r>
    </w:p>
    <w:p w:rsidR="00557A6F" w:rsidRDefault="00557A6F" w:rsidP="00557A6F">
      <w:r>
        <w:t>Regjeringen vil bidra til regional utvikling gjennom samarbeid over landegrensene og i nordomr</w:t>
      </w:r>
      <w:r>
        <w:t>å</w:t>
      </w:r>
      <w:r>
        <w:t>dene.</w:t>
      </w:r>
    </w:p>
    <w:p w:rsidR="00557A6F" w:rsidRDefault="00557A6F" w:rsidP="00557A6F">
      <w:pPr>
        <w:pStyle w:val="avsnitt-undertittel"/>
      </w:pPr>
      <w:r>
        <w:t>Rapport, strategier og tiltak</w:t>
      </w:r>
    </w:p>
    <w:p w:rsidR="00557A6F" w:rsidRDefault="00557A6F" w:rsidP="00557A6F">
      <w:r>
        <w:t>Interreg bidrar til samarbeid om forskning og innovasjon, transport, miljø og klima og økt konku</w:t>
      </w:r>
      <w:r>
        <w:t>r</w:t>
      </w:r>
      <w:r>
        <w:t>ransekraft i små og mellomstore bedrifter. Deltagelsen fremmer en aktiv norsk europapolitikk og ivaretar norske interesser i EUs regionalpolitikk. Evalueringer som er gjort av EU-kommisjonen viser at Interreg-programmene har bidratt til økt samarbeid om etablering og utvidelse av økon</w:t>
      </w:r>
      <w:r>
        <w:t>o</w:t>
      </w:r>
      <w:r>
        <w:t>miske klynger, høyere utdanning og opplæringssentre, rådgivningstjenester for bedrifter og grü</w:t>
      </w:r>
      <w:r>
        <w:t>n</w:t>
      </w:r>
      <w:r>
        <w:t>dere og samarbeidsnettverk mellom forskningsinstitusjoner.</w:t>
      </w:r>
    </w:p>
    <w:p w:rsidR="00557A6F" w:rsidRDefault="00557A6F" w:rsidP="00557A6F">
      <w:r>
        <w:t>En evaluering av norsk deltakelse i perioden 2007–2013 (COWI 2019) viser at det er god kobling mellom regionale og nasjonale mål og strategier og de prosjektene som finansieres gjennom Inte</w:t>
      </w:r>
      <w:r>
        <w:t>r</w:t>
      </w:r>
      <w:r>
        <w:t>reg. Departementet vurderer nytten av programmene i perioden 2007–2013 som varierende. Dette bygger på evaluators funn av samfunnse</w:t>
      </w:r>
      <w:r>
        <w:t>f</w:t>
      </w:r>
      <w:r>
        <w:t>fekter og vurdering av nytte. Blant de mest interessante samfunnseffektene er nye produkter og tjenester, nye og oppgraderte utdanningstilbud, sertifisering av grønnere reiselivsprodukter, gode kulturtilbud eller økt produktivitet og verdiskaping. Se ra</w:t>
      </w:r>
      <w:r>
        <w:t>p</w:t>
      </w:r>
      <w:r>
        <w:t>portering for enkeltprogra</w:t>
      </w:r>
      <w:r>
        <w:t>m</w:t>
      </w:r>
      <w:r>
        <w:t>mene Norge deltar i under kap. 553, post 63 Interreg og Arktis 2030 og kap. 553, post 76 Nordisk og e</w:t>
      </w:r>
      <w:r>
        <w:t>u</w:t>
      </w:r>
      <w:r>
        <w:t>ropeisk samarbeid.</w:t>
      </w:r>
    </w:p>
    <w:p w:rsidR="00557A6F" w:rsidRDefault="00557A6F" w:rsidP="00557A6F">
      <w:r>
        <w:t>Norge har inngått avtaler om deltakelse i Interreg-programmer med om lag 700 mill. kroner for perioden 2014–2020, med forbehold om Stortingets godkjenning. Den statlige norske finansi</w:t>
      </w:r>
      <w:r>
        <w:t>e</w:t>
      </w:r>
      <w:r>
        <w:t>ringen av Inte</w:t>
      </w:r>
      <w:r>
        <w:t>r</w:t>
      </w:r>
      <w:r>
        <w:t>reg-programmene Sverige-Norge, Øresund-Kattegat-Skagerrak, Botnia-Atlantica, Østersjøen, Nordsjøen og Interreg Europa ble noe redusert ift. opprinnelige avtaler i 2017, og vid</w:t>
      </w:r>
      <w:r>
        <w:t>e</w:t>
      </w:r>
      <w:r>
        <w:t>reført på dette nivået i 2018 og 2019. U</w:t>
      </w:r>
      <w:r>
        <w:t>R</w:t>
      </w:r>
      <w:r>
        <w:t>BACT mottar ikke lenger statlig norsk finansiering. Det foreslås at Interreg-programmene og andre internasjonale tiltak videreføres på nivå med bevil</w:t>
      </w:r>
      <w:r>
        <w:t>g</w:t>
      </w:r>
      <w:r>
        <w:t>ningen i 2019 med til sammen 85,3 mill. kroner.</w:t>
      </w:r>
    </w:p>
    <w:p w:rsidR="00557A6F" w:rsidRDefault="00557A6F" w:rsidP="00557A6F">
      <w:r>
        <w:t>Nordområdene er Norges viktigste strategiske ansvarsområde. Granavolden-plattformen og nor</w:t>
      </w:r>
      <w:r>
        <w:t>d</w:t>
      </w:r>
      <w:r>
        <w:t>områdestrategien fra 2017 fastslår at regjeringen vil arbeide for at Nord-Norge skal bli en av No</w:t>
      </w:r>
      <w:r>
        <w:t>r</w:t>
      </w:r>
      <w:r>
        <w:t>ges mest skapende og bærekraft</w:t>
      </w:r>
      <w:r>
        <w:t>i</w:t>
      </w:r>
      <w:r>
        <w:t>ge regioner. I nord må både utenrikspolitiske og innenrikspolitiske interesser legges til grunn for politikkutfo</w:t>
      </w:r>
      <w:r>
        <w:t>r</w:t>
      </w:r>
      <w:r>
        <w:t xml:space="preserve">mingen. Regjeringen samarbeider med andre land for å ivareta norske </w:t>
      </w:r>
      <w:r>
        <w:lastRenderedPageBreak/>
        <w:t>interesser i nord og sikre at Arktis forblir en fredelig og stabil region preget av i</w:t>
      </w:r>
      <w:r>
        <w:t>n</w:t>
      </w:r>
      <w:r>
        <w:t>ternasjonalt samarbeid. En stortingsmelding om nordområdepolitikken skal etter planen legges frem høsten 2020.</w:t>
      </w:r>
    </w:p>
    <w:p w:rsidR="00557A6F" w:rsidRDefault="00557A6F" w:rsidP="00557A6F">
      <w:r>
        <w:t>Kommunal- og moderniseringsdepartementet, Nærings- og fiskeridepartementet og fylkeskomm</w:t>
      </w:r>
      <w:r>
        <w:t>u</w:t>
      </w:r>
      <w:r>
        <w:t>nene i nord, sammen med Utenriksdepartementet, har sentrale roller i nordområdepolitikken. R</w:t>
      </w:r>
      <w:r>
        <w:t>e</w:t>
      </w:r>
      <w:r>
        <w:t>gjeringen har dialog med de nordligste fylkeskommunene og Sametinget gjennom Regionalt nordområdeforum som ble opprettet høsten 2016. Forumet er et ikke-besluttende organ for dialog og felles forståelse av spørsmål som er særlig relevante for utvi</w:t>
      </w:r>
      <w:r>
        <w:t>k</w:t>
      </w:r>
      <w:r>
        <w:t>lingen i nord. Forumet skal bidra til å styrke samordningen mellom nordområdepolitikken og annen nasjonal og regional innsats i Nord-Norge.</w:t>
      </w:r>
    </w:p>
    <w:p w:rsidR="00557A6F" w:rsidRDefault="00557A6F" w:rsidP="00557A6F">
      <w:r>
        <w:t>Som en oppfølging av regionreformen får fylkeskommunene i nord nye oppgaver som har bety</w:t>
      </w:r>
      <w:r>
        <w:t>d</w:t>
      </w:r>
      <w:r>
        <w:t>ning for nordområdepolitikken. Tilskuddsordningen Arktis 2030 bidrar til å ivareta norske intere</w:t>
      </w:r>
      <w:r>
        <w:t>s</w:t>
      </w:r>
      <w:r>
        <w:t>ser i nord og Norges rolle som en ansvarlig polarnasjon, samt å støtte opp under innsatsområdene for regjeringens nordområdepolitikk. Denne tilskuddsordningen foreslås delt i to i 2020. En nasj</w:t>
      </w:r>
      <w:r>
        <w:t>o</w:t>
      </w:r>
      <w:r>
        <w:t>nal innsats, som ivaretas av Utenriksdepartementet over kap. 118 Utenrikspolitiske satsinger, post 70 Nordområdetiltak, samarbeid med Russland og atomsikkerhet, og en regional innsats over Kommunal- og moderniseringsdepartementets kap. 553, post 63 Interreg og Arktis 2030. Den r</w:t>
      </w:r>
      <w:r>
        <w:t>e</w:t>
      </w:r>
      <w:r>
        <w:t>gionale innsatsen overføres til Troms og Finnmark fylkeskommune, i nært samarbeid med Nor</w:t>
      </w:r>
      <w:r>
        <w:t>d</w:t>
      </w:r>
      <w:r>
        <w:t>land fylkeskommune. Regjeringen foreslår en bevilgning på 45,5 mill. kroner i 2020. Troms og Finnmark fylkeskommune får fra 1. januar 2020 i tillegg ansvar for et sekretariat for Regionalt nordområdeforum i Vadsø. Regj</w:t>
      </w:r>
      <w:r>
        <w:t>e</w:t>
      </w:r>
      <w:r>
        <w:t>ringen foreslår 1,5 mill. kroner til finansiering av sekretariatet over kap. 553, post 63 Interreg og Arktis 2030.</w:t>
      </w:r>
    </w:p>
    <w:p w:rsidR="00557A6F" w:rsidRDefault="00557A6F" w:rsidP="00557A6F">
      <w:pPr>
        <w:pStyle w:val="avsnitt-tittel"/>
      </w:pPr>
      <w:r>
        <w:t>Mål 3 Styrket utviklingsevne og tilgang til grunnleggende private tjenester i dis</w:t>
      </w:r>
      <w:r>
        <w:t>t</w:t>
      </w:r>
      <w:r>
        <w:t>riktene</w:t>
      </w:r>
    </w:p>
    <w:p w:rsidR="00557A6F" w:rsidRDefault="00557A6F" w:rsidP="00557A6F">
      <w:r>
        <w:t>Regjeringen vil bidra til å styrke lokal utviklingsevne og grunnleggende privat tjenestetilgang i distriktene, herunder tilgang til en nærliggende dagligvarebutikk med god kvalitet og tilleggstj</w:t>
      </w:r>
      <w:r>
        <w:t>e</w:t>
      </w:r>
      <w:r>
        <w:t>nester.</w:t>
      </w:r>
    </w:p>
    <w:p w:rsidR="00557A6F" w:rsidRDefault="00557A6F" w:rsidP="00557A6F">
      <w:pPr>
        <w:pStyle w:val="avsnitt-undertittel"/>
      </w:pPr>
      <w:r>
        <w:t>Rapport, strategier og tiltak</w:t>
      </w:r>
    </w:p>
    <w:p w:rsidR="00557A6F" w:rsidRDefault="00557A6F" w:rsidP="00557A6F">
      <w:r>
        <w:t>Kommunene skal være gode samfunnsutviklere som skaper attraktive lokalsamfunn for fastboende, besøkende og næringsdrivende. Distriktssenteret skal fortsette sitt arbeid med å sørge for oppdatert kun</w:t>
      </w:r>
      <w:r>
        <w:t>n</w:t>
      </w:r>
      <w:r>
        <w:t>skap om, og erfaringer med, gode arbeidsmåter i samfunnsutviklingsarbeidet. Det foreslås 33,3 mill. kroner til Kompetansesenter for distriktsutvikling, se omtale under kap. 554, post 01 Driftsutgifter.</w:t>
      </w:r>
    </w:p>
    <w:p w:rsidR="00557A6F" w:rsidRDefault="00557A6F" w:rsidP="00557A6F">
      <w:r>
        <w:t>Merkur-programmet bidrar til økt tilgang til grunnleggende private tjenester i områder med spredt bosetting. Programmet vektlegger å utvikle tilleggstjenester som øker dagligvarebutikkens løn</w:t>
      </w:r>
      <w:r>
        <w:t>n</w:t>
      </w:r>
      <w:r>
        <w:t>somhet og styrker det samlede tjenestetilbudet for befolkningen. Merkurbutikkene har gode resu</w:t>
      </w:r>
      <w:r>
        <w:t>l</w:t>
      </w:r>
      <w:r>
        <w:t>tater på o</w:t>
      </w:r>
      <w:r>
        <w:t>m</w:t>
      </w:r>
      <w:r>
        <w:t>setningsutvikling for dagligvarebutikker i områder med små markeder. Se rapportering under kap. 554, post 73 Merkur. Bevilgningen til Merkur-programmet foreslås videreført med 59,4 mill. kroner i 2020.</w:t>
      </w:r>
    </w:p>
    <w:p w:rsidR="00557A6F" w:rsidRDefault="00557A6F" w:rsidP="00557A6F">
      <w:pPr>
        <w:pStyle w:val="Undertittel"/>
      </w:pPr>
      <w:r>
        <w:t>Lokalisering av statlige arbeidsplasser</w:t>
      </w:r>
    </w:p>
    <w:p w:rsidR="00557A6F" w:rsidRDefault="00557A6F" w:rsidP="00557A6F">
      <w:r>
        <w:t>Det overordnede målet for statens lokaliseringspolitikk er å skape en mer balansert lokalisering av statl</w:t>
      </w:r>
      <w:r>
        <w:t>i</w:t>
      </w:r>
      <w:r>
        <w:t>ge arbeidsplasser i hele landet, og samtidig sikre god kvalitet i de statlige tjenestene, effektiv bruk av fe</w:t>
      </w:r>
      <w:r>
        <w:t>l</w:t>
      </w:r>
      <w:r>
        <w:t>lesskapets ressurser og en forsvarlig omstilling for de som berøres.</w:t>
      </w:r>
    </w:p>
    <w:p w:rsidR="00557A6F" w:rsidRDefault="00557A6F" w:rsidP="00557A6F">
      <w:r>
        <w:t>Regjeringen følger opp plan for lokalisering, som ble lagt fram i 2017, og arbeider for ytterligere utflyttinger. Regjeringen har så langt vedtatt å lokalisere vel 1170 arbeidsplasser utenfor Oslo. Dette arbeidet fortsetter, særlig i forbindelse med strukturendringer.</w:t>
      </w:r>
    </w:p>
    <w:p w:rsidR="00557A6F" w:rsidRDefault="00557A6F" w:rsidP="00557A6F">
      <w:r>
        <w:t>Regjeringen vil ta nye grep for å nå de høye ambisjonene i Granavolden-plattformen. Det er i plattformen blant annet formulert et nytt mål om å sikre en mer helhetlig oversikt og koordinering av flytting, nedleggelse og op</w:t>
      </w:r>
      <w:r>
        <w:t>p</w:t>
      </w:r>
      <w:r>
        <w:t>rettelse av statlige arbeidsplasser. Det er videre et mål å sikre en god regional fordeling av statlige kompetans</w:t>
      </w:r>
      <w:r>
        <w:t>e</w:t>
      </w:r>
      <w:r>
        <w:t>arbeidsplasser i hele landet, også utenfor de største byene, og redusere negative, samlede virkninger av struktu</w:t>
      </w:r>
      <w:r>
        <w:t>r</w:t>
      </w:r>
      <w:r>
        <w:t>endringer i statlig virksomhet.</w:t>
      </w:r>
    </w:p>
    <w:p w:rsidR="00557A6F" w:rsidRDefault="00557A6F" w:rsidP="00557A6F">
      <w:pPr>
        <w:pStyle w:val="Undertittel"/>
      </w:pPr>
      <w:r>
        <w:t>Distriktsindeksen</w:t>
      </w:r>
    </w:p>
    <w:p w:rsidR="00557A6F" w:rsidRDefault="00557A6F" w:rsidP="00557A6F">
      <w:r>
        <w:t>Distriktsindeksen er et verktøy for å peke ut distriktskommuner, og er et uttrykk for graden av distriktsutfordringer i en kommune. Distriktsindeksen måler kommunenes utfordringer knyttet til geografiske ulem</w:t>
      </w:r>
      <w:r>
        <w:lastRenderedPageBreak/>
        <w:t>per i tillegg til samfunnsutfordringer som følger av geografiulempene. Distrikt</w:t>
      </w:r>
      <w:r>
        <w:t>s</w:t>
      </w:r>
      <w:r>
        <w:t>indeksen blir brukt i forbindelse med fordeling av distriktspolitiske virkemidler. Bruken av inde</w:t>
      </w:r>
      <w:r>
        <w:t>k</w:t>
      </w:r>
      <w:r>
        <w:t>sen blir tilpasset formålet med de enkelte tilskuddene.</w:t>
      </w:r>
    </w:p>
    <w:p w:rsidR="00557A6F" w:rsidRDefault="00557A6F" w:rsidP="00557A6F">
      <w:r>
        <w:t>Asplan Viak har foretatt en ekstern og uavhengig gjennomgang av distriktsindeksen. Forslaget fra Asplan Viak har blitt sendt til kommuner og fylkeskommuner som har hatt mulighet for å gi in</w:t>
      </w:r>
      <w:r>
        <w:t>n</w:t>
      </w:r>
      <w:r>
        <w:t>spill. Det kom i alt 32 innspill. Gjennomgangen og innspillene er dokumentert i en rapport som er lagt ut på regj</w:t>
      </w:r>
      <w:r>
        <w:t>e</w:t>
      </w:r>
      <w:r>
        <w:t>ringen.no.</w:t>
      </w:r>
    </w:p>
    <w:p w:rsidR="00557A6F" w:rsidRDefault="00557A6F" w:rsidP="00557A6F">
      <w:r>
        <w:t>Departementet vil nå gå gjennom rapporten og innspillene. Departementet vil også vurdere utfo</w:t>
      </w:r>
      <w:r>
        <w:t>r</w:t>
      </w:r>
      <w:r>
        <w:t>ming av ulike virkemidler hvor distriktsindeksen brukes. Departementet tar sikte på å komme ti</w:t>
      </w:r>
      <w:r>
        <w:t>l</w:t>
      </w:r>
      <w:r>
        <w:t>bake til ny distriktsindeks i kommuneproposisjonen for 2021. Som omtalt i kommuneproposisjonen for 2020 legger departementet opp til å vurdere innretningen på de regionalpolitiske tilskuddene nærmere, primært med fokus på bruken av distriktsi</w:t>
      </w:r>
      <w:r>
        <w:t>n</w:t>
      </w:r>
      <w:r>
        <w:t>deksen ved fordeling av distriktstilskuddene i inntektssystemet. Depart</w:t>
      </w:r>
      <w:r>
        <w:t>e</w:t>
      </w:r>
      <w:r>
        <w:t>mentet tar sikte på å komme tilbake til dette i kommuneproposisjonen for 2021.</w:t>
      </w:r>
    </w:p>
    <w:p w:rsidR="00557A6F" w:rsidRDefault="00557A6F" w:rsidP="00557A6F">
      <w:pPr>
        <w:pStyle w:val="b-budkaptit"/>
      </w:pPr>
      <w:r>
        <w:t>Kap. 550 Omstillingsdyktig næringsliv og lokalsamfunn i distriktene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7A6F" w:rsidTr="00557A6F">
        <w:trPr>
          <w:trHeight w:val="640"/>
        </w:trPr>
        <w:tc>
          <w:tcPr>
            <w:tcW w:w="1140" w:type="dxa"/>
            <w:shd w:val="clear" w:color="auto" w:fill="FFFFFF"/>
          </w:tcPr>
          <w:p w:rsidR="00557A6F" w:rsidRDefault="00557A6F" w:rsidP="00557A6F">
            <w:pPr>
              <w:pStyle w:val="Tabellnavn"/>
            </w:pPr>
            <w:r>
              <w:t>KPAL</w:t>
            </w:r>
          </w:p>
        </w:tc>
        <w:tc>
          <w:tcPr>
            <w:tcW w:w="4560" w:type="dxa"/>
          </w:tcPr>
          <w:p w:rsidR="00557A6F" w:rsidRDefault="00557A6F" w:rsidP="00557A6F"/>
        </w:tc>
        <w:tc>
          <w:tcPr>
            <w:tcW w:w="1140" w:type="dxa"/>
          </w:tcPr>
          <w:p w:rsidR="00557A6F" w:rsidRDefault="00557A6F" w:rsidP="00557A6F">
            <w:pPr>
              <w:pStyle w:val="Tabellnavn"/>
              <w:jc w:val="right"/>
            </w:pPr>
          </w:p>
        </w:tc>
        <w:tc>
          <w:tcPr>
            <w:tcW w:w="1140" w:type="dxa"/>
          </w:tcPr>
          <w:p w:rsidR="00557A6F" w:rsidRDefault="00557A6F" w:rsidP="00557A6F">
            <w:pPr>
              <w:pStyle w:val="Tabellnavn"/>
              <w:jc w:val="right"/>
            </w:pPr>
          </w:p>
        </w:tc>
        <w:tc>
          <w:tcPr>
            <w:tcW w:w="1140" w:type="dxa"/>
          </w:tcPr>
          <w:p w:rsidR="00557A6F" w:rsidRDefault="00557A6F" w:rsidP="00557A6F">
            <w:pPr>
              <w:jc w:val="right"/>
            </w:pPr>
            <w:r>
              <w:t>(i 1 000 kr)</w:t>
            </w:r>
          </w:p>
        </w:tc>
      </w:tr>
      <w:tr w:rsidR="00557A6F" w:rsidTr="00557A6F">
        <w:trPr>
          <w:trHeight w:val="600"/>
        </w:trPr>
        <w:tc>
          <w:tcPr>
            <w:tcW w:w="1140" w:type="dxa"/>
          </w:tcPr>
          <w:p w:rsidR="00557A6F" w:rsidRDefault="00557A6F" w:rsidP="00557A6F">
            <w:r>
              <w:t>Post</w:t>
            </w:r>
          </w:p>
        </w:tc>
        <w:tc>
          <w:tcPr>
            <w:tcW w:w="4560" w:type="dxa"/>
          </w:tcPr>
          <w:p w:rsidR="00557A6F" w:rsidRDefault="00557A6F" w:rsidP="00557A6F">
            <w:r>
              <w:t>Betegnelse</w:t>
            </w:r>
          </w:p>
        </w:tc>
        <w:tc>
          <w:tcPr>
            <w:tcW w:w="1140" w:type="dxa"/>
          </w:tcPr>
          <w:p w:rsidR="00557A6F" w:rsidRDefault="00557A6F" w:rsidP="00557A6F">
            <w:pPr>
              <w:jc w:val="right"/>
            </w:pPr>
            <w:r>
              <w:t>Regnskap 2018</w:t>
            </w:r>
          </w:p>
        </w:tc>
        <w:tc>
          <w:tcPr>
            <w:tcW w:w="1140" w:type="dxa"/>
          </w:tcPr>
          <w:p w:rsidR="00557A6F" w:rsidRDefault="00557A6F" w:rsidP="00557A6F">
            <w:pPr>
              <w:jc w:val="right"/>
            </w:pPr>
            <w:r>
              <w:t xml:space="preserve">Saldert </w:t>
            </w:r>
            <w:r>
              <w:br/>
              <w:t>budsjett 2019</w:t>
            </w:r>
          </w:p>
        </w:tc>
        <w:tc>
          <w:tcPr>
            <w:tcW w:w="1140" w:type="dxa"/>
          </w:tcPr>
          <w:p w:rsidR="00557A6F" w:rsidRDefault="00557A6F" w:rsidP="00557A6F">
            <w:pPr>
              <w:jc w:val="right"/>
            </w:pPr>
            <w:r>
              <w:t xml:space="preserve">Forslag </w:t>
            </w:r>
            <w:r>
              <w:br/>
              <w:t>2020</w:t>
            </w:r>
          </w:p>
        </w:tc>
      </w:tr>
      <w:tr w:rsidR="00557A6F" w:rsidTr="00557A6F">
        <w:trPr>
          <w:trHeight w:val="640"/>
        </w:trPr>
        <w:tc>
          <w:tcPr>
            <w:tcW w:w="1140" w:type="dxa"/>
          </w:tcPr>
          <w:p w:rsidR="00557A6F" w:rsidRDefault="00557A6F" w:rsidP="00557A6F">
            <w:r>
              <w:t>62</w:t>
            </w:r>
          </w:p>
        </w:tc>
        <w:tc>
          <w:tcPr>
            <w:tcW w:w="4560" w:type="dxa"/>
          </w:tcPr>
          <w:p w:rsidR="00557A6F" w:rsidRDefault="00557A6F" w:rsidP="00557A6F">
            <w:r>
              <w:t xml:space="preserve">Bedriftsrettede låne- og tilskuddsordninger </w:t>
            </w:r>
            <w:r>
              <w:br/>
              <w:t>i distriktene</w:t>
            </w:r>
            <w:r>
              <w:rPr>
                <w:rStyle w:val="kursiv"/>
                <w:sz w:val="21"/>
                <w:szCs w:val="21"/>
              </w:rPr>
              <w:t xml:space="preserve">, kan nyttes under post 64 </w:t>
            </w:r>
          </w:p>
        </w:tc>
        <w:tc>
          <w:tcPr>
            <w:tcW w:w="1140" w:type="dxa"/>
          </w:tcPr>
          <w:p w:rsidR="00557A6F" w:rsidRDefault="00557A6F" w:rsidP="00557A6F">
            <w:pPr>
              <w:jc w:val="right"/>
            </w:pPr>
            <w:r>
              <w:t>487 714</w:t>
            </w:r>
          </w:p>
        </w:tc>
        <w:tc>
          <w:tcPr>
            <w:tcW w:w="1140" w:type="dxa"/>
          </w:tcPr>
          <w:p w:rsidR="00557A6F" w:rsidRDefault="00557A6F" w:rsidP="00557A6F">
            <w:pPr>
              <w:jc w:val="right"/>
            </w:pPr>
            <w:r>
              <w:t>453 090</w:t>
            </w:r>
          </w:p>
        </w:tc>
        <w:tc>
          <w:tcPr>
            <w:tcW w:w="1140" w:type="dxa"/>
          </w:tcPr>
          <w:p w:rsidR="00557A6F" w:rsidRDefault="00557A6F" w:rsidP="00557A6F">
            <w:pPr>
              <w:jc w:val="right"/>
            </w:pPr>
          </w:p>
        </w:tc>
      </w:tr>
      <w:tr w:rsidR="00557A6F" w:rsidTr="00557A6F">
        <w:trPr>
          <w:trHeight w:val="640"/>
        </w:trPr>
        <w:tc>
          <w:tcPr>
            <w:tcW w:w="1140" w:type="dxa"/>
          </w:tcPr>
          <w:p w:rsidR="00557A6F" w:rsidRDefault="00557A6F" w:rsidP="00557A6F">
            <w:r>
              <w:t>64</w:t>
            </w:r>
          </w:p>
        </w:tc>
        <w:tc>
          <w:tcPr>
            <w:tcW w:w="4560" w:type="dxa"/>
          </w:tcPr>
          <w:p w:rsidR="00557A6F" w:rsidRDefault="00557A6F" w:rsidP="00557A6F">
            <w:r>
              <w:t>Inkluderende og vekstkraftige lokalsamfunn</w:t>
            </w:r>
            <w:r>
              <w:rPr>
                <w:rStyle w:val="kursiv"/>
                <w:sz w:val="21"/>
                <w:szCs w:val="21"/>
              </w:rPr>
              <w:t xml:space="preserve">, </w:t>
            </w:r>
            <w:r>
              <w:rPr>
                <w:rStyle w:val="kursiv"/>
                <w:sz w:val="21"/>
                <w:szCs w:val="21"/>
              </w:rPr>
              <w:br/>
              <w:t xml:space="preserve">kan nyttes under post 62 </w:t>
            </w:r>
          </w:p>
        </w:tc>
        <w:tc>
          <w:tcPr>
            <w:tcW w:w="1140" w:type="dxa"/>
          </w:tcPr>
          <w:p w:rsidR="00557A6F" w:rsidRDefault="00557A6F" w:rsidP="00557A6F">
            <w:pPr>
              <w:jc w:val="right"/>
            </w:pPr>
            <w:r>
              <w:t>154 420</w:t>
            </w:r>
          </w:p>
        </w:tc>
        <w:tc>
          <w:tcPr>
            <w:tcW w:w="1140" w:type="dxa"/>
          </w:tcPr>
          <w:p w:rsidR="00557A6F" w:rsidRDefault="00557A6F" w:rsidP="00557A6F">
            <w:pPr>
              <w:jc w:val="right"/>
            </w:pPr>
            <w:r>
              <w:t>50 000</w:t>
            </w:r>
          </w:p>
        </w:tc>
        <w:tc>
          <w:tcPr>
            <w:tcW w:w="1140" w:type="dxa"/>
          </w:tcPr>
          <w:p w:rsidR="00557A6F" w:rsidRDefault="00557A6F" w:rsidP="00557A6F">
            <w:pPr>
              <w:jc w:val="right"/>
            </w:pPr>
          </w:p>
        </w:tc>
      </w:tr>
      <w:tr w:rsidR="00557A6F" w:rsidTr="00557A6F">
        <w:trPr>
          <w:trHeight w:val="640"/>
        </w:trPr>
        <w:tc>
          <w:tcPr>
            <w:tcW w:w="1140" w:type="dxa"/>
          </w:tcPr>
          <w:p w:rsidR="00557A6F" w:rsidRDefault="00557A6F" w:rsidP="00557A6F">
            <w:r>
              <w:t>66</w:t>
            </w:r>
          </w:p>
        </w:tc>
        <w:tc>
          <w:tcPr>
            <w:tcW w:w="4560" w:type="dxa"/>
          </w:tcPr>
          <w:p w:rsidR="00557A6F" w:rsidRDefault="00557A6F" w:rsidP="00557A6F">
            <w:r>
              <w:t xml:space="preserve">Forenkling av utmarksforvaltning – </w:t>
            </w:r>
            <w:r>
              <w:br/>
              <w:t>forsøksordning</w:t>
            </w:r>
            <w:r>
              <w:rPr>
                <w:rStyle w:val="kursiv"/>
                <w:sz w:val="21"/>
                <w:szCs w:val="21"/>
              </w:rPr>
              <w:t xml:space="preserve">, kan overføres </w:t>
            </w:r>
          </w:p>
        </w:tc>
        <w:tc>
          <w:tcPr>
            <w:tcW w:w="1140" w:type="dxa"/>
          </w:tcPr>
          <w:p w:rsidR="00557A6F" w:rsidRDefault="00557A6F" w:rsidP="00557A6F">
            <w:pPr>
              <w:jc w:val="right"/>
            </w:pPr>
            <w:r>
              <w:t>122</w:t>
            </w:r>
          </w:p>
        </w:tc>
        <w:tc>
          <w:tcPr>
            <w:tcW w:w="1140" w:type="dxa"/>
          </w:tcPr>
          <w:p w:rsidR="00557A6F" w:rsidRDefault="00557A6F" w:rsidP="00557A6F">
            <w:pPr>
              <w:jc w:val="right"/>
            </w:pPr>
          </w:p>
        </w:tc>
        <w:tc>
          <w:tcPr>
            <w:tcW w:w="1140" w:type="dxa"/>
          </w:tcPr>
          <w:p w:rsidR="00557A6F" w:rsidRDefault="00557A6F" w:rsidP="00557A6F">
            <w:pPr>
              <w:jc w:val="right"/>
            </w:pPr>
          </w:p>
        </w:tc>
      </w:tr>
      <w:tr w:rsidR="00557A6F" w:rsidTr="00557A6F">
        <w:trPr>
          <w:trHeight w:val="380"/>
        </w:trPr>
        <w:tc>
          <w:tcPr>
            <w:tcW w:w="1140" w:type="dxa"/>
          </w:tcPr>
          <w:p w:rsidR="00557A6F" w:rsidRDefault="00557A6F" w:rsidP="00557A6F">
            <w:r>
              <w:t>70</w:t>
            </w:r>
          </w:p>
        </w:tc>
        <w:tc>
          <w:tcPr>
            <w:tcW w:w="4560" w:type="dxa"/>
          </w:tcPr>
          <w:p w:rsidR="00557A6F" w:rsidRDefault="00557A6F" w:rsidP="00557A6F">
            <w:r>
              <w:t xml:space="preserve">Bedriftsrettede programmer i distriktene </w:t>
            </w:r>
          </w:p>
        </w:tc>
        <w:tc>
          <w:tcPr>
            <w:tcW w:w="1140" w:type="dxa"/>
          </w:tcPr>
          <w:p w:rsidR="00557A6F" w:rsidRDefault="00557A6F" w:rsidP="00557A6F">
            <w:pPr>
              <w:jc w:val="right"/>
            </w:pPr>
            <w:r>
              <w:t>115 662</w:t>
            </w:r>
          </w:p>
        </w:tc>
        <w:tc>
          <w:tcPr>
            <w:tcW w:w="1140" w:type="dxa"/>
          </w:tcPr>
          <w:p w:rsidR="00557A6F" w:rsidRDefault="00557A6F" w:rsidP="00557A6F">
            <w:pPr>
              <w:jc w:val="right"/>
            </w:pPr>
            <w:r>
              <w:t>119 016</w:t>
            </w:r>
          </w:p>
        </w:tc>
        <w:tc>
          <w:tcPr>
            <w:tcW w:w="1140" w:type="dxa"/>
          </w:tcPr>
          <w:p w:rsidR="00557A6F" w:rsidRDefault="00557A6F" w:rsidP="00557A6F">
            <w:pPr>
              <w:jc w:val="right"/>
            </w:pPr>
          </w:p>
        </w:tc>
      </w:tr>
      <w:tr w:rsidR="00557A6F" w:rsidTr="00557A6F">
        <w:trPr>
          <w:trHeight w:val="380"/>
        </w:trPr>
        <w:tc>
          <w:tcPr>
            <w:tcW w:w="1140" w:type="dxa"/>
          </w:tcPr>
          <w:p w:rsidR="00557A6F" w:rsidRDefault="00557A6F" w:rsidP="00557A6F">
            <w:r>
              <w:t>73</w:t>
            </w:r>
          </w:p>
        </w:tc>
        <w:tc>
          <w:tcPr>
            <w:tcW w:w="4560" w:type="dxa"/>
          </w:tcPr>
          <w:p w:rsidR="00557A6F" w:rsidRDefault="00557A6F" w:rsidP="00557A6F">
            <w:r>
              <w:t>Merkur-programmet</w:t>
            </w:r>
            <w:r>
              <w:rPr>
                <w:rStyle w:val="kursiv"/>
                <w:sz w:val="21"/>
                <w:szCs w:val="21"/>
              </w:rPr>
              <w:t xml:space="preserve">, kan overføres </w:t>
            </w:r>
          </w:p>
        </w:tc>
        <w:tc>
          <w:tcPr>
            <w:tcW w:w="1140" w:type="dxa"/>
          </w:tcPr>
          <w:p w:rsidR="00557A6F" w:rsidRDefault="00557A6F" w:rsidP="00557A6F">
            <w:pPr>
              <w:jc w:val="right"/>
            </w:pPr>
            <w:r>
              <w:t>43 300</w:t>
            </w:r>
          </w:p>
        </w:tc>
        <w:tc>
          <w:tcPr>
            <w:tcW w:w="1140" w:type="dxa"/>
          </w:tcPr>
          <w:p w:rsidR="00557A6F" w:rsidRDefault="00557A6F" w:rsidP="00557A6F">
            <w:pPr>
              <w:jc w:val="right"/>
            </w:pPr>
            <w:r>
              <w:t>59 708</w:t>
            </w:r>
          </w:p>
        </w:tc>
        <w:tc>
          <w:tcPr>
            <w:tcW w:w="1140" w:type="dxa"/>
          </w:tcPr>
          <w:p w:rsidR="00557A6F" w:rsidRDefault="00557A6F" w:rsidP="00557A6F">
            <w:pPr>
              <w:jc w:val="right"/>
            </w:pPr>
          </w:p>
        </w:tc>
      </w:tr>
      <w:tr w:rsidR="00557A6F" w:rsidTr="00557A6F">
        <w:trPr>
          <w:trHeight w:val="380"/>
        </w:trPr>
        <w:tc>
          <w:tcPr>
            <w:tcW w:w="1140" w:type="dxa"/>
          </w:tcPr>
          <w:p w:rsidR="00557A6F" w:rsidRDefault="00557A6F" w:rsidP="00557A6F"/>
        </w:tc>
        <w:tc>
          <w:tcPr>
            <w:tcW w:w="4560" w:type="dxa"/>
          </w:tcPr>
          <w:p w:rsidR="00557A6F" w:rsidRDefault="00557A6F" w:rsidP="00557A6F">
            <w:r>
              <w:t>Sum kap. 0550</w:t>
            </w:r>
          </w:p>
        </w:tc>
        <w:tc>
          <w:tcPr>
            <w:tcW w:w="1140" w:type="dxa"/>
          </w:tcPr>
          <w:p w:rsidR="00557A6F" w:rsidRDefault="00557A6F" w:rsidP="00557A6F">
            <w:pPr>
              <w:jc w:val="right"/>
            </w:pPr>
            <w:r>
              <w:t>801 218</w:t>
            </w:r>
          </w:p>
        </w:tc>
        <w:tc>
          <w:tcPr>
            <w:tcW w:w="1140" w:type="dxa"/>
          </w:tcPr>
          <w:p w:rsidR="00557A6F" w:rsidRDefault="00557A6F" w:rsidP="00557A6F">
            <w:pPr>
              <w:jc w:val="right"/>
            </w:pPr>
            <w:r>
              <w:t>681 814</w:t>
            </w:r>
          </w:p>
        </w:tc>
        <w:tc>
          <w:tcPr>
            <w:tcW w:w="1140" w:type="dxa"/>
          </w:tcPr>
          <w:p w:rsidR="00557A6F" w:rsidRDefault="00557A6F" w:rsidP="00557A6F">
            <w:pPr>
              <w:jc w:val="right"/>
            </w:pPr>
          </w:p>
        </w:tc>
      </w:tr>
    </w:tbl>
    <w:p w:rsidR="00557A6F" w:rsidRDefault="00557A6F" w:rsidP="00557A6F">
      <w:pPr>
        <w:pStyle w:val="b-post"/>
      </w:pPr>
      <w:r>
        <w:t>Post 62 Bedriftsrettede låne- og tilskuddsordninger i distriktene, kan nyttes under post 64</w:t>
      </w:r>
    </w:p>
    <w:p w:rsidR="00557A6F" w:rsidRDefault="00557A6F" w:rsidP="00557A6F">
      <w:r>
        <w:t>Posten foreslås avviklet fra og med 2020. Posten dekket investeringstilskudd, bedriftsutviklingsti</w:t>
      </w:r>
      <w:r>
        <w:t>l</w:t>
      </w:r>
      <w:r>
        <w:t>skudd, distriktsrettede risikolån og garantier og distriktsrettet etablerertilskudd, forvaltet av Inn</w:t>
      </w:r>
      <w:r>
        <w:t>o</w:t>
      </w:r>
      <w:r>
        <w:t>vasjon Norge på oppdrag fra fylkeskommunene. Fylkeskommunenes oppdragsgiveransvar for disse og andre næringsre</w:t>
      </w:r>
      <w:r>
        <w:t>t</w:t>
      </w:r>
      <w:r>
        <w:t>tede virkemidler foreslås fra 2020 samlet på en felles post, se omtale under kap. 553, post 61 Mobilisere</w:t>
      </w:r>
      <w:r>
        <w:t>n</w:t>
      </w:r>
      <w:r>
        <w:t>de og kvalifiserende næringsutvikling. Rapportering fra 2018 for disse ordningene følger under.</w:t>
      </w:r>
    </w:p>
    <w:p w:rsidR="00557A6F" w:rsidRDefault="00557A6F" w:rsidP="00557A6F">
      <w:pPr>
        <w:pStyle w:val="avsnitt-tittel"/>
      </w:pPr>
      <w:r>
        <w:t>Rapport</w:t>
      </w:r>
    </w:p>
    <w:p w:rsidR="00557A6F" w:rsidRDefault="00557A6F" w:rsidP="00557A6F">
      <w:r>
        <w:t>I statsbudsjettet for 2018 ble det bevilget 487,7 mill. kroner til bedriftsrettede låne- og tilskudd</w:t>
      </w:r>
      <w:r>
        <w:t>s</w:t>
      </w:r>
      <w:r>
        <w:t>ordninger i distriktene, inkludert 51,2 mill. kroner i administrasjons- og gjennomføringskostnader for ordningene. Oppdragene fra fylkeskommunene til Innovasjon Norge utgjorde 353 mill. kroner og 64,1 mill. kroner ble overført til kap. 550, post 64 Inkluderende og vekstkraftige lokalsamfunn.</w:t>
      </w:r>
    </w:p>
    <w:p w:rsidR="00557A6F" w:rsidRDefault="00557A6F" w:rsidP="00557A6F">
      <w:r>
        <w:t>Inkludert overførte midler ga Innovasjon Norge over 684 tilsagn for 392 mill. kroner, i form av investeringstilskudd, bedriftsutviklingstilskudd og distriktsrettet etablerertilskudd. Det ble gitt 114 di</w:t>
      </w:r>
      <w:r>
        <w:t>s</w:t>
      </w:r>
      <w:r>
        <w:lastRenderedPageBreak/>
        <w:t>triktsrettede risikolån og garantier for til sammen 374 mill. kroner. Tapsfondsavsetninger for lån og garantier var på 76,6 mill. kr</w:t>
      </w:r>
      <w:r>
        <w:t>o</w:t>
      </w:r>
      <w:r>
        <w:t>ner.</w:t>
      </w:r>
    </w:p>
    <w:p w:rsidR="00557A6F" w:rsidRDefault="00557A6F" w:rsidP="00557A6F">
      <w:r>
        <w:t>Bedriftene som har fått et tilskudd eller lån av Innovasjon Norge, finansiert av de bedriftsrettede låne- og ti</w:t>
      </w:r>
      <w:r>
        <w:t>l</w:t>
      </w:r>
      <w:r>
        <w:t>skuddsordningene i distriktene, har gjennomsnittlig 5,5 prosentpoeng høyere vekst i verdiskaping sammenliknet med tilsvarende bedrifter som ikke har mottatt støtte. Dette er på nivå med effektene av Innovasjon Norges øvrige oppdrag. Det kan tyde på at prosjektene er gode selv om bedriftene er lokal</w:t>
      </w:r>
      <w:r>
        <w:t>i</w:t>
      </w:r>
      <w:r>
        <w:t>sert i områder med store avstander og tynne næringsmiljøer.</w:t>
      </w:r>
    </w:p>
    <w:p w:rsidR="00557A6F" w:rsidRDefault="00557A6F" w:rsidP="00557A6F">
      <w:r>
        <w:t>Bedrifter som har mottatt tilskudd eller lån fra de bedriftsrettede låne- og tilskuddsordningene i dis</w:t>
      </w:r>
      <w:r>
        <w:t>t</w:t>
      </w:r>
      <w:r>
        <w:t>riktene har gjennomsnittlig 2,4 prosentpoeng høyere vekst i antall ansatte enn sammenlignbare bedrifter. Effektindikatorene for verdiskaping og sysselsetting gjelder for tilskudd og lån tildelt i perioden 2003–2014, med effekter i opptil tre år etterpå.</w:t>
      </w:r>
    </w:p>
    <w:p w:rsidR="00557A6F" w:rsidRDefault="00557A6F" w:rsidP="00557A6F">
      <w:r>
        <w:t>Innovasjon Norge måler nyskaping ved å vurdere graden av innovasjon i prosjektet. 63 pst. av de finansierte prosjektene skaper noe som er nytt nasjonalt eller internasjonalt. Sett over en femårsp</w:t>
      </w:r>
      <w:r>
        <w:t>e</w:t>
      </w:r>
      <w:r>
        <w:t>riode er trenden at andelen prosjekter som er innovasjon på bedriftsnivå har gått ned.</w:t>
      </w:r>
    </w:p>
    <w:p w:rsidR="00557A6F" w:rsidRDefault="00557A6F" w:rsidP="00557A6F">
      <w:r>
        <w:t>For å måle omstillingsevne, benytter Innovasjon Norge forholdstallet mellom antall tildelinger til vekstbedrifter og gründere. Dette gir en indikasjon på etableringshyppighet som er viktig for o</w:t>
      </w:r>
      <w:r>
        <w:t>m</w:t>
      </w:r>
      <w:r>
        <w:t>stilling. Forholdstallet mellom antall bedrifter og gründere som fikk støtte fra Innovasjon Norge har ligget rundt 0,7 gründere per bedrift fra 2009 til 2013, og økte kraftig til 1,2 gründere per bedrift i 2015. Indikatoren gikk ned i 2016 og 2017 til 0,8 gründere per bedrift. I 2018 er indikatoren tilbake til nivået før oljeprisfallet.</w:t>
      </w:r>
    </w:p>
    <w:p w:rsidR="00557A6F" w:rsidRDefault="00557A6F" w:rsidP="00557A6F">
      <w:pPr>
        <w:pStyle w:val="b-post"/>
      </w:pPr>
      <w:r>
        <w:t>Post 64 Inkluderende og vekstkraftige lokalsamfunn, kan nyttes under post 62</w:t>
      </w:r>
    </w:p>
    <w:p w:rsidR="00557A6F" w:rsidRDefault="00557A6F" w:rsidP="00557A6F">
      <w:r>
        <w:t xml:space="preserve">Posten foreslås innlemmet i fylkeskommunenes rammetilskudd fra 2020, jf. Prop. 113 S (2018–2019) </w:t>
      </w:r>
      <w:r>
        <w:rPr>
          <w:rStyle w:val="kursiv"/>
          <w:spacing w:val="2"/>
          <w:sz w:val="21"/>
          <w:szCs w:val="21"/>
        </w:rPr>
        <w:t>Kommuneproposisjonen 2020</w:t>
      </w:r>
      <w:r>
        <w:t>. Tilskudd til inkluderende og vekstkraftige lokalsamfunn er særlig knyttet til å inkludere tilflyttere, styrke sårbare næringsmiljøer og styrke kommunenes evne til å planlegge, mobilisere, samarbeide om og gjennomføre utviklingstiltak. Midlene vil bygge opp under fylkeskommunenes ansvar for nærings- og samfunnsutvikling. Posten innlemmes i fy</w:t>
      </w:r>
      <w:r>
        <w:t>l</w:t>
      </w:r>
      <w:r>
        <w:t>keskommunenes rammeti</w:t>
      </w:r>
      <w:r>
        <w:t>l</w:t>
      </w:r>
      <w:r>
        <w:t>skudd sammen med kap. 553, post 60 Regionale tiltak for utvikling av næringsmiljøer og tilgang til kompetanse. For å ivareta dagens geografiske fordeling vil midlene i 2020 bli gitt en særskilt fordeling (tabell c).</w:t>
      </w:r>
    </w:p>
    <w:p w:rsidR="00557A6F" w:rsidRDefault="00557A6F" w:rsidP="00557A6F">
      <w:r>
        <w:t>I perioden 2018–2020 er det varslet at den årlige rammen til Buskerud fylkeskommunene fra kap. 550, post 64 økes med 1 mill. kroner, der midlene skal gå til Hallingdal regionråd og deres arbeid med utvikling av et kompetansemiljø for reiseliv. Dette ivaretas i den særskilte fordelingen for 2020, men regj</w:t>
      </w:r>
      <w:r>
        <w:t>e</w:t>
      </w:r>
      <w:r>
        <w:t>ringen legger til grunn at det vil være opp til Viken fylkeskommune å vurdere dette hensynet.</w:t>
      </w:r>
    </w:p>
    <w:p w:rsidR="00557A6F" w:rsidRDefault="00557A6F" w:rsidP="00557A6F">
      <w:pPr>
        <w:pStyle w:val="avsnitt-tittel"/>
      </w:pPr>
      <w:r>
        <w:t>Rapport</w:t>
      </w:r>
    </w:p>
    <w:p w:rsidR="00557A6F" w:rsidRDefault="00557A6F" w:rsidP="00557A6F">
      <w:r>
        <w:t>I statsbudsjettet for 2018 ble det bevilget 154,4 mill. kroner til posten og 64,1 mill. kroner ble overført fra kap. 550, post 62 Bedriftsrettede låne- og tilskuddsordninger i distriktene. Det ble gitt tilsagn for 201 mill. kroner fra fylkeskommunene i 2018. De høyest prioriterte områdene på tvers av fylkeskommunene var destinasjon og reiseliv (21 pst.), fysisk infrastruktur (13 pst.), utvikling</w:t>
      </w:r>
      <w:r>
        <w:t>s</w:t>
      </w:r>
      <w:r>
        <w:t>tiltak i avgrensede områder (10 pst.), tiltak for å fremme bedriftssamarbeid og klynger (9 pst.), forskningsbasert innovasjon (7 pst.) og forstudier og forprosjekter for å fremme gode næringsmi</w:t>
      </w:r>
      <w:r>
        <w:t>l</w:t>
      </w:r>
      <w:r>
        <w:t>jøer og vekstkraftige lokalsa</w:t>
      </w:r>
      <w:r>
        <w:t>m</w:t>
      </w:r>
      <w:r>
        <w:t>funn (6 pst.).</w:t>
      </w:r>
    </w:p>
    <w:p w:rsidR="00557A6F" w:rsidRDefault="00557A6F" w:rsidP="00557A6F">
      <w:r>
        <w:t>Det ble gitt 103 mill. kroner i tilsagn fra kommunale og regionale næringsfond i 2018. Midlene går i hovedsak til direkte bedriftsstøtte (50 pst.), tiltak for å fremme bedriftssamarbeid og klynger (14 pst.) og destinasjon og reiseliv (9 pst.). Fylkeskommunene har anledning til å disponere bevil</w:t>
      </w:r>
      <w:r>
        <w:t>g</w:t>
      </w:r>
      <w:r>
        <w:t>ningen uavhengig av budsjettår, samt å overføre bevilgninger mellom postene 62 og 64. Det er derfor ikke samsvar mellom bevilgningstall og tilsagnstall.</w:t>
      </w:r>
    </w:p>
    <w:p w:rsidR="00557A6F" w:rsidRDefault="00557A6F" w:rsidP="00557A6F">
      <w:pPr>
        <w:pStyle w:val="b-post"/>
      </w:pPr>
      <w:r>
        <w:t>Post 66 Forenkling av utmarksforvaltning – forsøksordning, kan overføres</w:t>
      </w:r>
    </w:p>
    <w:p w:rsidR="00557A6F" w:rsidRDefault="00557A6F" w:rsidP="00557A6F">
      <w:r>
        <w:t>Departementet satte i 2016 i gang en forsøksordning for kommuner som ønsker å forenkle u</w:t>
      </w:r>
      <w:r>
        <w:t>t</w:t>
      </w:r>
      <w:r>
        <w:t>marksforvaltningen, med mål om å styrke kommunenes førstelinjetjeneste og utøvelse av myndi</w:t>
      </w:r>
      <w:r>
        <w:t>g</w:t>
      </w:r>
      <w:r>
        <w:t>het i utmarksfo</w:t>
      </w:r>
      <w:r>
        <w:t>r</w:t>
      </w:r>
      <w:r>
        <w:lastRenderedPageBreak/>
        <w:t>valtningen. Ordningen ble avsluttet fra og med 2018. Tre prosjekter i Lom, Åfjord og Tynset/Alvdal kommuner har fått til sammen 1,8 mill. kroner.</w:t>
      </w:r>
    </w:p>
    <w:p w:rsidR="00557A6F" w:rsidRDefault="00557A6F" w:rsidP="00557A6F">
      <w:pPr>
        <w:pStyle w:val="b-post"/>
      </w:pPr>
      <w:r>
        <w:t>Post 70 Bedriftsrettede programmer i distriktene</w:t>
      </w:r>
    </w:p>
    <w:p w:rsidR="00557A6F" w:rsidRDefault="00557A6F" w:rsidP="00557A6F">
      <w:r>
        <w:t>Posten foreslås avviklet fra og med 2020. Posten dekket Næringshageprogrammet i regi av Siva og Bioøkonomiordningen og Mentortjenesten for gründere forvaltet av Innovasjon Norge. Finansi</w:t>
      </w:r>
      <w:r>
        <w:t>e</w:t>
      </w:r>
      <w:r>
        <w:t>ring av Bioøkon</w:t>
      </w:r>
      <w:r>
        <w:t>o</w:t>
      </w:r>
      <w:r>
        <w:t>miordningen er flyttet til kap. 553, post 74 Klynger og innovasjon og omtales i sin helhet under denne posten. Oppdragsgiveransvaret for Næringshageprogrammet og Mentortj</w:t>
      </w:r>
      <w:r>
        <w:t>e</w:t>
      </w:r>
      <w:r>
        <w:t>nesten for gründere foreslås overført til fylkeskommunene, se omtale under kap. 553, post 61 M</w:t>
      </w:r>
      <w:r>
        <w:t>o</w:t>
      </w:r>
      <w:r>
        <w:t>biliserende og kvalifiserende næringsutvikling.</w:t>
      </w:r>
    </w:p>
    <w:p w:rsidR="00557A6F" w:rsidRDefault="00557A6F" w:rsidP="00557A6F">
      <w:r>
        <w:t>Siva har fram til i dag ikke hatt en egen driftspost på statsbudsjettet. Basiskostnader har i stedet vært hentet fra tilskuddsmidlene fra oppdragsgivende departementer. Departementet og Nærings- og fiskeridepartementet innfører en grunnfinansiering av Siva fra 2020. I og med at staten er en</w:t>
      </w:r>
      <w:r>
        <w:t>e</w:t>
      </w:r>
      <w:r>
        <w:t>eier i Siva, må det legges grunnlag for at staten fortsatt skal kunne ta et helhetlig ansvar for selsk</w:t>
      </w:r>
      <w:r>
        <w:t>a</w:t>
      </w:r>
      <w:r>
        <w:t>pet. Se Nærings- og fiskeridepartementets budsjett. Departementet overfører derfor 11,2 mill. kr</w:t>
      </w:r>
      <w:r>
        <w:t>o</w:t>
      </w:r>
      <w:r>
        <w:t>ner fra denne posten, og 7,5 mill. kroner fra kap. 553, post 74 Klynger og Innovasjon, til Nærings- og fiskeridepartementets kap. 2426 Siva SF, post 70 Tilskudd. Midlene skal gå til grunnfinansi</w:t>
      </w:r>
      <w:r>
        <w:t>e</w:t>
      </w:r>
      <w:r>
        <w:t>ring, finansiering for å følge opp Sivas eierskap i innovasjonsselskaper og klyngeprogrammet og til å delta i politikkutforming og utviklingspr</w:t>
      </w:r>
      <w:r>
        <w:t>o</w:t>
      </w:r>
      <w:r>
        <w:t>sesser regionalt.</w:t>
      </w:r>
    </w:p>
    <w:p w:rsidR="00557A6F" w:rsidRDefault="00557A6F" w:rsidP="00557A6F">
      <w:r>
        <w:t>Rapportering fra 2018 for Næringshageprogrammet og Mentortjenesten for gründere følger under.</w:t>
      </w:r>
    </w:p>
    <w:p w:rsidR="00557A6F" w:rsidRDefault="00557A6F" w:rsidP="00557A6F">
      <w:pPr>
        <w:pStyle w:val="avsnitt-tittel"/>
      </w:pPr>
      <w:r>
        <w:t>Rapport</w:t>
      </w:r>
    </w:p>
    <w:p w:rsidR="00557A6F" w:rsidRDefault="00557A6F" w:rsidP="00557A6F">
      <w:pPr>
        <w:pStyle w:val="avsnitt-under-undertittel"/>
        <w:rPr>
          <w:rStyle w:val="kursiv"/>
          <w:i/>
          <w:iCs/>
          <w:sz w:val="21"/>
          <w:szCs w:val="21"/>
        </w:rPr>
      </w:pPr>
      <w:r>
        <w:rPr>
          <w:rStyle w:val="kursiv"/>
          <w:i/>
          <w:iCs/>
          <w:sz w:val="21"/>
          <w:szCs w:val="21"/>
        </w:rPr>
        <w:t>Næringshageprogrammet</w:t>
      </w:r>
    </w:p>
    <w:p w:rsidR="00557A6F" w:rsidRDefault="00557A6F" w:rsidP="00557A6F">
      <w:r>
        <w:t>Bevilgningen til Næringshageprogrammet i 2018 var 85,5 mill. kroner. Det ble gitt tilsagn om totalt 84,6 mill. kroner. I alt 2 227 målbedrifter med over 39 000 ansatte fikk rådgivnings- og utvikling</w:t>
      </w:r>
      <w:r>
        <w:t>s</w:t>
      </w:r>
      <w:r>
        <w:t>tjenester fra 40 næringshager i 2018. Dette er en økning på 206 målbedrifter fra året før. Antall ansatte i bedri</w:t>
      </w:r>
      <w:r>
        <w:t>f</w:t>
      </w:r>
      <w:r>
        <w:t>tene øker fortsatt, men flere bedrifter opplever en nedgang i antall ansatte (39 pst.) enn de som øker (27 pst.).</w:t>
      </w:r>
    </w:p>
    <w:p w:rsidR="00557A6F" w:rsidRDefault="00557A6F" w:rsidP="00557A6F">
      <w:r>
        <w:t>Midtveisevalueringen av Næringshageprogrammet</w:t>
      </w:r>
      <w:r>
        <w:rPr>
          <w:vertAlign w:val="superscript"/>
        </w:rPr>
        <w:footnoteReference w:id="8"/>
      </w:r>
      <w:r>
        <w:t xml:space="preserve"> viser at verdiskapingen i bedrifter tilknyttet n</w:t>
      </w:r>
      <w:r>
        <w:t>æ</w:t>
      </w:r>
      <w:r>
        <w:t>ringshager er høyere enn for sammenlignbare bedrifter etter tre år.</w:t>
      </w:r>
    </w:p>
    <w:p w:rsidR="00557A6F" w:rsidRDefault="00557A6F" w:rsidP="00557A6F">
      <w:r>
        <w:t>I alt 37 av de 40 næringshagene har målbedrifter innenfor det distriktspolitiske virkeområdet, og 81 pst. av ordinære programmidler ble i 2018 gitt til næringshager innenfor virkeområdet for di</w:t>
      </w:r>
      <w:r>
        <w:t>s</w:t>
      </w:r>
      <w:r>
        <w:t>triktsrettet investeringsstøtte.</w:t>
      </w:r>
    </w:p>
    <w:p w:rsidR="00557A6F" w:rsidRDefault="00557A6F" w:rsidP="00557A6F">
      <w:pPr>
        <w:pStyle w:val="avsnitt-under-undertittel"/>
        <w:rPr>
          <w:rStyle w:val="kursiv"/>
          <w:i/>
          <w:iCs/>
          <w:sz w:val="21"/>
          <w:szCs w:val="21"/>
        </w:rPr>
      </w:pPr>
      <w:r>
        <w:rPr>
          <w:rStyle w:val="kursiv"/>
          <w:i/>
          <w:iCs/>
          <w:sz w:val="21"/>
          <w:szCs w:val="21"/>
        </w:rPr>
        <w:t>Mentortjenesten for gründere</w:t>
      </w:r>
    </w:p>
    <w:p w:rsidR="00557A6F" w:rsidRDefault="00557A6F" w:rsidP="00557A6F">
      <w:r>
        <w:t>I 2018 var rammen for Mentortjenesten 17,2 mill. kroner, hvorav 12,1 mill. kroner var distriktsre</w:t>
      </w:r>
      <w:r>
        <w:t>t</w:t>
      </w:r>
      <w:r>
        <w:t>tede midler fra Kommunal- og moderniseringsdepartementet og 5,1 mill. kroner var landsdekkende midler fra Nærings- og fiskeridepartementets budsjett. Det ble gjennomført 192 koblinger til men</w:t>
      </w:r>
      <w:r>
        <w:t>t</w:t>
      </w:r>
      <w:r>
        <w:t>orer i 2018. I ti</w:t>
      </w:r>
      <w:r>
        <w:t>l</w:t>
      </w:r>
      <w:r>
        <w:t>legg er 24 mentorkoblinger gitt fra rammen for etablerertilskudd.</w:t>
      </w:r>
    </w:p>
    <w:p w:rsidR="00557A6F" w:rsidRDefault="00557A6F" w:rsidP="00557A6F">
      <w:r>
        <w:t>Nyskaping måler Innovasjon Norge ved å vurdere graden av innovasjon i prosjektet. Av de di</w:t>
      </w:r>
      <w:r>
        <w:t>s</w:t>
      </w:r>
      <w:r>
        <w:t>triktsrettede prosjektene i Mentortjenesten, har 58 pst. innovasjonsgrad på nasjonalt og internasj</w:t>
      </w:r>
      <w:r>
        <w:t>o</w:t>
      </w:r>
      <w:r>
        <w:t>nalt nivå i 2017 og 2018. Dette er to prosentpoeng lavere enn i 2016 og 31 prosentpoeng lavere enn de landsdekkende prosjektene. Mentortjenesten ble evaluert av Menon Economics i 2018. Evalu</w:t>
      </w:r>
      <w:r>
        <w:t>a</w:t>
      </w:r>
      <w:r>
        <w:t>tor anser at tjene</w:t>
      </w:r>
      <w:r>
        <w:t>s</w:t>
      </w:r>
      <w:r>
        <w:t>ten tilbyr skreddersydd kompetanse tilpasset gründeres behov, og at det er liten grad av overlapp mellom mentortjenesten og andre tjenester. Effektanalysene gir tydelige indik</w:t>
      </w:r>
      <w:r>
        <w:t>a</w:t>
      </w:r>
      <w:r>
        <w:t>sjoner på at Mentortjenesten har hatt en positiv innvirkning på bedriftenes verdiskapings- og sy</w:t>
      </w:r>
      <w:r>
        <w:t>s</w:t>
      </w:r>
      <w:r>
        <w:t>selsettingsvekst. Det estimeres at den årlige verdiskapingsveksten er 29 prosentpoeng høyere for de som benyttet tjenesten, og tilsvarende er veksten i lønnskostnader og antall ansatte henholdsvis 19 og 38 pr</w:t>
      </w:r>
      <w:r>
        <w:t>o</w:t>
      </w:r>
      <w:r>
        <w:t xml:space="preserve">sentpoeng høyere for de som benyttet </w:t>
      </w:r>
      <w:r>
        <w:lastRenderedPageBreak/>
        <w:t>tjenesten enn i kontrollgruppen. Mentortjenesten bidrar også til økt nyskaping i form av at programmet bidrar til å kommersialisere nyskapende produkter til forbrukerne.</w:t>
      </w:r>
    </w:p>
    <w:p w:rsidR="00557A6F" w:rsidRDefault="00557A6F" w:rsidP="00557A6F">
      <w:pPr>
        <w:pStyle w:val="b-post"/>
      </w:pPr>
      <w:r>
        <w:t>Post 73 Merkur-programmet, kan overføres</w:t>
      </w:r>
    </w:p>
    <w:p w:rsidR="00557A6F" w:rsidRDefault="00557A6F" w:rsidP="00557A6F">
      <w:r>
        <w:t>Posten foreslås flyttet til kapittel 554 Kompetansesenter for distriktsutvikling, og ordningen omt</w:t>
      </w:r>
      <w:r>
        <w:t>a</w:t>
      </w:r>
      <w:r>
        <w:t>les i sin helhet under dette kapitlet.</w:t>
      </w:r>
    </w:p>
    <w:p w:rsidR="00557A6F" w:rsidRDefault="00557A6F" w:rsidP="00557A6F">
      <w:pPr>
        <w:pStyle w:val="b-budkaptit"/>
      </w:pPr>
      <w:r>
        <w:t>Kap. 552 Nasjonalt samarbeid for regional utvikling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7A6F" w:rsidTr="00557A6F">
        <w:trPr>
          <w:trHeight w:val="640"/>
        </w:trPr>
        <w:tc>
          <w:tcPr>
            <w:tcW w:w="1140" w:type="dxa"/>
            <w:shd w:val="clear" w:color="auto" w:fill="FFFFFF"/>
          </w:tcPr>
          <w:p w:rsidR="00557A6F" w:rsidRDefault="00557A6F" w:rsidP="00557A6F">
            <w:pPr>
              <w:pStyle w:val="Tabellnavn"/>
            </w:pPr>
            <w:r>
              <w:t>KPAL</w:t>
            </w:r>
          </w:p>
        </w:tc>
        <w:tc>
          <w:tcPr>
            <w:tcW w:w="4560" w:type="dxa"/>
          </w:tcPr>
          <w:p w:rsidR="00557A6F" w:rsidRDefault="00557A6F" w:rsidP="00557A6F"/>
        </w:tc>
        <w:tc>
          <w:tcPr>
            <w:tcW w:w="1140" w:type="dxa"/>
          </w:tcPr>
          <w:p w:rsidR="00557A6F" w:rsidRDefault="00557A6F" w:rsidP="00557A6F">
            <w:pPr>
              <w:pStyle w:val="Tabellnavn"/>
              <w:jc w:val="right"/>
            </w:pPr>
          </w:p>
        </w:tc>
        <w:tc>
          <w:tcPr>
            <w:tcW w:w="1140" w:type="dxa"/>
          </w:tcPr>
          <w:p w:rsidR="00557A6F" w:rsidRDefault="00557A6F" w:rsidP="00557A6F">
            <w:pPr>
              <w:pStyle w:val="Tabellnavn"/>
              <w:jc w:val="right"/>
            </w:pPr>
          </w:p>
        </w:tc>
        <w:tc>
          <w:tcPr>
            <w:tcW w:w="1140" w:type="dxa"/>
          </w:tcPr>
          <w:p w:rsidR="00557A6F" w:rsidRDefault="00557A6F" w:rsidP="00557A6F">
            <w:pPr>
              <w:jc w:val="right"/>
            </w:pPr>
            <w:r>
              <w:t>(i 1 000 kr)</w:t>
            </w:r>
          </w:p>
        </w:tc>
      </w:tr>
      <w:tr w:rsidR="00557A6F" w:rsidTr="00557A6F">
        <w:trPr>
          <w:trHeight w:val="600"/>
        </w:trPr>
        <w:tc>
          <w:tcPr>
            <w:tcW w:w="1140" w:type="dxa"/>
          </w:tcPr>
          <w:p w:rsidR="00557A6F" w:rsidRDefault="00557A6F" w:rsidP="00557A6F">
            <w:r>
              <w:t>Post</w:t>
            </w:r>
          </w:p>
        </w:tc>
        <w:tc>
          <w:tcPr>
            <w:tcW w:w="4560" w:type="dxa"/>
          </w:tcPr>
          <w:p w:rsidR="00557A6F" w:rsidRDefault="00557A6F" w:rsidP="00557A6F">
            <w:r>
              <w:t>Betegnelse</w:t>
            </w:r>
          </w:p>
        </w:tc>
        <w:tc>
          <w:tcPr>
            <w:tcW w:w="1140" w:type="dxa"/>
          </w:tcPr>
          <w:p w:rsidR="00557A6F" w:rsidRDefault="00557A6F" w:rsidP="00557A6F">
            <w:pPr>
              <w:jc w:val="right"/>
            </w:pPr>
            <w:r>
              <w:t>Regnskap 2018</w:t>
            </w:r>
          </w:p>
        </w:tc>
        <w:tc>
          <w:tcPr>
            <w:tcW w:w="1140" w:type="dxa"/>
          </w:tcPr>
          <w:p w:rsidR="00557A6F" w:rsidRDefault="00557A6F" w:rsidP="00557A6F">
            <w:pPr>
              <w:jc w:val="right"/>
            </w:pPr>
            <w:r>
              <w:t xml:space="preserve">Saldert </w:t>
            </w:r>
            <w:r>
              <w:br/>
              <w:t>budsjett 2019</w:t>
            </w:r>
          </w:p>
        </w:tc>
        <w:tc>
          <w:tcPr>
            <w:tcW w:w="1140" w:type="dxa"/>
          </w:tcPr>
          <w:p w:rsidR="00557A6F" w:rsidRDefault="00557A6F" w:rsidP="00557A6F">
            <w:pPr>
              <w:jc w:val="right"/>
            </w:pPr>
            <w:r>
              <w:t xml:space="preserve">Forslag </w:t>
            </w:r>
            <w:r>
              <w:br/>
              <w:t>2020</w:t>
            </w:r>
          </w:p>
        </w:tc>
      </w:tr>
      <w:tr w:rsidR="00557A6F" w:rsidTr="00557A6F">
        <w:trPr>
          <w:trHeight w:val="380"/>
        </w:trPr>
        <w:tc>
          <w:tcPr>
            <w:tcW w:w="1140" w:type="dxa"/>
          </w:tcPr>
          <w:p w:rsidR="00557A6F" w:rsidRDefault="00557A6F" w:rsidP="00557A6F">
            <w:r>
              <w:t>72</w:t>
            </w:r>
          </w:p>
        </w:tc>
        <w:tc>
          <w:tcPr>
            <w:tcW w:w="4560" w:type="dxa"/>
          </w:tcPr>
          <w:p w:rsidR="00557A6F" w:rsidRDefault="00557A6F" w:rsidP="00557A6F">
            <w:r>
              <w:t>Nasjonale tiltak for regional utvikling</w:t>
            </w:r>
            <w:r>
              <w:rPr>
                <w:rStyle w:val="kursiv"/>
                <w:sz w:val="21"/>
                <w:szCs w:val="21"/>
              </w:rPr>
              <w:t>, kan ove</w:t>
            </w:r>
            <w:r>
              <w:rPr>
                <w:rStyle w:val="kursiv"/>
                <w:sz w:val="21"/>
                <w:szCs w:val="21"/>
              </w:rPr>
              <w:t>r</w:t>
            </w:r>
            <w:r>
              <w:rPr>
                <w:rStyle w:val="kursiv"/>
                <w:sz w:val="21"/>
                <w:szCs w:val="21"/>
              </w:rPr>
              <w:t xml:space="preserve">føres </w:t>
            </w:r>
          </w:p>
        </w:tc>
        <w:tc>
          <w:tcPr>
            <w:tcW w:w="1140" w:type="dxa"/>
          </w:tcPr>
          <w:p w:rsidR="00557A6F" w:rsidRDefault="00557A6F" w:rsidP="00557A6F">
            <w:pPr>
              <w:jc w:val="right"/>
            </w:pPr>
            <w:r>
              <w:t>475</w:t>
            </w:r>
          </w:p>
        </w:tc>
        <w:tc>
          <w:tcPr>
            <w:tcW w:w="1140" w:type="dxa"/>
          </w:tcPr>
          <w:p w:rsidR="00557A6F" w:rsidRDefault="00557A6F" w:rsidP="00557A6F">
            <w:pPr>
              <w:jc w:val="right"/>
            </w:pPr>
          </w:p>
        </w:tc>
        <w:tc>
          <w:tcPr>
            <w:tcW w:w="1140" w:type="dxa"/>
          </w:tcPr>
          <w:p w:rsidR="00557A6F" w:rsidRDefault="00557A6F" w:rsidP="00557A6F">
            <w:pPr>
              <w:jc w:val="right"/>
            </w:pPr>
          </w:p>
        </w:tc>
      </w:tr>
      <w:tr w:rsidR="00557A6F" w:rsidTr="00557A6F">
        <w:trPr>
          <w:trHeight w:val="380"/>
        </w:trPr>
        <w:tc>
          <w:tcPr>
            <w:tcW w:w="1140" w:type="dxa"/>
          </w:tcPr>
          <w:p w:rsidR="00557A6F" w:rsidRDefault="00557A6F" w:rsidP="00557A6F"/>
        </w:tc>
        <w:tc>
          <w:tcPr>
            <w:tcW w:w="4560" w:type="dxa"/>
          </w:tcPr>
          <w:p w:rsidR="00557A6F" w:rsidRDefault="00557A6F" w:rsidP="00557A6F">
            <w:r>
              <w:t>Sum kap. 0552</w:t>
            </w:r>
          </w:p>
        </w:tc>
        <w:tc>
          <w:tcPr>
            <w:tcW w:w="1140" w:type="dxa"/>
          </w:tcPr>
          <w:p w:rsidR="00557A6F" w:rsidRDefault="00557A6F" w:rsidP="00557A6F">
            <w:pPr>
              <w:jc w:val="right"/>
            </w:pPr>
            <w:r>
              <w:t>475</w:t>
            </w:r>
          </w:p>
        </w:tc>
        <w:tc>
          <w:tcPr>
            <w:tcW w:w="1140" w:type="dxa"/>
          </w:tcPr>
          <w:p w:rsidR="00557A6F" w:rsidRDefault="00557A6F" w:rsidP="00557A6F">
            <w:pPr>
              <w:jc w:val="right"/>
            </w:pPr>
          </w:p>
        </w:tc>
        <w:tc>
          <w:tcPr>
            <w:tcW w:w="1140" w:type="dxa"/>
          </w:tcPr>
          <w:p w:rsidR="00557A6F" w:rsidRDefault="00557A6F" w:rsidP="00557A6F">
            <w:pPr>
              <w:jc w:val="right"/>
            </w:pPr>
          </w:p>
        </w:tc>
      </w:tr>
    </w:tbl>
    <w:p w:rsidR="00557A6F" w:rsidRDefault="00557A6F" w:rsidP="00557A6F">
      <w:pPr>
        <w:pStyle w:val="b-post"/>
      </w:pPr>
      <w:r>
        <w:t>Post 72 Nasjonale tiltak for regional utvikling, kan overføres</w:t>
      </w:r>
    </w:p>
    <w:p w:rsidR="00557A6F" w:rsidRDefault="00557A6F" w:rsidP="00557A6F">
      <w:r>
        <w:t>Posten er avviklet fra og med 2017. Regnskapsførte midler i 2018 er knyttet til avsluttende utbet</w:t>
      </w:r>
      <w:r>
        <w:t>a</w:t>
      </w:r>
      <w:r>
        <w:t>linger fra Verdiskapingsprogrammet for lokale og regionale parker, forvaltet av departementet.</w:t>
      </w:r>
    </w:p>
    <w:p w:rsidR="00557A6F" w:rsidRDefault="00557A6F" w:rsidP="00557A6F">
      <w:pPr>
        <w:pStyle w:val="b-budkaptit"/>
      </w:pPr>
      <w:r>
        <w:t>Kap. 553 Regional- og distriktsutvikling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7A6F" w:rsidTr="00557A6F">
        <w:trPr>
          <w:trHeight w:val="640"/>
        </w:trPr>
        <w:tc>
          <w:tcPr>
            <w:tcW w:w="1140" w:type="dxa"/>
            <w:shd w:val="clear" w:color="auto" w:fill="FFFFFF"/>
          </w:tcPr>
          <w:p w:rsidR="00557A6F" w:rsidRDefault="00557A6F" w:rsidP="00557A6F">
            <w:pPr>
              <w:pStyle w:val="Tabellnavn"/>
            </w:pPr>
            <w:r>
              <w:t>KPAL</w:t>
            </w:r>
          </w:p>
        </w:tc>
        <w:tc>
          <w:tcPr>
            <w:tcW w:w="4560" w:type="dxa"/>
          </w:tcPr>
          <w:p w:rsidR="00557A6F" w:rsidRDefault="00557A6F" w:rsidP="00557A6F"/>
        </w:tc>
        <w:tc>
          <w:tcPr>
            <w:tcW w:w="1140" w:type="dxa"/>
          </w:tcPr>
          <w:p w:rsidR="00557A6F" w:rsidRDefault="00557A6F" w:rsidP="00557A6F">
            <w:pPr>
              <w:pStyle w:val="Tabellnavn"/>
              <w:jc w:val="right"/>
            </w:pPr>
          </w:p>
        </w:tc>
        <w:tc>
          <w:tcPr>
            <w:tcW w:w="1140" w:type="dxa"/>
          </w:tcPr>
          <w:p w:rsidR="00557A6F" w:rsidRDefault="00557A6F" w:rsidP="00557A6F">
            <w:pPr>
              <w:pStyle w:val="Tabellnavn"/>
              <w:jc w:val="right"/>
            </w:pPr>
          </w:p>
        </w:tc>
        <w:tc>
          <w:tcPr>
            <w:tcW w:w="1140" w:type="dxa"/>
          </w:tcPr>
          <w:p w:rsidR="00557A6F" w:rsidRDefault="00557A6F" w:rsidP="00557A6F">
            <w:pPr>
              <w:jc w:val="right"/>
            </w:pPr>
            <w:r>
              <w:t>(i 1 000 kr)</w:t>
            </w:r>
          </w:p>
        </w:tc>
      </w:tr>
      <w:tr w:rsidR="00557A6F" w:rsidTr="00557A6F">
        <w:trPr>
          <w:trHeight w:val="600"/>
        </w:trPr>
        <w:tc>
          <w:tcPr>
            <w:tcW w:w="1140" w:type="dxa"/>
          </w:tcPr>
          <w:p w:rsidR="00557A6F" w:rsidRDefault="00557A6F" w:rsidP="00557A6F">
            <w:r>
              <w:t>Post</w:t>
            </w:r>
          </w:p>
        </w:tc>
        <w:tc>
          <w:tcPr>
            <w:tcW w:w="4560" w:type="dxa"/>
          </w:tcPr>
          <w:p w:rsidR="00557A6F" w:rsidRDefault="00557A6F" w:rsidP="00557A6F">
            <w:r>
              <w:t>Betegnelse</w:t>
            </w:r>
          </w:p>
        </w:tc>
        <w:tc>
          <w:tcPr>
            <w:tcW w:w="1140" w:type="dxa"/>
          </w:tcPr>
          <w:p w:rsidR="00557A6F" w:rsidRDefault="00557A6F" w:rsidP="00557A6F">
            <w:pPr>
              <w:jc w:val="right"/>
            </w:pPr>
            <w:r>
              <w:t>Regnskap 2018</w:t>
            </w:r>
          </w:p>
        </w:tc>
        <w:tc>
          <w:tcPr>
            <w:tcW w:w="1140" w:type="dxa"/>
          </w:tcPr>
          <w:p w:rsidR="00557A6F" w:rsidRDefault="00557A6F" w:rsidP="00557A6F">
            <w:pPr>
              <w:jc w:val="right"/>
            </w:pPr>
            <w:r>
              <w:t xml:space="preserve">Saldert </w:t>
            </w:r>
            <w:r>
              <w:br/>
              <w:t>budsjett 2019</w:t>
            </w:r>
          </w:p>
        </w:tc>
        <w:tc>
          <w:tcPr>
            <w:tcW w:w="1140" w:type="dxa"/>
          </w:tcPr>
          <w:p w:rsidR="00557A6F" w:rsidRDefault="00557A6F" w:rsidP="00557A6F">
            <w:pPr>
              <w:jc w:val="right"/>
            </w:pPr>
            <w:r>
              <w:t xml:space="preserve">Forslag </w:t>
            </w:r>
            <w:r>
              <w:br/>
              <w:t>2020</w:t>
            </w:r>
          </w:p>
        </w:tc>
      </w:tr>
      <w:tr w:rsidR="00557A6F" w:rsidTr="00557A6F">
        <w:trPr>
          <w:trHeight w:val="880"/>
        </w:trPr>
        <w:tc>
          <w:tcPr>
            <w:tcW w:w="1140" w:type="dxa"/>
          </w:tcPr>
          <w:p w:rsidR="00557A6F" w:rsidRDefault="00557A6F" w:rsidP="00557A6F">
            <w:r>
              <w:t>60</w:t>
            </w:r>
          </w:p>
        </w:tc>
        <w:tc>
          <w:tcPr>
            <w:tcW w:w="4560" w:type="dxa"/>
          </w:tcPr>
          <w:p w:rsidR="00557A6F" w:rsidRDefault="00557A6F" w:rsidP="007F3140">
            <w:r>
              <w:t>Regionale tiltak for utvikling av næringsmiljøer og tilgang til kompetanse</w:t>
            </w:r>
            <w:r>
              <w:rPr>
                <w:rStyle w:val="kursiv"/>
                <w:sz w:val="21"/>
                <w:szCs w:val="21"/>
              </w:rPr>
              <w:t xml:space="preserve">, kan nyttes under post 63 og 65 </w:t>
            </w:r>
          </w:p>
        </w:tc>
        <w:tc>
          <w:tcPr>
            <w:tcW w:w="1140" w:type="dxa"/>
          </w:tcPr>
          <w:p w:rsidR="00557A6F" w:rsidRDefault="00557A6F" w:rsidP="00557A6F">
            <w:pPr>
              <w:jc w:val="right"/>
            </w:pPr>
            <w:r>
              <w:t>142 000</w:t>
            </w:r>
          </w:p>
        </w:tc>
        <w:tc>
          <w:tcPr>
            <w:tcW w:w="1140" w:type="dxa"/>
          </w:tcPr>
          <w:p w:rsidR="00557A6F" w:rsidRDefault="00557A6F" w:rsidP="00557A6F">
            <w:pPr>
              <w:jc w:val="right"/>
            </w:pPr>
            <w:r>
              <w:t>47 000</w:t>
            </w:r>
          </w:p>
        </w:tc>
        <w:tc>
          <w:tcPr>
            <w:tcW w:w="1140" w:type="dxa"/>
          </w:tcPr>
          <w:p w:rsidR="00557A6F" w:rsidRDefault="00557A6F" w:rsidP="00557A6F">
            <w:pPr>
              <w:jc w:val="right"/>
            </w:pPr>
          </w:p>
        </w:tc>
      </w:tr>
      <w:tr w:rsidR="00557A6F" w:rsidTr="00557A6F">
        <w:trPr>
          <w:trHeight w:val="380"/>
        </w:trPr>
        <w:tc>
          <w:tcPr>
            <w:tcW w:w="1140" w:type="dxa"/>
          </w:tcPr>
          <w:p w:rsidR="00557A6F" w:rsidRDefault="00557A6F" w:rsidP="00557A6F">
            <w:r>
              <w:t>61</w:t>
            </w:r>
          </w:p>
        </w:tc>
        <w:tc>
          <w:tcPr>
            <w:tcW w:w="4560" w:type="dxa"/>
          </w:tcPr>
          <w:p w:rsidR="00557A6F" w:rsidRDefault="00557A6F" w:rsidP="00557A6F">
            <w:r>
              <w:t>Mobiliserende og kvalifiserende næringsutvi</w:t>
            </w:r>
            <w:r>
              <w:t>k</w:t>
            </w:r>
            <w:r>
              <w:t xml:space="preserve">ling </w:t>
            </w:r>
          </w:p>
        </w:tc>
        <w:tc>
          <w:tcPr>
            <w:tcW w:w="1140" w:type="dxa"/>
          </w:tcPr>
          <w:p w:rsidR="00557A6F" w:rsidRDefault="00557A6F" w:rsidP="00557A6F">
            <w:pPr>
              <w:jc w:val="right"/>
            </w:pPr>
          </w:p>
        </w:tc>
        <w:tc>
          <w:tcPr>
            <w:tcW w:w="1140" w:type="dxa"/>
          </w:tcPr>
          <w:p w:rsidR="00557A6F" w:rsidRDefault="00557A6F" w:rsidP="00557A6F">
            <w:pPr>
              <w:jc w:val="right"/>
            </w:pPr>
          </w:p>
        </w:tc>
        <w:tc>
          <w:tcPr>
            <w:tcW w:w="1140" w:type="dxa"/>
          </w:tcPr>
          <w:p w:rsidR="00557A6F" w:rsidRDefault="00557A6F" w:rsidP="00557A6F">
            <w:pPr>
              <w:jc w:val="right"/>
            </w:pPr>
            <w:r>
              <w:t>763 307</w:t>
            </w:r>
          </w:p>
        </w:tc>
      </w:tr>
      <w:tr w:rsidR="00557A6F" w:rsidTr="00557A6F">
        <w:trPr>
          <w:trHeight w:val="380"/>
        </w:trPr>
        <w:tc>
          <w:tcPr>
            <w:tcW w:w="1140" w:type="dxa"/>
          </w:tcPr>
          <w:p w:rsidR="00557A6F" w:rsidRDefault="00557A6F" w:rsidP="00557A6F">
            <w:r>
              <w:t>62</w:t>
            </w:r>
          </w:p>
        </w:tc>
        <w:tc>
          <w:tcPr>
            <w:tcW w:w="4560" w:type="dxa"/>
          </w:tcPr>
          <w:p w:rsidR="00557A6F" w:rsidRDefault="00557A6F" w:rsidP="00557A6F">
            <w:r>
              <w:t>Kompetansepiloter</w:t>
            </w:r>
            <w:r>
              <w:rPr>
                <w:rStyle w:val="kursiv"/>
                <w:sz w:val="21"/>
                <w:szCs w:val="21"/>
              </w:rPr>
              <w:t xml:space="preserve">, kan overføres </w:t>
            </w:r>
          </w:p>
        </w:tc>
        <w:tc>
          <w:tcPr>
            <w:tcW w:w="1140" w:type="dxa"/>
          </w:tcPr>
          <w:p w:rsidR="00557A6F" w:rsidRDefault="00557A6F" w:rsidP="00557A6F">
            <w:pPr>
              <w:jc w:val="right"/>
            </w:pPr>
          </w:p>
        </w:tc>
        <w:tc>
          <w:tcPr>
            <w:tcW w:w="1140" w:type="dxa"/>
          </w:tcPr>
          <w:p w:rsidR="00557A6F" w:rsidRDefault="00557A6F" w:rsidP="00557A6F">
            <w:pPr>
              <w:jc w:val="right"/>
            </w:pPr>
          </w:p>
        </w:tc>
        <w:tc>
          <w:tcPr>
            <w:tcW w:w="1140" w:type="dxa"/>
          </w:tcPr>
          <w:p w:rsidR="00557A6F" w:rsidRDefault="00557A6F" w:rsidP="00557A6F">
            <w:pPr>
              <w:jc w:val="right"/>
            </w:pPr>
            <w:r>
              <w:t>16 411</w:t>
            </w:r>
          </w:p>
        </w:tc>
      </w:tr>
      <w:tr w:rsidR="00557A6F" w:rsidTr="00557A6F">
        <w:trPr>
          <w:trHeight w:val="380"/>
        </w:trPr>
        <w:tc>
          <w:tcPr>
            <w:tcW w:w="1140" w:type="dxa"/>
          </w:tcPr>
          <w:p w:rsidR="00557A6F" w:rsidRDefault="00557A6F" w:rsidP="00557A6F">
            <w:r>
              <w:t>63</w:t>
            </w:r>
          </w:p>
        </w:tc>
        <w:tc>
          <w:tcPr>
            <w:tcW w:w="4560" w:type="dxa"/>
          </w:tcPr>
          <w:p w:rsidR="00557A6F" w:rsidRDefault="00557A6F" w:rsidP="00557A6F">
            <w:r>
              <w:t xml:space="preserve">Interreg og Arktis 2030 </w:t>
            </w:r>
          </w:p>
        </w:tc>
        <w:tc>
          <w:tcPr>
            <w:tcW w:w="1140" w:type="dxa"/>
          </w:tcPr>
          <w:p w:rsidR="00557A6F" w:rsidRDefault="00557A6F" w:rsidP="00557A6F">
            <w:pPr>
              <w:jc w:val="right"/>
            </w:pPr>
            <w:r>
              <w:t>51 300</w:t>
            </w:r>
          </w:p>
        </w:tc>
        <w:tc>
          <w:tcPr>
            <w:tcW w:w="1140" w:type="dxa"/>
          </w:tcPr>
          <w:p w:rsidR="00557A6F" w:rsidRDefault="00557A6F" w:rsidP="00557A6F">
            <w:pPr>
              <w:jc w:val="right"/>
            </w:pPr>
            <w:r>
              <w:t>52 736</w:t>
            </w:r>
          </w:p>
        </w:tc>
        <w:tc>
          <w:tcPr>
            <w:tcW w:w="1140" w:type="dxa"/>
          </w:tcPr>
          <w:p w:rsidR="00557A6F" w:rsidRDefault="00557A6F" w:rsidP="00557A6F">
            <w:pPr>
              <w:jc w:val="right"/>
            </w:pPr>
            <w:r>
              <w:t>101 404</w:t>
            </w:r>
          </w:p>
        </w:tc>
      </w:tr>
      <w:tr w:rsidR="00557A6F" w:rsidTr="00557A6F">
        <w:trPr>
          <w:trHeight w:val="380"/>
        </w:trPr>
        <w:tc>
          <w:tcPr>
            <w:tcW w:w="1140" w:type="dxa"/>
          </w:tcPr>
          <w:p w:rsidR="00557A6F" w:rsidRDefault="00557A6F" w:rsidP="00557A6F">
            <w:r>
              <w:t>65</w:t>
            </w:r>
          </w:p>
        </w:tc>
        <w:tc>
          <w:tcPr>
            <w:tcW w:w="4560" w:type="dxa"/>
          </w:tcPr>
          <w:p w:rsidR="00557A6F" w:rsidRDefault="00557A6F" w:rsidP="00557A6F">
            <w:r>
              <w:t xml:space="preserve">Omstilling </w:t>
            </w:r>
          </w:p>
        </w:tc>
        <w:tc>
          <w:tcPr>
            <w:tcW w:w="1140" w:type="dxa"/>
          </w:tcPr>
          <w:p w:rsidR="00557A6F" w:rsidRDefault="00557A6F" w:rsidP="00557A6F">
            <w:pPr>
              <w:jc w:val="right"/>
            </w:pPr>
            <w:r>
              <w:t>112 000</w:t>
            </w:r>
          </w:p>
        </w:tc>
        <w:tc>
          <w:tcPr>
            <w:tcW w:w="1140" w:type="dxa"/>
          </w:tcPr>
          <w:p w:rsidR="00557A6F" w:rsidRDefault="00557A6F" w:rsidP="00557A6F">
            <w:pPr>
              <w:jc w:val="right"/>
            </w:pPr>
            <w:r>
              <w:t>79 856</w:t>
            </w:r>
          </w:p>
        </w:tc>
        <w:tc>
          <w:tcPr>
            <w:tcW w:w="1140" w:type="dxa"/>
          </w:tcPr>
          <w:p w:rsidR="00557A6F" w:rsidRDefault="00557A6F" w:rsidP="00557A6F">
            <w:pPr>
              <w:jc w:val="right"/>
            </w:pPr>
            <w:r>
              <w:t>66 000</w:t>
            </w:r>
          </w:p>
        </w:tc>
      </w:tr>
      <w:tr w:rsidR="00557A6F" w:rsidTr="00557A6F">
        <w:trPr>
          <w:trHeight w:val="380"/>
        </w:trPr>
        <w:tc>
          <w:tcPr>
            <w:tcW w:w="1140" w:type="dxa"/>
          </w:tcPr>
          <w:p w:rsidR="00557A6F" w:rsidRDefault="00557A6F" w:rsidP="00557A6F">
            <w:r>
              <w:t>74</w:t>
            </w:r>
          </w:p>
        </w:tc>
        <w:tc>
          <w:tcPr>
            <w:tcW w:w="4560" w:type="dxa"/>
          </w:tcPr>
          <w:p w:rsidR="00557A6F" w:rsidRDefault="00557A6F" w:rsidP="00557A6F">
            <w:r>
              <w:t xml:space="preserve">Klynger og innovasjon </w:t>
            </w:r>
          </w:p>
        </w:tc>
        <w:tc>
          <w:tcPr>
            <w:tcW w:w="1140" w:type="dxa"/>
          </w:tcPr>
          <w:p w:rsidR="00557A6F" w:rsidRDefault="00557A6F" w:rsidP="00557A6F">
            <w:pPr>
              <w:jc w:val="right"/>
            </w:pPr>
            <w:r>
              <w:t>249 844</w:t>
            </w:r>
          </w:p>
        </w:tc>
        <w:tc>
          <w:tcPr>
            <w:tcW w:w="1140" w:type="dxa"/>
          </w:tcPr>
          <w:p w:rsidR="00557A6F" w:rsidRDefault="00557A6F" w:rsidP="00557A6F">
            <w:pPr>
              <w:jc w:val="right"/>
            </w:pPr>
            <w:r>
              <w:t>281 089</w:t>
            </w:r>
          </w:p>
        </w:tc>
        <w:tc>
          <w:tcPr>
            <w:tcW w:w="1140" w:type="dxa"/>
          </w:tcPr>
          <w:p w:rsidR="00557A6F" w:rsidRDefault="00557A6F" w:rsidP="00557A6F">
            <w:pPr>
              <w:jc w:val="right"/>
            </w:pPr>
            <w:r>
              <w:t>215 954</w:t>
            </w:r>
          </w:p>
        </w:tc>
      </w:tr>
      <w:tr w:rsidR="00557A6F" w:rsidTr="00557A6F">
        <w:trPr>
          <w:trHeight w:val="380"/>
        </w:trPr>
        <w:tc>
          <w:tcPr>
            <w:tcW w:w="1140" w:type="dxa"/>
          </w:tcPr>
          <w:p w:rsidR="00557A6F" w:rsidRDefault="00557A6F" w:rsidP="00557A6F">
            <w:r>
              <w:t>76</w:t>
            </w:r>
          </w:p>
        </w:tc>
        <w:tc>
          <w:tcPr>
            <w:tcW w:w="4560" w:type="dxa"/>
          </w:tcPr>
          <w:p w:rsidR="00557A6F" w:rsidRDefault="00557A6F" w:rsidP="00557A6F">
            <w:r>
              <w:t>Nordisk og europeisk samarbeid</w:t>
            </w:r>
            <w:r>
              <w:rPr>
                <w:rStyle w:val="kursiv"/>
                <w:sz w:val="21"/>
                <w:szCs w:val="21"/>
              </w:rPr>
              <w:t xml:space="preserve">, kan overføres </w:t>
            </w:r>
          </w:p>
        </w:tc>
        <w:tc>
          <w:tcPr>
            <w:tcW w:w="1140" w:type="dxa"/>
          </w:tcPr>
          <w:p w:rsidR="00557A6F" w:rsidRDefault="00557A6F" w:rsidP="00557A6F">
            <w:pPr>
              <w:jc w:val="right"/>
            </w:pPr>
            <w:r>
              <w:t>53 747</w:t>
            </w:r>
          </w:p>
        </w:tc>
        <w:tc>
          <w:tcPr>
            <w:tcW w:w="1140" w:type="dxa"/>
          </w:tcPr>
          <w:p w:rsidR="00557A6F" w:rsidRDefault="00557A6F" w:rsidP="00557A6F">
            <w:pPr>
              <w:jc w:val="right"/>
            </w:pPr>
            <w:r>
              <w:t>30 870</w:t>
            </w:r>
          </w:p>
        </w:tc>
        <w:tc>
          <w:tcPr>
            <w:tcW w:w="1140" w:type="dxa"/>
          </w:tcPr>
          <w:p w:rsidR="00557A6F" w:rsidRDefault="00557A6F" w:rsidP="00557A6F">
            <w:pPr>
              <w:jc w:val="right"/>
            </w:pPr>
            <w:r>
              <w:t>30 870</w:t>
            </w:r>
          </w:p>
        </w:tc>
      </w:tr>
      <w:tr w:rsidR="00557A6F" w:rsidTr="00557A6F">
        <w:trPr>
          <w:trHeight w:val="380"/>
        </w:trPr>
        <w:tc>
          <w:tcPr>
            <w:tcW w:w="1140" w:type="dxa"/>
          </w:tcPr>
          <w:p w:rsidR="00557A6F" w:rsidRDefault="00557A6F" w:rsidP="00557A6F"/>
        </w:tc>
        <w:tc>
          <w:tcPr>
            <w:tcW w:w="4560" w:type="dxa"/>
          </w:tcPr>
          <w:p w:rsidR="00557A6F" w:rsidRDefault="00557A6F" w:rsidP="00557A6F">
            <w:r>
              <w:t>Sum kap. 0553</w:t>
            </w:r>
          </w:p>
        </w:tc>
        <w:tc>
          <w:tcPr>
            <w:tcW w:w="1140" w:type="dxa"/>
          </w:tcPr>
          <w:p w:rsidR="00557A6F" w:rsidRDefault="00557A6F" w:rsidP="00557A6F">
            <w:pPr>
              <w:jc w:val="right"/>
            </w:pPr>
            <w:r>
              <w:t>608 891</w:t>
            </w:r>
          </w:p>
        </w:tc>
        <w:tc>
          <w:tcPr>
            <w:tcW w:w="1140" w:type="dxa"/>
          </w:tcPr>
          <w:p w:rsidR="00557A6F" w:rsidRDefault="00557A6F" w:rsidP="00557A6F">
            <w:pPr>
              <w:jc w:val="right"/>
            </w:pPr>
            <w:r>
              <w:t>491 551</w:t>
            </w:r>
          </w:p>
        </w:tc>
        <w:tc>
          <w:tcPr>
            <w:tcW w:w="1140" w:type="dxa"/>
          </w:tcPr>
          <w:p w:rsidR="00557A6F" w:rsidRDefault="00557A6F" w:rsidP="00557A6F">
            <w:pPr>
              <w:jc w:val="right"/>
            </w:pPr>
            <w:r>
              <w:t>1 193 946</w:t>
            </w:r>
          </w:p>
        </w:tc>
      </w:tr>
    </w:tbl>
    <w:p w:rsidR="00557A6F" w:rsidRDefault="00557A6F" w:rsidP="00557A6F">
      <w:pPr>
        <w:pStyle w:val="b-post"/>
      </w:pPr>
      <w:r>
        <w:t>Post 60 Regionale tiltak for utvikling av næringsmiljøer og tilgang til kompetanse, kan nyttes under post 63 og 65</w:t>
      </w:r>
    </w:p>
    <w:p w:rsidR="00557A6F" w:rsidRDefault="00557A6F" w:rsidP="00557A6F">
      <w:r>
        <w:t xml:space="preserve">Posten foreslås innlemmet i fylkeskommunenes rammetilskudd fra 2020, jf. Prop. 113 S (2018–2019) </w:t>
      </w:r>
      <w:r>
        <w:rPr>
          <w:rStyle w:val="kursiv"/>
          <w:sz w:val="21"/>
          <w:szCs w:val="21"/>
        </w:rPr>
        <w:t>Kommuneproposisjonen 2020</w:t>
      </w:r>
      <w:r>
        <w:t>. Tilskudd til regionale tiltak for utvikling av næringsmi</w:t>
      </w:r>
      <w:r>
        <w:t>l</w:t>
      </w:r>
      <w:r>
        <w:t>jøer og tilgang til kompetanse har hatt som mål å mobilisere til samarbeid mellom bedrifter i n</w:t>
      </w:r>
      <w:r>
        <w:t>æ</w:t>
      </w:r>
      <w:r>
        <w:t>ringsmiljø, og bedre koblinger mellom bedrifter og relevante utdanningsmiljøer for å møte n</w:t>
      </w:r>
      <w:r>
        <w:t>æ</w:t>
      </w:r>
      <w:r>
        <w:t>ringslivets behov for kunnskap og relevant arbeidskraft. Posten innlemmes i fylkeskommunens rammetilskudd sammen med kap. 550, post 64 Inkluderende og vekstkraftige lokalsamfunn. For å ivareta dagens geografiske fordeling, vil midlene i 2020 bli gitt en særskilt fordeling (tabell c). Midlene vil bygge opp under fylkeskommunenes ansvar for nærings- og samfunnsutvikling.</w:t>
      </w:r>
    </w:p>
    <w:p w:rsidR="00557A6F" w:rsidRDefault="00557A6F" w:rsidP="00557A6F">
      <w:r>
        <w:t>I perioden 2018–2020 er det varslet at de årlige rammene til de tre nordligste fylkeskommunene fra kap. 553, post 60 økes med 3 mill. kroner, som en oppfølging av nordområdestrategien. Dette iv</w:t>
      </w:r>
      <w:r>
        <w:t>a</w:t>
      </w:r>
      <w:r>
        <w:t>retas i den sær</w:t>
      </w:r>
      <w:r>
        <w:t>s</w:t>
      </w:r>
      <w:r>
        <w:t>kilte fordelingen for 2020, og regjeringen legger til grunn at det vil være opp til de berørte fylkeskommunene å vurdere disse hensynene.</w:t>
      </w:r>
    </w:p>
    <w:p w:rsidR="00557A6F" w:rsidRDefault="00557A6F" w:rsidP="00557A6F">
      <w:pPr>
        <w:pStyle w:val="avsnitt-tittel"/>
      </w:pPr>
      <w:r>
        <w:t>Rapport</w:t>
      </w:r>
    </w:p>
    <w:p w:rsidR="00557A6F" w:rsidRDefault="00557A6F" w:rsidP="00557A6F">
      <w:r>
        <w:t>Det ble gitt tilsagn for om lag 133 mill. kroner fra fylkeskommunene i 2018. De høyest prioriterte områdene var: forskningsbasert innovasjon (FORREGION) (20 pst.), tiltak for å fremme bedrift</w:t>
      </w:r>
      <w:r>
        <w:t>s</w:t>
      </w:r>
      <w:r>
        <w:t>samarbeid og klynger (19 pst.), fremme tilgang på kompetanse (12 pst.), inkubasjon (10 pst.) og tilrettelegging for u</w:t>
      </w:r>
      <w:r>
        <w:t>t</w:t>
      </w:r>
      <w:r>
        <w:t>danning og kompetanse for næringslivet (5 pst.).</w:t>
      </w:r>
    </w:p>
    <w:p w:rsidR="00557A6F" w:rsidRDefault="00557A6F" w:rsidP="00557A6F">
      <w:pPr>
        <w:pStyle w:val="b-post"/>
      </w:pPr>
      <w:r>
        <w:t xml:space="preserve">Post 61 Mobiliserende og kvalifiserende næringsutvikling </w:t>
      </w:r>
    </w:p>
    <w:p w:rsidR="00557A6F" w:rsidRDefault="00557A6F" w:rsidP="00557A6F">
      <w:r>
        <w:t>Som en del av regionreformen får fylkeskommunene et større oppdragsgiveransvar for mobilise</w:t>
      </w:r>
      <w:r>
        <w:t>r</w:t>
      </w:r>
      <w:r>
        <w:t>ende og kvalifiserende næringspolitiske virkemidler i regi av Innovasjon Norge og Siva. Tidligere kap. 550, post 62 Bedriftsrettede låne- og tilskuddsordninger i distriktene legges også inn i denne posten. Med denne endringen er oppdragsgiveransvaret for en stor del av de distriktsrettede n</w:t>
      </w:r>
      <w:r>
        <w:t>æ</w:t>
      </w:r>
      <w:r>
        <w:t>ringsvirkemidlene overført fra staten til fylkeskommunene.</w:t>
      </w:r>
    </w:p>
    <w:p w:rsidR="00557A6F" w:rsidRDefault="00557A6F" w:rsidP="00557A6F">
      <w:r>
        <w:t>Boks 6.2 gir oversikt over virkemidlene.</w:t>
      </w:r>
    </w:p>
    <w:p w:rsidR="00557A6F" w:rsidRDefault="00557A6F" w:rsidP="00557A6F">
      <w:pPr>
        <w:pStyle w:val="tittel-ramme"/>
      </w:pPr>
      <w:r>
        <w:t>Virkemidler</w:t>
      </w:r>
    </w:p>
    <w:p w:rsidR="00557A6F" w:rsidRDefault="00557A6F" w:rsidP="00557A6F">
      <w:pPr>
        <w:pStyle w:val="Liste"/>
        <w:rPr>
          <w:rStyle w:val="kursiv"/>
          <w:sz w:val="21"/>
          <w:szCs w:val="21"/>
        </w:rPr>
      </w:pPr>
      <w:r>
        <w:rPr>
          <w:rStyle w:val="kursiv"/>
          <w:sz w:val="21"/>
          <w:szCs w:val="21"/>
        </w:rPr>
        <w:t>Distriktsrettede risikolån</w:t>
      </w:r>
      <w:r>
        <w:t xml:space="preserve"> kan gis til toppfinansiering av antatt lønnsomme investerings- og utvikling</w:t>
      </w:r>
      <w:r>
        <w:t>s</w:t>
      </w:r>
      <w:r>
        <w:t>prosjekter som er vanskelig å finansiere i det private kredittmarkedet. Lånene kan innvilges både til n</w:t>
      </w:r>
      <w:r>
        <w:t>y</w:t>
      </w:r>
      <w:r>
        <w:t>etableringer og etablerte bedrifter uavhengig av størrelse.</w:t>
      </w:r>
    </w:p>
    <w:p w:rsidR="00557A6F" w:rsidRDefault="00557A6F" w:rsidP="00557A6F">
      <w:pPr>
        <w:pStyle w:val="Liste"/>
        <w:rPr>
          <w:rStyle w:val="kursiv"/>
          <w:sz w:val="21"/>
          <w:szCs w:val="21"/>
        </w:rPr>
      </w:pPr>
      <w:r>
        <w:rPr>
          <w:rStyle w:val="kursiv"/>
          <w:sz w:val="21"/>
          <w:szCs w:val="21"/>
        </w:rPr>
        <w:t>Distriktsrettede garantier</w:t>
      </w:r>
      <w:r>
        <w:t xml:space="preserve"> for driftskreditt og unntaksvis for lån gis også til bedrifter som mangler pant</w:t>
      </w:r>
      <w:r>
        <w:t>e</w:t>
      </w:r>
      <w:r>
        <w:t>sikkerhet for lånefinansiering i bank.</w:t>
      </w:r>
    </w:p>
    <w:p w:rsidR="00557A6F" w:rsidRDefault="00557A6F" w:rsidP="00557A6F">
      <w:pPr>
        <w:pStyle w:val="Liste"/>
        <w:rPr>
          <w:rStyle w:val="kursiv"/>
          <w:sz w:val="21"/>
          <w:szCs w:val="21"/>
        </w:rPr>
      </w:pPr>
      <w:r>
        <w:rPr>
          <w:rStyle w:val="kursiv"/>
          <w:sz w:val="21"/>
          <w:szCs w:val="21"/>
        </w:rPr>
        <w:t>Investeringstilskudd</w:t>
      </w:r>
      <w:r>
        <w:t xml:space="preserve"> kan gis til fysiske investeringer som for eksempel produksjonslokaler eller produ</w:t>
      </w:r>
      <w:r>
        <w:t>k</w:t>
      </w:r>
      <w:r>
        <w:t xml:space="preserve">sjonsutstyr. Investeringstilskudd gis primært til små og mellomstore bedrifter. </w:t>
      </w:r>
    </w:p>
    <w:p w:rsidR="00557A6F" w:rsidRDefault="00557A6F" w:rsidP="00557A6F">
      <w:pPr>
        <w:pStyle w:val="Liste"/>
        <w:rPr>
          <w:rStyle w:val="kursiv"/>
          <w:sz w:val="21"/>
          <w:szCs w:val="21"/>
        </w:rPr>
      </w:pPr>
      <w:r>
        <w:rPr>
          <w:rStyle w:val="kursiv"/>
          <w:sz w:val="21"/>
          <w:szCs w:val="21"/>
        </w:rPr>
        <w:t>Bedriftsutviklingstilskudd</w:t>
      </w:r>
      <w:r>
        <w:t xml:space="preserve"> kan gis til rådgivningstjenester, kompetansetiltak og tilskudd til forprosjekter. Bedriftsutviklingstilskudd gis primært til små og mellomstore bedrifter.</w:t>
      </w:r>
    </w:p>
    <w:p w:rsidR="00557A6F" w:rsidRDefault="00557A6F" w:rsidP="00557A6F">
      <w:pPr>
        <w:pStyle w:val="Liste"/>
        <w:rPr>
          <w:rStyle w:val="kursiv"/>
          <w:sz w:val="21"/>
          <w:szCs w:val="21"/>
        </w:rPr>
      </w:pPr>
      <w:r>
        <w:rPr>
          <w:rStyle w:val="kursiv"/>
          <w:sz w:val="21"/>
          <w:szCs w:val="21"/>
        </w:rPr>
        <w:t>Distriktsrettet etablerertilskudd</w:t>
      </w:r>
      <w:r>
        <w:t xml:space="preserve"> til markedsavklaring og kommersialisering kan gis til gründere og fellestiltak for grupper av etablerere, for eksempel etablererveiledning. De to viktigste tildelingskriteriene er at forretningsidéen/løsningen representerer noe vesentlig nytt regi</w:t>
      </w:r>
      <w:r>
        <w:t>o</w:t>
      </w:r>
      <w:r>
        <w:t>nalt, og at gründeren har ambisj</w:t>
      </w:r>
      <w:r>
        <w:t>o</w:t>
      </w:r>
      <w:r>
        <w:t>ner om å utvikle en vekstbedrift.</w:t>
      </w:r>
    </w:p>
    <w:p w:rsidR="00557A6F" w:rsidRDefault="00557A6F" w:rsidP="00557A6F">
      <w:r>
        <w:t>Distriktsrettede risikolån og garantier, investerings- og bedriftsutviklingstilskudd og distriktsrettede etablerertilskudd kan kun brukes innenfor virkeområdet for distriktsrettet investeringsstøtte.</w:t>
      </w:r>
    </w:p>
    <w:p w:rsidR="00557A6F" w:rsidRDefault="00557A6F" w:rsidP="00557A6F">
      <w:pPr>
        <w:pStyle w:val="Liste"/>
        <w:rPr>
          <w:rStyle w:val="kursiv"/>
          <w:sz w:val="21"/>
          <w:szCs w:val="21"/>
        </w:rPr>
      </w:pPr>
      <w:r>
        <w:rPr>
          <w:rStyle w:val="kursiv"/>
          <w:sz w:val="21"/>
          <w:szCs w:val="21"/>
        </w:rPr>
        <w:t xml:space="preserve">Landsdekkende etablerertilskudd </w:t>
      </w:r>
      <w:r>
        <w:t>til markedsavklaring skal støtte gründere som har nye ideer med stort vekstpotensial. Tilskuddet kan brukes til å utvikle egen kompetanse, kjøpe ko</w:t>
      </w:r>
      <w:r>
        <w:t>m</w:t>
      </w:r>
      <w:r>
        <w:t>petansetjenester av andre, tilpasse produktet eller tjenesten til markedet eller som sikkerhet for å innhente mer kapital.</w:t>
      </w:r>
    </w:p>
    <w:p w:rsidR="00557A6F" w:rsidRDefault="00557A6F" w:rsidP="00557A6F">
      <w:pPr>
        <w:pStyle w:val="Liste"/>
        <w:rPr>
          <w:rStyle w:val="kursiv"/>
          <w:sz w:val="21"/>
          <w:szCs w:val="21"/>
        </w:rPr>
      </w:pPr>
      <w:r>
        <w:rPr>
          <w:rStyle w:val="kursiv"/>
          <w:sz w:val="21"/>
          <w:szCs w:val="21"/>
        </w:rPr>
        <w:t>Næringshageprogrammet</w:t>
      </w:r>
      <w:r>
        <w:t xml:space="preserve"> tilbyr utviklingsorienterte bedrifter tilgang til felles lokaler, komp</w:t>
      </w:r>
      <w:r>
        <w:t>e</w:t>
      </w:r>
      <w:r>
        <w:t>tanse, net</w:t>
      </w:r>
      <w:r>
        <w:t>t</w:t>
      </w:r>
      <w:r>
        <w:t>verk og et faglig og sosialt fellesskap (Næringshager). Målgruppen er i hovedsak kunnskapsbe</w:t>
      </w:r>
      <w:r>
        <w:lastRenderedPageBreak/>
        <w:t>drifter. Det er et mål at alle næringshagene skal ha målbedrifter innenfor vi</w:t>
      </w:r>
      <w:r>
        <w:t>r</w:t>
      </w:r>
      <w:r>
        <w:t>keområdet for distriktsrettet invest</w:t>
      </w:r>
      <w:r>
        <w:t>e</w:t>
      </w:r>
      <w:r>
        <w:t xml:space="preserve">ringsstøtte. </w:t>
      </w:r>
    </w:p>
    <w:p w:rsidR="00557A6F" w:rsidRDefault="00557A6F" w:rsidP="00557A6F">
      <w:pPr>
        <w:pStyle w:val="Liste"/>
        <w:rPr>
          <w:rStyle w:val="kursiv"/>
          <w:sz w:val="21"/>
          <w:szCs w:val="21"/>
        </w:rPr>
      </w:pPr>
      <w:r>
        <w:rPr>
          <w:rStyle w:val="kursiv"/>
          <w:spacing w:val="-2"/>
          <w:sz w:val="21"/>
          <w:szCs w:val="21"/>
        </w:rPr>
        <w:t>Inkubasjonsprogrammet</w:t>
      </w:r>
      <w:r>
        <w:t xml:space="preserve"> skal bidra til at gode idéer identifiseres, videreutvikles og kommersi</w:t>
      </w:r>
      <w:r>
        <w:t>a</w:t>
      </w:r>
      <w:r>
        <w:t>liseres til nye vekstbedrifter, og til å gi vekst i etablerte bedrifter. Siva tildeler midler til r</w:t>
      </w:r>
      <w:r>
        <w:t>e</w:t>
      </w:r>
      <w:r>
        <w:t>gionale innovasjonsmiljøer og n</w:t>
      </w:r>
      <w:r>
        <w:t>æ</w:t>
      </w:r>
      <w:r>
        <w:t>ringsaktører som har inkubasjon som vesentlig aktivitet, herunder forsknings- og kunnskapsparker, innov</w:t>
      </w:r>
      <w:r>
        <w:t>a</w:t>
      </w:r>
      <w:r>
        <w:t>sjonsselskaper og inkubatorer.</w:t>
      </w:r>
    </w:p>
    <w:p w:rsidR="00557A6F" w:rsidRDefault="00557A6F" w:rsidP="00557A6F">
      <w:pPr>
        <w:pStyle w:val="Liste"/>
        <w:rPr>
          <w:rStyle w:val="kursiv"/>
          <w:sz w:val="21"/>
          <w:szCs w:val="21"/>
        </w:rPr>
      </w:pPr>
      <w:r>
        <w:rPr>
          <w:rStyle w:val="kursiv"/>
          <w:sz w:val="21"/>
          <w:szCs w:val="21"/>
        </w:rPr>
        <w:t>Mentortjenesten for gründere</w:t>
      </w:r>
      <w:r>
        <w:t xml:space="preserve"> skal gi økt kunnskap om det å drive egen virksomhet, forre</w:t>
      </w:r>
      <w:r>
        <w:t>t</w:t>
      </w:r>
      <w:r>
        <w:t>ningsutvikling og vurdering av markedsmuligheter. Målgruppen er daglig ledere i gründe</w:t>
      </w:r>
      <w:r>
        <w:t>r</w:t>
      </w:r>
      <w:r>
        <w:t>bedrifter. Bedriftene må være i utviklings- eller markedsintroduksjonsfasen og ha ambisj</w:t>
      </w:r>
      <w:r>
        <w:t>o</w:t>
      </w:r>
      <w:r>
        <w:t>ner om vekst utover sitt lokale marked. Mentortjenesten kan benyttes i distrikt og i regi</w:t>
      </w:r>
      <w:r>
        <w:t>o</w:t>
      </w:r>
      <w:r>
        <w:t>ner.</w:t>
      </w:r>
    </w:p>
    <w:p w:rsidR="00557A6F" w:rsidRDefault="00557A6F" w:rsidP="00557A6F">
      <w:pPr>
        <w:pStyle w:val="Liste"/>
        <w:rPr>
          <w:rStyle w:val="kursiv"/>
          <w:sz w:val="21"/>
          <w:szCs w:val="21"/>
        </w:rPr>
      </w:pPr>
      <w:r>
        <w:rPr>
          <w:rStyle w:val="kursiv"/>
          <w:sz w:val="21"/>
          <w:szCs w:val="21"/>
        </w:rPr>
        <w:t>Bedriftsnettverk</w:t>
      </w:r>
      <w:r>
        <w:t xml:space="preserve"> er et tilbud til små og mellomstore bedrifter med vekstambisjoner som øn</w:t>
      </w:r>
      <w:r>
        <w:t>s</w:t>
      </w:r>
      <w:r>
        <w:t>ker å etablere forpliktende kommersielt, strategisk og markedsrettet samarbeid for å styrke innovasjonsevne og ko</w:t>
      </w:r>
      <w:r>
        <w:t>n</w:t>
      </w:r>
      <w:r>
        <w:t>kurransekraft.</w:t>
      </w:r>
    </w:p>
    <w:p w:rsidR="00557A6F" w:rsidRDefault="007F3140" w:rsidP="007F3140">
      <w:pPr>
        <w:pStyle w:val="Ramme-slutt"/>
      </w:pPr>
      <w:r>
        <w:t>[Boks slutt]</w:t>
      </w:r>
    </w:p>
    <w:p w:rsidR="00557A6F" w:rsidRDefault="00557A6F" w:rsidP="00557A6F">
      <w:pPr>
        <w:pStyle w:val="avsnitt-tittel"/>
      </w:pPr>
      <w:r>
        <w:t>Mål for ordningen</w:t>
      </w:r>
    </w:p>
    <w:p w:rsidR="00557A6F" w:rsidRDefault="00557A6F" w:rsidP="00557A6F">
      <w:r>
        <w:t>Posten omfatter bevilgninger til fylkeskommunene til finansiering av virkemidler for å mobilisere og utvikle et verdiskapende næringsliv i distrikt og regioner. Målgruppen er bedrifter og entrepre</w:t>
      </w:r>
      <w:r>
        <w:t>n</w:t>
      </w:r>
      <w:r>
        <w:t>ører i hele landet.</w:t>
      </w:r>
    </w:p>
    <w:p w:rsidR="00557A6F" w:rsidRDefault="00557A6F" w:rsidP="00557A6F">
      <w:pPr>
        <w:pStyle w:val="avsnitt-tittel"/>
      </w:pPr>
      <w:r>
        <w:t>Kriterier for måloppnåelse</w:t>
      </w:r>
    </w:p>
    <w:p w:rsidR="00557A6F" w:rsidRDefault="00557A6F" w:rsidP="00557A6F">
      <w:r>
        <w:t>Kriterier for måloppnåelse er vekst i verdiskaping, omsetning, sysselsetting og nyskaping i distrikt og regioner. Kriteriene varierer mellom de ulike virkemidlene.</w:t>
      </w:r>
    </w:p>
    <w:p w:rsidR="00557A6F" w:rsidRDefault="00557A6F" w:rsidP="00557A6F">
      <w:pPr>
        <w:pStyle w:val="avsnitt-tittel"/>
      </w:pPr>
      <w:r>
        <w:t>Tildelingskriterier</w:t>
      </w:r>
    </w:p>
    <w:p w:rsidR="00557A6F" w:rsidRDefault="00557A6F" w:rsidP="00557A6F">
      <w:r>
        <w:t>Midlene fordeles til fylkeskommunene etter to komponenter; en distriktsdel og en regionaldel. Den distriktsrettede delen skal utjevne geografiske forskjeller ved å kompensere for ulemper i di</w:t>
      </w:r>
      <w:r>
        <w:t>s</w:t>
      </w:r>
      <w:r>
        <w:t>triktsområder, og utgjør mesteparten av bevilgningen (om lag 70 pst.). Disse midlene fordeles til fylkeskommunene etter antall innbyggere innenfor virkeområdet for distriktsrettet investeringsstø</w:t>
      </w:r>
      <w:r>
        <w:t>t</w:t>
      </w:r>
      <w:r>
        <w:t>te,</w:t>
      </w:r>
      <w:r>
        <w:rPr>
          <w:vertAlign w:val="superscript"/>
        </w:rPr>
        <w:footnoteReference w:id="9"/>
      </w:r>
      <w:r>
        <w:t xml:space="preserve"> med høyere vekting av kommuner som skårer lavt på Distriktsindeksen. I tillegg er det en ek</w:t>
      </w:r>
      <w:r>
        <w:t>s</w:t>
      </w:r>
      <w:r>
        <w:t>tra vekting per innbygger i tiltak</w:t>
      </w:r>
      <w:r>
        <w:t>s</w:t>
      </w:r>
      <w:r>
        <w:t>sonen (Finnmark og Nord-Troms). Den regionale delen skal legge til rette for vekst og utvikling i hele landet ved at hvert fylke realiserer sitt potensial, basert på m</w:t>
      </w:r>
      <w:r>
        <w:t>u</w:t>
      </w:r>
      <w:r>
        <w:t>ligheter og utfordringer. Den regionale a</w:t>
      </w:r>
      <w:r>
        <w:t>n</w:t>
      </w:r>
      <w:r>
        <w:t>delen fordeles med utgangspunkt i tilskuddsprofilen i 2018 for Inkubasjonsprogrammet og gjennomsnittlig forbruksprofil i årene 2017–2018 for B</w:t>
      </w:r>
      <w:r>
        <w:t>e</w:t>
      </w:r>
      <w:r>
        <w:t>driftsnettverk, Mentortjenesten og det landsdekkende etabl</w:t>
      </w:r>
      <w:r>
        <w:t>e</w:t>
      </w:r>
      <w:r>
        <w:t>rertilskuddet.</w:t>
      </w:r>
    </w:p>
    <w:p w:rsidR="00557A6F" w:rsidRDefault="00557A6F" w:rsidP="00557A6F">
      <w:r>
        <w:t>Overføringen av oppdragsgiveransvaret fra staten innebærer at fylkeskommunene får ansvaret for å utforme og finansiere oppdrag til Innovasjon Norge og Siva i sitt fylke, i tråd med regionale behov og prioriteringer. Fylke</w:t>
      </w:r>
      <w:r>
        <w:t>s</w:t>
      </w:r>
      <w:r>
        <w:t>kommunene prioriterer selv fordelingen mellom de ulike virkemidlene i boks 6.2.</w:t>
      </w:r>
    </w:p>
    <w:p w:rsidR="00557A6F" w:rsidRDefault="00557A6F" w:rsidP="00557A6F">
      <w:r>
        <w:t>Innovasjon Norge og Siva skal fremdeles være programoperatør for virkemidlene og forvalte mi</w:t>
      </w:r>
      <w:r>
        <w:t>d</w:t>
      </w:r>
      <w:r>
        <w:t>ler som tildeles fra fylkeskommunene, i tråd med gjeldende programplaner og mål- og tildeling</w:t>
      </w:r>
      <w:r>
        <w:t>s</w:t>
      </w:r>
      <w:r>
        <w:t>kriterier, jf. boks 6.2. Det er ikke anledning for fylkeskommunene å forvalte midlene selv, og det er kun Innovasjon Norge og Siva som skal motta oppdrag med midler fra posten.</w:t>
      </w:r>
    </w:p>
    <w:p w:rsidR="00557A6F" w:rsidRDefault="00557A6F" w:rsidP="00557A6F">
      <w:r>
        <w:t>Fylkeskommunene vil ha ansvar for styringsdialog med Innovasjon Norge og Siva for de fylke</w:t>
      </w:r>
      <w:r>
        <w:t>s</w:t>
      </w:r>
      <w:r>
        <w:t>kommunale op</w:t>
      </w:r>
      <w:r>
        <w:t>p</w:t>
      </w:r>
      <w:r>
        <w:t>dragene.</w:t>
      </w:r>
    </w:p>
    <w:p w:rsidR="00557A6F" w:rsidRDefault="00557A6F" w:rsidP="00557A6F">
      <w:pPr>
        <w:pStyle w:val="avsnitt-tittel"/>
      </w:pPr>
      <w:r>
        <w:lastRenderedPageBreak/>
        <w:t>Oppfølging og kontroll</w:t>
      </w:r>
    </w:p>
    <w:p w:rsidR="00557A6F" w:rsidRDefault="00557A6F" w:rsidP="00557A6F">
      <w:r>
        <w:t>Midlene overføres til fylkeskommunene, som har oppdragsgiveransvar overfor Innovasjon Norge og Siva. Bruken av tilskuddsmidlene skal være forankret i regionale mål og planer, i forpliktende partne</w:t>
      </w:r>
      <w:r>
        <w:t>r</w:t>
      </w:r>
      <w:r>
        <w:t>skap med næringslivet og regionale og lokale aktører. Departementet skal lage retningslinjer for posten og vil involvere fylkeskommunene, Siva, Innovasjon Norge og Nærings- og fiskerid</w:t>
      </w:r>
      <w:r>
        <w:t>e</w:t>
      </w:r>
      <w:r>
        <w:t>partementet i a</w:t>
      </w:r>
      <w:r>
        <w:t>r</w:t>
      </w:r>
      <w:r>
        <w:t>beidet. Retningslinjene vil blant annet angi aktørenes oppgaver og ansvarsområder, herunder grun</w:t>
      </w:r>
      <w:r>
        <w:t>n</w:t>
      </w:r>
      <w:r>
        <w:t>leggende krav til forvaltning av midlene. En arbeidsgruppe med representanter fra Kommunal- og moderniseringsdepartementet, Nærings- og fiskeridepartementet, fylkeskommun</w:t>
      </w:r>
      <w:r>
        <w:t>e</w:t>
      </w:r>
      <w:r>
        <w:t>ne og KS samarbeider om best mulige løsninger for overføring av oppdragsgiveransvaret til fy</w:t>
      </w:r>
      <w:r>
        <w:t>l</w:t>
      </w:r>
      <w:r>
        <w:t>keskommunene.</w:t>
      </w:r>
    </w:p>
    <w:p w:rsidR="00557A6F" w:rsidRDefault="00557A6F" w:rsidP="00557A6F">
      <w:r>
        <w:t>For tilskudds- og låneforvaltningen har Innovasjon Norge utarbeidet en intern bedriftsfinansi</w:t>
      </w:r>
      <w:r>
        <w:t>e</w:t>
      </w:r>
      <w:r>
        <w:t>ringshåndbok, retningslinjer og standardvilkår for de ulike finansieringsordningene. Reglene i EØS-avtalen har definert hvilke formål det kan gis tilskudd til, og angir maksimale støttesatser a</w:t>
      </w:r>
      <w:r>
        <w:t>v</w:t>
      </w:r>
      <w:r>
        <w:t>hengig av formål, b</w:t>
      </w:r>
      <w:r>
        <w:t>e</w:t>
      </w:r>
      <w:r>
        <w:t>driftsstørrelse og geografisk lokalisering.</w:t>
      </w:r>
    </w:p>
    <w:p w:rsidR="00557A6F" w:rsidRDefault="00557A6F" w:rsidP="00557A6F">
      <w:r>
        <w:t>For tildelinger under virkemidlene på posten (bedriftsrettede låne- og tilskuddsordninger i distri</w:t>
      </w:r>
      <w:r>
        <w:t>k</w:t>
      </w:r>
      <w:r>
        <w:t>tene, etablerertilskudd, mentortjenesten, bedriftsnettverk, næringshageprogrammet og inkubasjon</w:t>
      </w:r>
      <w:r>
        <w:t>s</w:t>
      </w:r>
      <w:r>
        <w:t>programmet), skal betinge</w:t>
      </w:r>
      <w:r>
        <w:t>l</w:t>
      </w:r>
      <w:r>
        <w:t>sene innrettes i tråd med betingelsene i det alminnelige gruppeunntaket (GBER) for støtte som er forenlig med EØS-avtalen, jf. GBER artikkel 1-9, samt:</w:t>
      </w:r>
    </w:p>
    <w:p w:rsidR="00557A6F" w:rsidRDefault="00557A6F" w:rsidP="00A833AD">
      <w:pPr>
        <w:pStyle w:val="Nummerertliste"/>
        <w:numPr>
          <w:ilvl w:val="0"/>
          <w:numId w:val="21"/>
        </w:numPr>
      </w:pPr>
      <w:r>
        <w:t>artikkel 14 for investeringsstøtte i distriktene</w:t>
      </w:r>
    </w:p>
    <w:p w:rsidR="00557A6F" w:rsidRDefault="00557A6F" w:rsidP="00557A6F">
      <w:pPr>
        <w:pStyle w:val="Nummerertliste"/>
      </w:pPr>
      <w:r>
        <w:t>artikkel 14, 17–20, 21–22, 25–30, 31 og 36–49 for etablerertilskudd</w:t>
      </w:r>
    </w:p>
    <w:p w:rsidR="00557A6F" w:rsidRDefault="00557A6F" w:rsidP="00557A6F">
      <w:pPr>
        <w:pStyle w:val="Nummerertliste"/>
      </w:pPr>
      <w:r>
        <w:t>artikkel 14, 17–20, 21–22, 25–30, 31,36–49, 53, 54, 55 og 56 for regional utvikling</w:t>
      </w:r>
    </w:p>
    <w:p w:rsidR="00557A6F" w:rsidRDefault="00557A6F" w:rsidP="00557A6F">
      <w:pPr>
        <w:pStyle w:val="Nummerertliste"/>
      </w:pPr>
      <w:r>
        <w:t>artikkel 18–20, 21–22, 25–30, 31, 36–49 og 53 for kompetanse- og rådgivningstjenster</w:t>
      </w:r>
    </w:p>
    <w:p w:rsidR="00557A6F" w:rsidRDefault="00557A6F" w:rsidP="00557A6F">
      <w:pPr>
        <w:pStyle w:val="Nummerertliste"/>
      </w:pPr>
      <w:r>
        <w:t>artikkel 17–20, 25–30, 31 og 36–49 for klynger og bedriftsnettverk</w:t>
      </w:r>
    </w:p>
    <w:p w:rsidR="00557A6F" w:rsidRDefault="00557A6F" w:rsidP="00557A6F">
      <w:pPr>
        <w:pStyle w:val="Nummerertliste"/>
      </w:pPr>
      <w:r>
        <w:t xml:space="preserve">artikkel 27 og 28 for næringshageprogrammet og inkubasjonsprogrammet. </w:t>
      </w:r>
    </w:p>
    <w:p w:rsidR="00557A6F" w:rsidRDefault="00557A6F" w:rsidP="00557A6F">
      <w:r>
        <w:t>Kommunal- og moderniseringsdepartementet og Nærings- og fiskeridepartementet vil samarbeide med fylkeskommunene, Innovasjon Norge og Siva om videreutvikling av virkemidlene på bu</w:t>
      </w:r>
      <w:r>
        <w:t>d</w:t>
      </w:r>
      <w:r>
        <w:t>sjettposten.</w:t>
      </w:r>
    </w:p>
    <w:p w:rsidR="00557A6F" w:rsidRDefault="00557A6F" w:rsidP="00557A6F">
      <w:r>
        <w:t>Den årlige rapporteringen til Stortinget vil være basert på rapportering fra fylkeskommunene og virkemiddela</w:t>
      </w:r>
      <w:r>
        <w:t>k</w:t>
      </w:r>
      <w:r>
        <w:t>tørene. Fylkeskommunene og virkemiddelaktørene skal i den årlige rapporteringen synliggjøre oppnådde result</w:t>
      </w:r>
      <w:r>
        <w:t>a</w:t>
      </w:r>
      <w:r>
        <w:t>ter i henhold til kriteriene for måloppnåelse.</w:t>
      </w:r>
    </w:p>
    <w:p w:rsidR="00557A6F" w:rsidRDefault="00557A6F" w:rsidP="00557A6F">
      <w:r>
        <w:t>Departementet vil arbeide videre med å utvikle rutiner for dialog med fylkeskommunene, herunder rapportering og erfaringsoverføring.</w:t>
      </w:r>
    </w:p>
    <w:p w:rsidR="00557A6F" w:rsidRDefault="00557A6F" w:rsidP="00557A6F">
      <w:pPr>
        <w:pStyle w:val="avsnitt-tittel"/>
      </w:pPr>
      <w:r>
        <w:t>Rapport</w:t>
      </w:r>
    </w:p>
    <w:p w:rsidR="00557A6F" w:rsidRDefault="00557A6F" w:rsidP="00557A6F">
      <w:r>
        <w:t>Posten er ny i 2020. Rapportering fra 2018 for de enkelte virkemidlene fremgår under tidligere poster, jf. boks 6.1 for oversikt.</w:t>
      </w:r>
    </w:p>
    <w:p w:rsidR="00557A6F" w:rsidRDefault="00557A6F" w:rsidP="00557A6F">
      <w:pPr>
        <w:pStyle w:val="avsnitt-tittel"/>
      </w:pPr>
      <w:r>
        <w:t>Budsjettforslag</w:t>
      </w:r>
    </w:p>
    <w:p w:rsidR="00557A6F" w:rsidRDefault="00557A6F" w:rsidP="00557A6F">
      <w:r>
        <w:t>Det foreslås en bevilgning på 763,3 mill. kroner i 2020. Se boks 6.1 for oversikt over hvilke beløp som er overført fra hvilket departement. Dette inkluderer administrasjons- og gjennomføringskos</w:t>
      </w:r>
      <w:r>
        <w:t>t</w:t>
      </w:r>
      <w:r>
        <w:t>nader til Innovasjon Norge og Siva. Departementet tildeler midlene til fylkeskommunene som ti</w:t>
      </w:r>
      <w:r>
        <w:t>l</w:t>
      </w:r>
      <w:r>
        <w:t>skudd uten krav om tilbakebetaling, jf. forslag til romertallsvedtak. Fylkeskommunene kan disp</w:t>
      </w:r>
      <w:r>
        <w:t>o</w:t>
      </w:r>
      <w:r>
        <w:t>nere midlene uavhengig av bevilgningsår.</w:t>
      </w:r>
    </w:p>
    <w:p w:rsidR="00557A6F" w:rsidRDefault="00557A6F" w:rsidP="00557A6F">
      <w:r>
        <w:t>Departementet samarbeider med fylkeskommunene, Innovasjon Norge og Siva om utforming av modeller for finansiering av Innovasjon Norge og Sivas kostnader ved forvaltning av fylkesko</w:t>
      </w:r>
      <w:r>
        <w:t>m</w:t>
      </w:r>
      <w:r>
        <w:t>munenes oppdrag. Modellen vil beskrives i retningslinjene for posten.</w:t>
      </w:r>
    </w:p>
    <w:p w:rsidR="00557A6F" w:rsidRDefault="00557A6F" w:rsidP="00557A6F">
      <w:r>
        <w:t>Gjeldende programperiode for næringshageprogrammet og inkubasjonsprogrammet skal i henhold til programplan avsluttes i løpet av 2021. I lys av overføringen av oppdragsgiveransvaret for vi</w:t>
      </w:r>
      <w:r>
        <w:t>r</w:t>
      </w:r>
      <w:r>
        <w:t>kemidlene til fylkeskomm</w:t>
      </w:r>
      <w:r>
        <w:t>u</w:t>
      </w:r>
      <w:r>
        <w:t>nene, forlenges dagens programperiode til å gjelde ut år 2022.</w:t>
      </w:r>
    </w:p>
    <w:p w:rsidR="00557A6F" w:rsidRDefault="00557A6F" w:rsidP="00557A6F">
      <w:pPr>
        <w:pStyle w:val="b-post"/>
      </w:pPr>
      <w:r>
        <w:lastRenderedPageBreak/>
        <w:t>Post 62 Kompetansepiloter, kan overføres</w:t>
      </w:r>
    </w:p>
    <w:p w:rsidR="00557A6F" w:rsidRDefault="00557A6F" w:rsidP="00557A6F">
      <w:r>
        <w:t>Kompetansepiloter er en ny, tidsavgrenset og søknadsbasert ordning som skal mobilisere ette</w:t>
      </w:r>
      <w:r>
        <w:t>r</w:t>
      </w:r>
      <w:r>
        <w:t>spørsel og legge til rette for et regionalt tilpasset etter- og videreutdanningstilbud. Kompetansep</w:t>
      </w:r>
      <w:r>
        <w:t>i</w:t>
      </w:r>
      <w:r>
        <w:t>lotene i fylk</w:t>
      </w:r>
      <w:r>
        <w:t>e</w:t>
      </w:r>
      <w:r>
        <w:t>ne skal mobilisere til kompetanseutvikling i samsvar med ulike målgruppers behov og skal være rettet mot Distrikts-Norge. Pilotene skal kartlegge kompetansebehov, mobilisere og legge til rette for utda</w:t>
      </w:r>
      <w:r>
        <w:t>n</w:t>
      </w:r>
      <w:r>
        <w:t>ning og kompetanseutvikling lokalt. Ordningen skal støtte fylkeskommunenes kompetansepolitiske strategiske rolle og ansvar.</w:t>
      </w:r>
    </w:p>
    <w:p w:rsidR="00557A6F" w:rsidRDefault="00557A6F" w:rsidP="00557A6F">
      <w:r>
        <w:t>Det er fylkeskommunene som kan søke om tilskudd. Fylkeskommuner som får tilskudd skal utvi</w:t>
      </w:r>
      <w:r>
        <w:t>k</w:t>
      </w:r>
      <w:r>
        <w:t>le og prøve ut nye måter å koble sammen etterspørselen etter, og tilbudet av, etter- og videreutda</w:t>
      </w:r>
      <w:r>
        <w:t>n</w:t>
      </w:r>
      <w:r>
        <w:t>ning i distriktsområdene. Pilotene skal gjennomføres i samarbeid mellom fylkeskommunen, n</w:t>
      </w:r>
      <w:r>
        <w:t>æ</w:t>
      </w:r>
      <w:r>
        <w:t>ringslivet, kommunene og relevante utda</w:t>
      </w:r>
      <w:r>
        <w:t>n</w:t>
      </w:r>
      <w:r>
        <w:t>nings-, kompetanse- og arbeidsmarkedsaktører regionalt.</w:t>
      </w:r>
    </w:p>
    <w:p w:rsidR="00557A6F" w:rsidRDefault="00557A6F" w:rsidP="00557A6F">
      <w:r>
        <w:t>Kriterier for måloppnåelse er etablering av tilbud som bidrar til å dekke behov for etter- og vider</w:t>
      </w:r>
      <w:r>
        <w:t>e</w:t>
      </w:r>
      <w:r>
        <w:t>utdanning i områdene som deltar i pilotene.</w:t>
      </w:r>
    </w:p>
    <w:p w:rsidR="00557A6F" w:rsidRDefault="00557A6F" w:rsidP="00557A6F">
      <w:pPr>
        <w:pStyle w:val="avsnitt-tittel"/>
      </w:pPr>
      <w:r>
        <w:t>Tildelingskriterier</w:t>
      </w:r>
    </w:p>
    <w:p w:rsidR="00557A6F" w:rsidRDefault="00557A6F" w:rsidP="00557A6F">
      <w:r>
        <w:t>Ved utvelgelse av fylkeskommunenes prosjektforslag til piloter, vil departementet vektlegge blant annet følgende kriterier:</w:t>
      </w:r>
    </w:p>
    <w:p w:rsidR="00557A6F" w:rsidRDefault="00557A6F" w:rsidP="00A833AD">
      <w:pPr>
        <w:pStyle w:val="Nummerertliste"/>
        <w:numPr>
          <w:ilvl w:val="0"/>
          <w:numId w:val="32"/>
        </w:numPr>
      </w:pPr>
      <w:r>
        <w:t>Piloter som er rettet mot små kommuner/arbeidsmarkeder, eller områder som er kjennetegnet av lange avstander til utdanningsinstitusjoner og andre kompetansemiljøer.</w:t>
      </w:r>
    </w:p>
    <w:p w:rsidR="00557A6F" w:rsidRDefault="00557A6F" w:rsidP="00557A6F">
      <w:pPr>
        <w:pStyle w:val="Nummerertliste"/>
      </w:pPr>
      <w:r>
        <w:t>Prosjekter som primært har ansatte i små virksomheter som målgruppe.</w:t>
      </w:r>
    </w:p>
    <w:p w:rsidR="00557A6F" w:rsidRDefault="00557A6F" w:rsidP="00557A6F">
      <w:r>
        <w:t>Det forutsettes at kompetansepiloter forankres i regionale partnerskap og planer.</w:t>
      </w:r>
    </w:p>
    <w:p w:rsidR="00557A6F" w:rsidRDefault="00557A6F" w:rsidP="00557A6F">
      <w:r>
        <w:t>Tildeling forutsetter fylkeskommunal delfinansiering. Fylkeskommunene søker om deltakelse etter kunngjøring.</w:t>
      </w:r>
    </w:p>
    <w:p w:rsidR="00557A6F" w:rsidRDefault="00557A6F" w:rsidP="00557A6F">
      <w:pPr>
        <w:pStyle w:val="avsnitt-tittel"/>
      </w:pPr>
      <w:r>
        <w:t>Oppfølging og kontroll</w:t>
      </w:r>
    </w:p>
    <w:p w:rsidR="00557A6F" w:rsidRDefault="00557A6F" w:rsidP="00557A6F">
      <w:r>
        <w:t>Ordningen er planlagt å vare i tre år. Departementet vil evaluere ordningen. Det legges vekt på bred formi</w:t>
      </w:r>
      <w:r>
        <w:t>d</w:t>
      </w:r>
      <w:r>
        <w:t>ling av erfaringene fra kompetansepilotene.</w:t>
      </w:r>
    </w:p>
    <w:p w:rsidR="00557A6F" w:rsidRDefault="00557A6F" w:rsidP="00557A6F">
      <w:pPr>
        <w:pStyle w:val="avsnitt-tittel"/>
      </w:pPr>
      <w:r>
        <w:t>Budsjettforslag</w:t>
      </w:r>
    </w:p>
    <w:p w:rsidR="00557A6F" w:rsidRDefault="00557A6F" w:rsidP="00557A6F">
      <w:r>
        <w:t>Det foreslås en bevilgning på 16,4 mill. kroner i 2020. Departementet tildeler midlene til fylke</w:t>
      </w:r>
      <w:r>
        <w:t>s</w:t>
      </w:r>
      <w:r>
        <w:t>kommunene som tilskudd uten krav om tilbakebetaling, jf. forslag til romertallsvedtak. Fylke</w:t>
      </w:r>
      <w:r>
        <w:t>s</w:t>
      </w:r>
      <w:r>
        <w:t>kommunene kan disponere midlene uavhengig av bevilgningsår.</w:t>
      </w:r>
    </w:p>
    <w:p w:rsidR="00557A6F" w:rsidRDefault="00557A6F" w:rsidP="00557A6F">
      <w:pPr>
        <w:pStyle w:val="b-post"/>
      </w:pPr>
      <w:r>
        <w:t>Post 63 Interreg og Arktis 2030</w:t>
      </w:r>
    </w:p>
    <w:p w:rsidR="00557A6F" w:rsidRDefault="00557A6F" w:rsidP="00557A6F">
      <w:r>
        <w:t>Posten omfatter tilskudd til grenseregionale Interreg-program og tilskudd til Arktis 2030.</w:t>
      </w:r>
    </w:p>
    <w:p w:rsidR="00557A6F" w:rsidRDefault="00557A6F" w:rsidP="00557A6F">
      <w:pPr>
        <w:pStyle w:val="Undertittel"/>
      </w:pPr>
      <w:r>
        <w:t>Grenseregionale Interreg-program</w:t>
      </w:r>
    </w:p>
    <w:p w:rsidR="00557A6F" w:rsidRDefault="00557A6F" w:rsidP="00557A6F">
      <w:pPr>
        <w:pStyle w:val="avsnitt-tittel"/>
      </w:pPr>
      <w:r>
        <w:t>Mål for ordningen</w:t>
      </w:r>
    </w:p>
    <w:p w:rsidR="00557A6F" w:rsidRDefault="00557A6F" w:rsidP="00557A6F">
      <w:r>
        <w:t>Målet med Interreg er smart, bærekraftig og inkluderende vekst og sosial integrasjon gjennom samarbeid mellom land i Europa. De grenseregionale programmene organiserer samarbeid mellom naboland.</w:t>
      </w:r>
    </w:p>
    <w:p w:rsidR="00557A6F" w:rsidRDefault="00557A6F" w:rsidP="00557A6F">
      <w:r>
        <w:t>Innsatsen er målrettet innenfor elleve satsingsområder. Den norske innsatsen er spesielt konsentrert om:</w:t>
      </w:r>
    </w:p>
    <w:p w:rsidR="00557A6F" w:rsidRDefault="00557A6F" w:rsidP="00557A6F">
      <w:pPr>
        <w:pStyle w:val="Liste"/>
      </w:pPr>
      <w:r>
        <w:t>Styrke forskning, teknisk utvikling og innovasjon.</w:t>
      </w:r>
    </w:p>
    <w:p w:rsidR="00557A6F" w:rsidRDefault="00557A6F" w:rsidP="00557A6F">
      <w:pPr>
        <w:pStyle w:val="Liste"/>
      </w:pPr>
      <w:r>
        <w:t>Øke konkurransekraften hos små og mellomstore bedrifter.</w:t>
      </w:r>
    </w:p>
    <w:p w:rsidR="00557A6F" w:rsidRDefault="00557A6F" w:rsidP="00557A6F">
      <w:pPr>
        <w:pStyle w:val="Liste"/>
      </w:pPr>
      <w:r>
        <w:t>Beskytte miljøet og fremme bærekraftig bruk av ressurser.</w:t>
      </w:r>
    </w:p>
    <w:p w:rsidR="00557A6F" w:rsidRDefault="00557A6F" w:rsidP="00557A6F">
      <w:pPr>
        <w:pStyle w:val="Liste"/>
      </w:pPr>
      <w:r>
        <w:t>Fremme bærekraftige transporter og ta bort flaskehalser i viktig nettinfrastruktur.</w:t>
      </w:r>
    </w:p>
    <w:p w:rsidR="00557A6F" w:rsidRDefault="00557A6F" w:rsidP="00557A6F">
      <w:pPr>
        <w:pStyle w:val="avsnitt-tittel"/>
      </w:pPr>
      <w:r>
        <w:lastRenderedPageBreak/>
        <w:t>Kriterier for måloppnåelse</w:t>
      </w:r>
    </w:p>
    <w:p w:rsidR="00557A6F" w:rsidRDefault="00557A6F" w:rsidP="00557A6F">
      <w:r>
        <w:t>Kriterier for måloppnåelse finnes i programdokumentene for hvert Interreg-program. Disse er go</w:t>
      </w:r>
      <w:r>
        <w:t>d</w:t>
      </w:r>
      <w:r>
        <w:t>kjent av norske myndigheter, samarbeidslandene og Europakommisjonen, se www.interreg.no.</w:t>
      </w:r>
    </w:p>
    <w:p w:rsidR="00557A6F" w:rsidRDefault="00557A6F" w:rsidP="00557A6F">
      <w:r>
        <w:t>Hvert program formulerer arbeidsmål og styringsparametere og vurderer måloppnåelse. Aktivitet</w:t>
      </w:r>
      <w:r>
        <w:t>s</w:t>
      </w:r>
      <w:r>
        <w:t>indikatorer rapporteres årlig, mens resultatindikatorer rapporteres i 2018 og 2023. Alle progra</w:t>
      </w:r>
      <w:r>
        <w:t>m</w:t>
      </w:r>
      <w:r>
        <w:t>mene har utarbeidet evalu</w:t>
      </w:r>
      <w:r>
        <w:t>e</w:t>
      </w:r>
      <w:r>
        <w:t>ringsplaner.</w:t>
      </w:r>
    </w:p>
    <w:p w:rsidR="00557A6F" w:rsidRDefault="00557A6F" w:rsidP="00557A6F">
      <w:pPr>
        <w:pStyle w:val="avsnitt-tittel"/>
      </w:pPr>
      <w:r>
        <w:t>Tildelingskriterier</w:t>
      </w:r>
    </w:p>
    <w:p w:rsidR="00557A6F" w:rsidRDefault="00557A6F" w:rsidP="00557A6F">
      <w:r>
        <w:t>Bevilgningen på posten utgjør den statlige norske finansieringsandelen i programmene, og er go</w:t>
      </w:r>
      <w:r>
        <w:t>d</w:t>
      </w:r>
      <w:r>
        <w:t>kjent gjennom programdokumentene av deltakerlandene og Europakommisjonen.</w:t>
      </w:r>
    </w:p>
    <w:p w:rsidR="00557A6F" w:rsidRDefault="00557A6F" w:rsidP="00557A6F">
      <w:r>
        <w:t>Tildelingskriteriene for prosjekter er definert for hvert program innenfor rammen av EUs rege</w:t>
      </w:r>
      <w:r>
        <w:t>l</w:t>
      </w:r>
      <w:r>
        <w:t>verk.</w:t>
      </w:r>
      <w:r>
        <w:rPr>
          <w:vertAlign w:val="superscript"/>
        </w:rPr>
        <w:footnoteReference w:id="10"/>
      </w:r>
      <w:r>
        <w:t xml:space="preserve"> Programspesifikke tildelingskriterier og prosjekttildelinger besluttes av programmenes overvåknings- og styringskom</w:t>
      </w:r>
      <w:r>
        <w:t>i</w:t>
      </w:r>
      <w:r>
        <w:t>teer. Prosjekter må dokumentere at aktivitetene vil skape resultater av varig betydning. Aktivitetene skal være tydelig koblet til programmets mål og resultatindikat</w:t>
      </w:r>
      <w:r>
        <w:t>o</w:t>
      </w:r>
      <w:r>
        <w:t>rer. Videre må prosjektene dokumentere at de er nysk</w:t>
      </w:r>
      <w:r>
        <w:t>a</w:t>
      </w:r>
      <w:r>
        <w:t>pende innenfor sine samarbeidsområder, og at det internasjonale samarbeidet er nødvendig for å skape ønsket resultat.</w:t>
      </w:r>
    </w:p>
    <w:p w:rsidR="00557A6F" w:rsidRDefault="00557A6F" w:rsidP="00557A6F">
      <w:pPr>
        <w:pStyle w:val="avsnitt-tittel"/>
      </w:pPr>
      <w:r>
        <w:t>Oppfølging og kontroll</w:t>
      </w:r>
    </w:p>
    <w:p w:rsidR="00557A6F" w:rsidRDefault="00557A6F" w:rsidP="00557A6F">
      <w:r>
        <w:t>Midlene forvaltes av de deltakende fylkeskommunene og overføres til de fylkeskommuner som er sekr</w:t>
      </w:r>
      <w:r>
        <w:t>e</w:t>
      </w:r>
      <w:r>
        <w:t>tariat for et Interreg-program. Departementet kontrollerer at midlene er brukt i henhold til forutsetning</w:t>
      </w:r>
      <w:r>
        <w:t>e</w:t>
      </w:r>
      <w:r>
        <w:t>ne gjennom programmenes overvåkningskomiteer. Rapportering og evaluering brukes til å utvikle og justere innsatsen.</w:t>
      </w:r>
    </w:p>
    <w:p w:rsidR="00557A6F" w:rsidRDefault="00557A6F" w:rsidP="00557A6F">
      <w:pPr>
        <w:pStyle w:val="avsnitt-tittel"/>
      </w:pPr>
      <w:r>
        <w:t>Rapport</w:t>
      </w:r>
    </w:p>
    <w:p w:rsidR="00557A6F" w:rsidRDefault="00557A6F" w:rsidP="00557A6F">
      <w:r>
        <w:t>Det ble gitt tilsagn om 52,7 mill. kroner i 2018 til grenseregionale Interreg-programmer.</w:t>
      </w:r>
    </w:p>
    <w:p w:rsidR="00557A6F" w:rsidRDefault="00557A6F" w:rsidP="00557A6F">
      <w:pPr>
        <w:pStyle w:val="avsnitt-undertittel"/>
      </w:pPr>
      <w:r>
        <w:t>Øresund-Kattegat-Skagerrak (ØKS) – Norge, Sverige og Danmark</w:t>
      </w:r>
    </w:p>
    <w:p w:rsidR="00557A6F" w:rsidRDefault="00557A6F" w:rsidP="00557A6F">
      <w:r>
        <w:t>Programmet omfatter kystfylkene fra Østfold til Vest-Agder, samt svenske og danske regioner i gjeldende kystområder. Aktivitetsmålene i programmet er i all hovedsak nådd. Unntaket er inne</w:t>
      </w:r>
      <w:r>
        <w:t>n</w:t>
      </w:r>
      <w:r>
        <w:t>for transport på grunn av få prosjekt. En evaluering (Kontigo 2018) viser at næringslivet deltar for å dra nytte av resultat innen forskning og utviklingsarbeid, for å styrke sine nettverk og for å få økt kunnskap om konkurrenter og nye markeder. Ut fra de ulike satsingsområdene skriver evaluator blant annet: Innenfor innovasjon bidrar prosjektene til å øke antall forskere som jobber grens</w:t>
      </w:r>
      <w:r>
        <w:t>e</w:t>
      </w:r>
      <w:r>
        <w:t>regionalt og styrker andelen som jobber med anvendt forskning. Innenfor sysselsetting er resultatet både nye bedrifter og økt antall grensepen</w:t>
      </w:r>
      <w:r>
        <w:t>d</w:t>
      </w:r>
      <w:r>
        <w:t>lere, men resultatene er fortsatt av begrenset omfang. Innenfor grønn økonomi og transport er det for tidlig å oppsummere resultater av innsatsen. Ra</w:t>
      </w:r>
      <w:r>
        <w:t>m</w:t>
      </w:r>
      <w:r>
        <w:t>men til ØKS er 9,0 mill. kroner i 2019.</w:t>
      </w:r>
    </w:p>
    <w:p w:rsidR="00557A6F" w:rsidRDefault="00557A6F" w:rsidP="00557A6F">
      <w:pPr>
        <w:pStyle w:val="avsnitt-undertittel"/>
      </w:pPr>
      <w:r>
        <w:t xml:space="preserve">Sverige-Norge </w:t>
      </w:r>
    </w:p>
    <w:p w:rsidR="00557A6F" w:rsidRDefault="00557A6F" w:rsidP="00557A6F">
      <w:r>
        <w:t>Programmet omfatter 108 norske kommuner langs grensen fra Østfold til Trøndelag og 61 ko</w:t>
      </w:r>
      <w:r>
        <w:t>m</w:t>
      </w:r>
      <w:r>
        <w:t>muner på svensk side. Innsatsen er rettet mot å utnytte og forsterke grenseregionens samlede re</w:t>
      </w:r>
      <w:r>
        <w:t>s</w:t>
      </w:r>
      <w:r>
        <w:t>surser, utløse bærekraftig nærings- og samfunnsutvikling, redusere grensebarrierer og utvikle sa</w:t>
      </w:r>
      <w:r>
        <w:t>m</w:t>
      </w:r>
      <w:r>
        <w:t>arbeid mellom små og mellomstore byer. Rammen til Sverige-Norge er 23,5 mill. kroner i 2019.</w:t>
      </w:r>
    </w:p>
    <w:p w:rsidR="00557A6F" w:rsidRDefault="00557A6F" w:rsidP="00557A6F">
      <w:r>
        <w:t>Over 80 pst av midlene er gitt til prosjekter med hovedvekt på innovative næringsmiljøer og små- og mellomstore bedrifter.</w:t>
      </w:r>
    </w:p>
    <w:p w:rsidR="00557A6F" w:rsidRDefault="00557A6F" w:rsidP="00557A6F">
      <w:r>
        <w:t>Konsulentselskapet Kontigo har evaluert næringslivets deltakelse i hhv. Sver</w:t>
      </w:r>
      <w:r>
        <w:t>i</w:t>
      </w:r>
      <w:r>
        <w:t>ge-Norge-programmet og Botnia-Atlantica-programmet. Evalueringen viser at bedriftene som de</w:t>
      </w:r>
      <w:r>
        <w:t>l</w:t>
      </w:r>
      <w:r>
        <w:t>tar aktivt i samarbeidsprosje</w:t>
      </w:r>
      <w:r>
        <w:t>k</w:t>
      </w:r>
      <w:r>
        <w:lastRenderedPageBreak/>
        <w:t>tene har nytte av kunnskapen og nettverket de får tilgang til. Samtidig er det krevende å få bedriftene til å delta som aktive partnere i prosjektene. Evaluator anbefaler derfor å følge opp med tiltak som kan bidra til at flere bedrifter ser nytten av mer aktiv deltakelse i prosjektene, og kommer tidlig inn i prosjektutviklingen. Programstyret vil ta stilling til disse anb</w:t>
      </w:r>
      <w:r>
        <w:t>e</w:t>
      </w:r>
      <w:r>
        <w:t>falingene.</w:t>
      </w:r>
    </w:p>
    <w:p w:rsidR="00557A6F" w:rsidRDefault="00557A6F" w:rsidP="00557A6F">
      <w:pPr>
        <w:pStyle w:val="avsnitt-undertittel"/>
      </w:pPr>
      <w:r>
        <w:t>Botnia-Atlantica – Norge, Sverige og Finland</w:t>
      </w:r>
    </w:p>
    <w:p w:rsidR="00557A6F" w:rsidRDefault="00557A6F" w:rsidP="00557A6F">
      <w:r>
        <w:t>I Botnia-Atlantica samarbeider aktører i Nordland med aktører i Nord-Sverige og Nord-Finland for å øke innovasjonsevnen, utvikle næringslivet, legge til rette for grønne og samordnede transpor</w:t>
      </w:r>
      <w:r>
        <w:t>t</w:t>
      </w:r>
      <w:r>
        <w:t>løsninger som bedrer samhandlingen i regionen og finne gode løsninger for natur- og kulturarv på begge sider av grensen. En evaluering av næringslivets deltakelse i Sverige-Norge og Bo</w:t>
      </w:r>
      <w:r>
        <w:t>t</w:t>
      </w:r>
      <w:r>
        <w:t>nia-Atlantica viser at bedriftene som deltar aktivt i samarbeidsprosjektene har nytte av kunnskapen og nettverket de får tilgang til. Samtidig er det krevende å få bedriftene til å delta som aktive par</w:t>
      </w:r>
      <w:r>
        <w:t>t</w:t>
      </w:r>
      <w:r>
        <w:t>nere i prosjektene. Rammen til Botnia-Atlantica er 2 mill. kroner i 2019.</w:t>
      </w:r>
    </w:p>
    <w:p w:rsidR="00557A6F" w:rsidRDefault="00557A6F" w:rsidP="00557A6F">
      <w:pPr>
        <w:pStyle w:val="avsnitt-undertittel"/>
      </w:pPr>
      <w:r>
        <w:t>Nord – Norge, Sverige og Finland</w:t>
      </w:r>
    </w:p>
    <w:p w:rsidR="00557A6F" w:rsidRDefault="00557A6F" w:rsidP="00557A6F">
      <w:r>
        <w:t>Målet er å styrke programområdets konkurransekraft og attraktivitet. Området omfatter Finnmark, Troms og Nordland, regioner i Nord-Finland, Nord-Sverige samt Sápmi (det samiske området fra He</w:t>
      </w:r>
      <w:r>
        <w:t>d</w:t>
      </w:r>
      <w:r>
        <w:t>mark til Finnmark). Rammen til Nord er 10,2 mill. kroner i 2019.</w:t>
      </w:r>
    </w:p>
    <w:p w:rsidR="00557A6F" w:rsidRDefault="00557A6F" w:rsidP="00557A6F">
      <w:r>
        <w:t>Evaluator (Kontigo 2018) skriver bl.a. at prosjektene har gode forutsetninger for å nå sine mål, er godt forankret blant prosjektpartnerne og hos sine målgrupper samt legger stor vekt på den grens</w:t>
      </w:r>
      <w:r>
        <w:t>e</w:t>
      </w:r>
      <w:r>
        <w:t>regionale merverdien. Innenfor innsatsområdet forskning og innovasjon skriver evaluator at pr</w:t>
      </w:r>
      <w:r>
        <w:t>o</w:t>
      </w:r>
      <w:r>
        <w:t>sjektene i stor grad bidrar til å forsterke b</w:t>
      </w:r>
      <w:r>
        <w:t>e</w:t>
      </w:r>
      <w:r>
        <w:t>driftenes evne til å gjennomføre kommersialiserbare innovasjoner.</w:t>
      </w:r>
    </w:p>
    <w:p w:rsidR="00557A6F" w:rsidRDefault="00557A6F" w:rsidP="00557A6F">
      <w:pPr>
        <w:pStyle w:val="avsnitt-undertittel"/>
      </w:pPr>
      <w:r>
        <w:t>Kolarctic – Norge, Sverige, Finland og Russland</w:t>
      </w:r>
    </w:p>
    <w:p w:rsidR="00557A6F" w:rsidRDefault="00557A6F" w:rsidP="00557A6F">
      <w:r>
        <w:t>Programmets kjerneområde er Nordland, Troms, Finnmark, Norrbotten, Lappland, Murmansk, Arkhangelsk og Nenets. Programmet følger opp erklæringen om Barentssamarbeidet fra 2013 og bidrar til sa</w:t>
      </w:r>
      <w:r>
        <w:t>m</w:t>
      </w:r>
      <w:r>
        <w:t>arbeid med Russland i nordområdene. Fra og med 2018 er programmet i full drift. Rammen til Kolarctic er 8 mill. kroner i 2019.</w:t>
      </w:r>
    </w:p>
    <w:p w:rsidR="00557A6F" w:rsidRDefault="00557A6F" w:rsidP="00557A6F">
      <w:r>
        <w:t>Programmet skal bidra til bærekraftig økonomisk utvikling, og mobilitet av personer, ideer og te</w:t>
      </w:r>
      <w:r>
        <w:t>k</w:t>
      </w:r>
      <w:r>
        <w:t>nologi. Prioriterte områder er bl.a. bedriftsutvikling, miljø og klima, grensesikkerhet og forbedret ti</w:t>
      </w:r>
      <w:r>
        <w:t>l</w:t>
      </w:r>
      <w:r>
        <w:t>gjengelighet innenfor Barentsregionen og mot resten av Europa. Folk-til-folk samarbeid er viktig, bl.a. med vekt på ungdom, kreative næringer og samarbeid mellom kommuner, utdanningsinstit</w:t>
      </w:r>
      <w:r>
        <w:t>u</w:t>
      </w:r>
      <w:r>
        <w:t>sjoner og frivillige organisasjoner. Samarbeid over grensene i nord, bærekraft og likestilling (ge</w:t>
      </w:r>
      <w:r>
        <w:t>n</w:t>
      </w:r>
      <w:r>
        <w:t>der equality) er gjennomgående temaer.</w:t>
      </w:r>
    </w:p>
    <w:p w:rsidR="00557A6F" w:rsidRDefault="00557A6F" w:rsidP="00557A6F">
      <w:pPr>
        <w:pStyle w:val="Undertittel"/>
      </w:pPr>
      <w:r>
        <w:t>Arktis 2030</w:t>
      </w:r>
    </w:p>
    <w:p w:rsidR="00557A6F" w:rsidRDefault="00557A6F" w:rsidP="00557A6F">
      <w:r>
        <w:t xml:space="preserve">Stortinget har sluttet seg til at deler av midlene i tilskuddsordningen Arktis 2030 skal overføres til Troms og Finnmark fylkeskommune, i nært samarbeid med Nordland fylkeskommune, jf. Meld. St. 6 (2018–2019) </w:t>
      </w:r>
      <w:r>
        <w:rPr>
          <w:rStyle w:val="kursiv"/>
          <w:sz w:val="21"/>
          <w:szCs w:val="21"/>
        </w:rPr>
        <w:t>Oppgaver til nye regioner.</w:t>
      </w:r>
      <w:r>
        <w:t xml:space="preserve"> Fylkeskommunenes kompetanse og plassering i nordomr</w:t>
      </w:r>
      <w:r>
        <w:t>å</w:t>
      </w:r>
      <w:r>
        <w:t>dene vil gi en merverdi for å nå målene for Arktis 2030.</w:t>
      </w:r>
    </w:p>
    <w:p w:rsidR="00557A6F" w:rsidRDefault="00557A6F" w:rsidP="00557A6F">
      <w:r>
        <w:t>Oppgaveoverføringen vil samtidig bidra til å styrke de nordlige fylkeskommunenes ansvar for å gi strategisk retning, mobilisere og koordinere innsats og virkemiddelbruk i Nord-Norge.</w:t>
      </w:r>
    </w:p>
    <w:p w:rsidR="00557A6F" w:rsidRDefault="00557A6F" w:rsidP="00557A6F">
      <w:pPr>
        <w:pStyle w:val="avsnitt-tittel"/>
      </w:pPr>
      <w:r>
        <w:t>Mål for ordningen</w:t>
      </w:r>
    </w:p>
    <w:p w:rsidR="00557A6F" w:rsidRDefault="00557A6F" w:rsidP="00557A6F">
      <w:r>
        <w:t>Målet med Arktis 2030 er å ivareta norske interesser i nord og Norges rolle som en ansvarlig og sentral polarnasjon. Tilskuddsmidlene skal bidra til å støtte opp under regjeringens nordområdep</w:t>
      </w:r>
      <w:r>
        <w:t>o</w:t>
      </w:r>
      <w:r>
        <w:t>litikk. Innsa</w:t>
      </w:r>
      <w:r>
        <w:t>t</w:t>
      </w:r>
      <w:r>
        <w:t>sen er to-delt. En nasjonal innsats, rettet mot utenrikspolitisk prioriterte tiltak, som ivaretas av Utenriksdepartementet over kap. 118 Utenrikspolitiske satsinger, post 70 Nordområd</w:t>
      </w:r>
      <w:r>
        <w:t>e</w:t>
      </w:r>
      <w:r>
        <w:t>tiltak, samarbeid med Russland og atomsikkerhet og en regional innsats som overføres til Troms og Finnmark fylkeskommune, i nært samarbeid med Nordland fylkeskommune. Den regionale innsa</w:t>
      </w:r>
      <w:r>
        <w:t>t</w:t>
      </w:r>
      <w:r>
        <w:t>sen skal omfatte hele Nord-Norge og bidra til bærekraftig samfunnsutvikling i nordområdene.</w:t>
      </w:r>
    </w:p>
    <w:p w:rsidR="00557A6F" w:rsidRDefault="00557A6F" w:rsidP="00557A6F">
      <w:r>
        <w:lastRenderedPageBreak/>
        <w:t>Prosjekter av utenrikspolitisk karakter skal søke støtte fra Utenriksdepartementet.</w:t>
      </w:r>
    </w:p>
    <w:p w:rsidR="00557A6F" w:rsidRDefault="00557A6F" w:rsidP="00557A6F">
      <w:pPr>
        <w:pStyle w:val="avsnitt-tittel"/>
      </w:pPr>
      <w:r>
        <w:t>Kriterier for måloppnåelse</w:t>
      </w:r>
    </w:p>
    <w:p w:rsidR="00557A6F" w:rsidRDefault="00557A6F" w:rsidP="00557A6F">
      <w:r>
        <w:t>Innsatsen skal måles etter følgende kriterier for måloppnåelse innenfor fire innsatsområder:</w:t>
      </w:r>
    </w:p>
    <w:p w:rsidR="00557A6F" w:rsidRDefault="00557A6F" w:rsidP="00557A6F">
      <w:pPr>
        <w:pStyle w:val="Liste"/>
        <w:rPr>
          <w:rStyle w:val="kursiv"/>
          <w:sz w:val="21"/>
          <w:szCs w:val="21"/>
        </w:rPr>
      </w:pPr>
      <w:r>
        <w:t>Kunnskap: Økt kunnskap om polare strøk og samfunn, kompetansebehov, forvaltning og miljø, og natu</w:t>
      </w:r>
      <w:r>
        <w:t>r</w:t>
      </w:r>
      <w:r>
        <w:t>ressurser i nordområdene.</w:t>
      </w:r>
    </w:p>
    <w:p w:rsidR="00557A6F" w:rsidRDefault="00557A6F" w:rsidP="00557A6F">
      <w:pPr>
        <w:pStyle w:val="Liste"/>
        <w:rPr>
          <w:rStyle w:val="kursiv"/>
          <w:sz w:val="21"/>
          <w:szCs w:val="21"/>
        </w:rPr>
      </w:pPr>
      <w:r>
        <w:t>Infrastruktur: Økt kunnskap om og tilrettelegging for infrastrukturbehov som følge av økt aktivitet i nordområdene.</w:t>
      </w:r>
    </w:p>
    <w:p w:rsidR="00557A6F" w:rsidRDefault="00557A6F" w:rsidP="00557A6F">
      <w:pPr>
        <w:pStyle w:val="Liste"/>
        <w:rPr>
          <w:rStyle w:val="kursiv"/>
          <w:sz w:val="21"/>
          <w:szCs w:val="21"/>
        </w:rPr>
      </w:pPr>
      <w:r>
        <w:t>Miljøvern, sikkerhet, beredskap og klimaendringer: Økt kunnskap om og kapasitet til for</w:t>
      </w:r>
      <w:r>
        <w:t>e</w:t>
      </w:r>
      <w:r>
        <w:t>bygging og håndtering av forurensning og ulykker i nordområdene. Økt kunnskap om kl</w:t>
      </w:r>
      <w:r>
        <w:t>i</w:t>
      </w:r>
      <w:r>
        <w:t>maendringer, kons</w:t>
      </w:r>
      <w:r>
        <w:t>e</w:t>
      </w:r>
      <w:r>
        <w:t>kvenser av dette og grønn omstilling.</w:t>
      </w:r>
    </w:p>
    <w:p w:rsidR="00557A6F" w:rsidRDefault="00557A6F" w:rsidP="00557A6F">
      <w:pPr>
        <w:pStyle w:val="Liste"/>
        <w:rPr>
          <w:rStyle w:val="kursiv"/>
          <w:sz w:val="21"/>
          <w:szCs w:val="21"/>
        </w:rPr>
      </w:pPr>
      <w:r>
        <w:t>Næringsliv: Økt økonomisk aktivitet, næringsutvikling og verdiskaping i nordområdene.</w:t>
      </w:r>
    </w:p>
    <w:p w:rsidR="00557A6F" w:rsidRDefault="00557A6F" w:rsidP="00557A6F">
      <w:pPr>
        <w:pStyle w:val="avsnitt-tittel"/>
      </w:pPr>
      <w:r>
        <w:t>Tildelingskriterier</w:t>
      </w:r>
    </w:p>
    <w:p w:rsidR="00557A6F" w:rsidRDefault="00557A6F" w:rsidP="00557A6F">
      <w:r>
        <w:t>Tiltakene skal bidra til et helhetlig nordområdeperspektiv i tråd med Regjeringens nordomr</w:t>
      </w:r>
      <w:r>
        <w:t>å</w:t>
      </w:r>
      <w:r>
        <w:t>destrategi. Prosjekter skal bidra til operativ bruk av nyutviklet kunnskap, teknologi og kompetanse om nordområd</w:t>
      </w:r>
      <w:r>
        <w:t>e</w:t>
      </w:r>
      <w:r>
        <w:t>ne. Det skal legges vekt på situasjonen for urfolk. Midlene kan gå til forprosjekter og større flerårige str</w:t>
      </w:r>
      <w:r>
        <w:t>a</w:t>
      </w:r>
      <w:r>
        <w:t>tegiske prosjekter.</w:t>
      </w:r>
    </w:p>
    <w:p w:rsidR="00557A6F" w:rsidRDefault="00557A6F" w:rsidP="00557A6F">
      <w:r>
        <w:t>Tilskuddsmottakere kan være næringsliv, interesseorganisasjoner, offentlig aktører og kunnskap</w:t>
      </w:r>
      <w:r>
        <w:t>s</w:t>
      </w:r>
      <w:r>
        <w:t>miljøer knyttet til nordområdene. Fylkeskommunen kan finansiere tiltak og programmer i egen regi, samt delegere forvaltning til Nordland fylkeskommune.</w:t>
      </w:r>
    </w:p>
    <w:p w:rsidR="00557A6F" w:rsidRDefault="00557A6F" w:rsidP="00557A6F">
      <w:r>
        <w:t>Departementet vil videreutvikle den regionale delen av Arktis 2030 i samarbeid med fylkesko</w:t>
      </w:r>
      <w:r>
        <w:t>m</w:t>
      </w:r>
      <w:r>
        <w:t>munene.</w:t>
      </w:r>
    </w:p>
    <w:p w:rsidR="00557A6F" w:rsidRDefault="00557A6F" w:rsidP="00557A6F">
      <w:pPr>
        <w:pStyle w:val="avsnitt-tittel"/>
      </w:pPr>
      <w:r>
        <w:t>Oppfølging og kontroll</w:t>
      </w:r>
    </w:p>
    <w:p w:rsidR="00557A6F" w:rsidRDefault="00557A6F" w:rsidP="00557A6F">
      <w:r>
        <w:t>Troms og Finnmark fylkeskommune har ansvaret for organiseringen av arbeidet, i nært samarbeid med Nordland fylkeskommune. Arktis 2030 skal ha et landsdelsperspektiv. Direkte bedriftsrettede tilskudd skal forvaltes av Innovasjon Norge, gjennom oppdragsbrev fra fylkeskommunen.</w:t>
      </w:r>
    </w:p>
    <w:p w:rsidR="00557A6F" w:rsidRDefault="00557A6F" w:rsidP="00557A6F">
      <w:r>
        <w:t>Departementet arbeider med en forskrift for ordningen. Målet er at forskrift skal tre i kraft 1. januar 2020.</w:t>
      </w:r>
    </w:p>
    <w:p w:rsidR="00557A6F" w:rsidRDefault="00557A6F" w:rsidP="00557A6F">
      <w:pPr>
        <w:pStyle w:val="avsnitt-tittel"/>
      </w:pPr>
      <w:r>
        <w:t>Rapport</w:t>
      </w:r>
    </w:p>
    <w:p w:rsidR="00557A6F" w:rsidRDefault="00557A6F" w:rsidP="00557A6F">
      <w:r>
        <w:t xml:space="preserve">For rapportering for 2018 </w:t>
      </w:r>
      <w:proofErr w:type="gramStart"/>
      <w:r>
        <w:t>se</w:t>
      </w:r>
      <w:proofErr w:type="gramEnd"/>
      <w:r>
        <w:t xml:space="preserve"> budsjettproposisjonen for Utenriksdepartementet, kap. 118, post 70 Nor</w:t>
      </w:r>
      <w:r>
        <w:t>d</w:t>
      </w:r>
      <w:r>
        <w:t>områdetiltak, samarbeid med Russland og atomsikkerhet.</w:t>
      </w:r>
    </w:p>
    <w:p w:rsidR="00557A6F" w:rsidRDefault="00557A6F" w:rsidP="00557A6F">
      <w:pPr>
        <w:pStyle w:val="Undertittel"/>
      </w:pPr>
      <w:r>
        <w:t xml:space="preserve">Sekretariat for Regionalt nordområdeforum </w:t>
      </w:r>
      <w:r>
        <w:br/>
        <w:t>i Vadsø</w:t>
      </w:r>
    </w:p>
    <w:p w:rsidR="00557A6F" w:rsidRDefault="00557A6F" w:rsidP="00557A6F">
      <w:r>
        <w:t>Regionalt nordområdeforum er en politisk dialogarena. Forumets faste medlemmer er den politiske ledelsen i Utenriksdepartementet, Nærings- og fiskeridepartementet, Kommunal- og modernis</w:t>
      </w:r>
      <w:r>
        <w:t>e</w:t>
      </w:r>
      <w:r>
        <w:t>ringsdepartementet, de nordnorske fylkeskommunene og Sametinget. Formålet med forumet er å bedre dialogen og forståelsen mellom nasjonalt og regionalt nivå om problemstillinger som er sæ</w:t>
      </w:r>
      <w:r>
        <w:t>r</w:t>
      </w:r>
      <w:r>
        <w:t>lig relevante for utviklingen i nord. Forumet skal bidra til å bedre samordningen mellom nordo</w:t>
      </w:r>
      <w:r>
        <w:t>m</w:t>
      </w:r>
      <w:r>
        <w:t>rådepolitikken og annen n</w:t>
      </w:r>
      <w:r>
        <w:t>a</w:t>
      </w:r>
      <w:r>
        <w:t>sjonal og regional innsats i Nord-Norge.</w:t>
      </w:r>
    </w:p>
    <w:p w:rsidR="00557A6F" w:rsidRDefault="00557A6F" w:rsidP="00557A6F">
      <w:r>
        <w:t>Stortinget har sluttet seg til at det skal etableres et sekretariat for forumet i Vadsø. Sekretariatet skal blant annet forberede og følge opp møtene i Regionalt nordområdeforum, fremstille fagnotater på oppdrag fra Regionalt nordområdeforum og utarbeide forslag til strategier for arbeidet.</w:t>
      </w:r>
    </w:p>
    <w:p w:rsidR="00557A6F" w:rsidRDefault="00557A6F" w:rsidP="00557A6F">
      <w:r>
        <w:t>For å sikre formålet til Regionalt nordområdeforum, vil departementet drøfte utforming av sekret</w:t>
      </w:r>
      <w:r>
        <w:t>a</w:t>
      </w:r>
      <w:r>
        <w:t>riatsfunksjonen med forumets medlemmer.</w:t>
      </w:r>
    </w:p>
    <w:p w:rsidR="00557A6F" w:rsidRDefault="00557A6F" w:rsidP="00557A6F">
      <w:pPr>
        <w:pStyle w:val="avsnitt-tittel"/>
      </w:pPr>
      <w:r>
        <w:t>Budsjettforslag</w:t>
      </w:r>
    </w:p>
    <w:p w:rsidR="00557A6F" w:rsidRDefault="00557A6F" w:rsidP="00557A6F">
      <w:r>
        <w:t>Det foreslås en bevilgning på 101,4 mill. kroner på posten i 2020.</w:t>
      </w:r>
    </w:p>
    <w:p w:rsidR="00557A6F" w:rsidRDefault="00557A6F" w:rsidP="00557A6F">
      <w:r>
        <w:lastRenderedPageBreak/>
        <w:t>Av dette skal 54,4 mill. kroner dekke Interreg-programmene ØKS, Sverige-Norge, Bo</w:t>
      </w:r>
      <w:r>
        <w:t>t</w:t>
      </w:r>
      <w:r>
        <w:t>nia-Atlantica, Nord og Kolarctic. Den nasjonale bevilgningen utløser minst 50 pst. medfinansi</w:t>
      </w:r>
      <w:r>
        <w:t>e</w:t>
      </w:r>
      <w:r>
        <w:t>ring. Fylkeskommunene har anledning til å bevilge egne midler til programmene utover dette, de</w:t>
      </w:r>
      <w:r>
        <w:t>r</w:t>
      </w:r>
      <w:r>
        <w:t>som de ønsker å prioritere det. Forslaget innebærer at den norske statlige finansieringsandelen av Interreg-programmene videreføres på samme nivå som i 2019.</w:t>
      </w:r>
    </w:p>
    <w:p w:rsidR="00557A6F" w:rsidRDefault="00557A6F" w:rsidP="00557A6F">
      <w:r>
        <w:t>Det settes av 45,5 mill. kroner til Arktis 2030. Inntil 5 pst. av bevilgningen kan nyttes til å forvalte or</w:t>
      </w:r>
      <w:r>
        <w:t>d</w:t>
      </w:r>
      <w:r>
        <w:t>ningen. Det foreslås 1,5 mill. kroner for å dekke sekretariat for Regionalt nordområdeforum i Vadsø, lagt til Troms og Finnmark fylkeskommune.</w:t>
      </w:r>
    </w:p>
    <w:p w:rsidR="00557A6F" w:rsidRDefault="00557A6F" w:rsidP="00557A6F">
      <w:r>
        <w:t>Departementet tildeler midlene til fylkeskommunene som tilskudd uten krav om tilbakebetaling, jf. forslag til romertallsvedtak. Det innebærer at fylkeskommunene kan disponere midlene uavhengig av bevilgningsår.</w:t>
      </w:r>
    </w:p>
    <w:p w:rsidR="00557A6F" w:rsidRDefault="00557A6F" w:rsidP="00557A6F">
      <w:pPr>
        <w:pStyle w:val="b-post"/>
      </w:pPr>
      <w:r>
        <w:t>Post 65 Omstilling</w:t>
      </w:r>
    </w:p>
    <w:p w:rsidR="00557A6F" w:rsidRDefault="00557A6F" w:rsidP="00557A6F">
      <w:pPr>
        <w:pStyle w:val="avsnitt-tittel"/>
      </w:pPr>
      <w:r>
        <w:t>Mål for ordningen</w:t>
      </w:r>
    </w:p>
    <w:p w:rsidR="00557A6F" w:rsidRDefault="00557A6F" w:rsidP="00557A6F">
      <w:r>
        <w:t>Ordningen skal styrke næringsgrunnlaget og bidra til etablering av nye arbeidsplasser i kommuner eller regioner som opplever vesentlig reduksjon i sysselsettingen.</w:t>
      </w:r>
    </w:p>
    <w:p w:rsidR="00557A6F" w:rsidRDefault="00557A6F" w:rsidP="00557A6F">
      <w:pPr>
        <w:pStyle w:val="avsnitt-tittel"/>
      </w:pPr>
      <w:r>
        <w:t>Kriterier for måloppnåelse</w:t>
      </w:r>
    </w:p>
    <w:p w:rsidR="00557A6F" w:rsidRDefault="00557A6F" w:rsidP="00557A6F">
      <w:r>
        <w:t>Det viktigste kriteriet for måloppnåelse er antall arbeidsplasser som er etablert eller sikret som fø</w:t>
      </w:r>
      <w:r>
        <w:t>l</w:t>
      </w:r>
      <w:r>
        <w:t>ge av omstillingsarbeidet. Det andre kriteriet er et styrket næringsgrunnlag, slik at kommunene og regionene framstår mer robuste og har en mer variert næringsstruktur. Det tredje kriteriet er styrket utviklingsevne i området i løpet av omstillingsperioden.</w:t>
      </w:r>
    </w:p>
    <w:p w:rsidR="00557A6F" w:rsidRDefault="00557A6F" w:rsidP="00557A6F">
      <w:pPr>
        <w:pStyle w:val="avsnitt-tittel"/>
      </w:pPr>
      <w:r>
        <w:t>Tildelingskriterier</w:t>
      </w:r>
    </w:p>
    <w:p w:rsidR="00557A6F" w:rsidRDefault="00557A6F" w:rsidP="00557A6F">
      <w:r>
        <w:t>Departementet legger fylkeskommunenes innspill om kommuner og regioner som opplever stor redu</w:t>
      </w:r>
      <w:r>
        <w:t>k</w:t>
      </w:r>
      <w:r>
        <w:t>sjon i antall sysselsatte i hjørnesteinsbedrifter/-næringer til grunn for fylkesfordelingen av rammen. Fylkeskommunene skal legge de følgende kriteriene til grunn ved tildeling til omsti</w:t>
      </w:r>
      <w:r>
        <w:t>l</w:t>
      </w:r>
      <w:r>
        <w:t>lingskommuner: a) omfanget av reduksjonen i sysselsettingen i kommunene og regionene, b) m</w:t>
      </w:r>
      <w:r>
        <w:t>u</w:t>
      </w:r>
      <w:r>
        <w:t>ligheten for pendling til andre arbeidsmarkeder, c) den generelle arbeidsledigheten i kommunene og regionene og d) eventuelle andre forhold som kan ha betydning.</w:t>
      </w:r>
    </w:p>
    <w:p w:rsidR="00557A6F" w:rsidRDefault="00557A6F" w:rsidP="00557A6F">
      <w:r>
        <w:t>Fra tid til annen oppstår det situasjoner med større endringer, som kan føre til at virkemiddelapp</w:t>
      </w:r>
      <w:r>
        <w:t>a</w:t>
      </w:r>
      <w:r>
        <w:t>ratet, Innovasjon Norge, fylkeskommunen og kommunene ikke har ressurser til å bidra i tilstrekk</w:t>
      </w:r>
      <w:r>
        <w:t>e</w:t>
      </w:r>
      <w:r>
        <w:t>lig grad. I slike situasjoner kan det være nødvendig med en ekstraordinær statlig innsats. Det vi</w:t>
      </w:r>
      <w:r>
        <w:t>k</w:t>
      </w:r>
      <w:r>
        <w:t>tigste kriteriet for statlig ekstrainnsats er omfanget av reduksjonen i sysselsettingen i komm</w:t>
      </w:r>
      <w:r>
        <w:t>u</w:t>
      </w:r>
      <w:r>
        <w:t>nen/regionen. Dette gjelder både reduksjonen i absolutte tall og den prosentvise nedgangen av den totale sysselse</w:t>
      </w:r>
      <w:r>
        <w:t>t</w:t>
      </w:r>
      <w:r>
        <w:t>tingen. Videre vil det legges vekt på reduksjonen i den indirekte sysselsettingen, mulighetene for pen</w:t>
      </w:r>
      <w:r>
        <w:t>d</w:t>
      </w:r>
      <w:r>
        <w:t>ling innenfor den aktuelle bo- og arbeidsmarkedsregionen og den generelle arbeidsledigheten i ko</w:t>
      </w:r>
      <w:r>
        <w:t>m</w:t>
      </w:r>
      <w:r>
        <w:t>munen/regionen.</w:t>
      </w:r>
    </w:p>
    <w:p w:rsidR="00557A6F" w:rsidRDefault="00557A6F" w:rsidP="00557A6F">
      <w:pPr>
        <w:pStyle w:val="avsnitt-tittel"/>
      </w:pPr>
      <w:r>
        <w:t>Oppfølging og kontroll</w:t>
      </w:r>
    </w:p>
    <w:p w:rsidR="00557A6F" w:rsidRDefault="00557A6F" w:rsidP="00557A6F">
      <w:r>
        <w:t>Det er fylkeskommunene som har ansvar for omstillingsarbeid i eget fylke. Midlene forvaltes av fylke</w:t>
      </w:r>
      <w:r>
        <w:t>s</w:t>
      </w:r>
      <w:r>
        <w:t>kommunene og Innovasjon Norge.</w:t>
      </w:r>
    </w:p>
    <w:p w:rsidR="00557A6F" w:rsidRDefault="00557A6F" w:rsidP="00557A6F">
      <w:pPr>
        <w:pStyle w:val="avsnitt-tittel"/>
      </w:pPr>
      <w:r>
        <w:t>Rapport</w:t>
      </w:r>
    </w:p>
    <w:p w:rsidR="00557A6F" w:rsidRDefault="00557A6F" w:rsidP="00557A6F">
      <w:r>
        <w:t xml:space="preserve">I saldert budsjett for 2018 ble det bevilget 112 mill. kroner til omstillingsarbeid, hvorav 10 mill. kroner i ekstraordinære statlige omstillingsmidler til Andøy kommune. Det ble gitt tilsagn om 104 mill. kroner i 2018, via fylkeskommuner, kommuner og regionråd. </w:t>
      </w:r>
    </w:p>
    <w:p w:rsidR="00557A6F" w:rsidRDefault="00557A6F" w:rsidP="00557A6F">
      <w:r>
        <w:t>For 2019 er det bevilget 79,9 mill. kroner til omstillingsarbeid, hvorav 15 mill. kroner i ekstrao</w:t>
      </w:r>
      <w:r>
        <w:t>r</w:t>
      </w:r>
      <w:r>
        <w:t xml:space="preserve">dinære statlige omstillingsmidler til Andøy kommune. </w:t>
      </w:r>
    </w:p>
    <w:p w:rsidR="00557A6F" w:rsidRDefault="00557A6F" w:rsidP="00557A6F">
      <w:r>
        <w:t>For 2018 er det hentet inn informasjon fra 26 omstillingskommuner/regioner. Hovedresultatene er 480 nye arbeidsplasser, 157 sikrede arbeidsplasser og 103 nye bedrifter. Innovasjon Norge har r</w:t>
      </w:r>
      <w:r>
        <w:t>e</w:t>
      </w:r>
      <w:r>
        <w:t xml:space="preserve">gistrert </w:t>
      </w:r>
      <w:r>
        <w:lastRenderedPageBreak/>
        <w:t>resultater fra pr</w:t>
      </w:r>
      <w:r>
        <w:t>o</w:t>
      </w:r>
      <w:r>
        <w:t>sjekter hvor omstillingsorganisasjonen har bidratt finansielt eller på annen måte. Omstillingsorganisasjonene trekker i tillegg fram følgende resultater som sentrale: Net</w:t>
      </w:r>
      <w:r>
        <w:t>t</w:t>
      </w:r>
      <w:r>
        <w:t>verksbygging mellom bedrifter, og mellom bedrifter og det offentlige, og kompetanseheving i n</w:t>
      </w:r>
      <w:r>
        <w:t>æ</w:t>
      </w:r>
      <w:r>
        <w:t>ringslivet.</w:t>
      </w:r>
    </w:p>
    <w:p w:rsidR="00557A6F" w:rsidRDefault="00557A6F" w:rsidP="00557A6F">
      <w:r>
        <w:t>Omstillingsprogrammene evalueres etter endt omstillingsperiode. I 2018 ble det gjennomført slut</w:t>
      </w:r>
      <w:r>
        <w:t>t</w:t>
      </w:r>
      <w:r>
        <w:t xml:space="preserve">evalueringer av programmene i Vestre Toten, Hurum, Elverum-regionen og Meløy. Evalueringene viser at resultatene som oftest kommer i sluttfasen av et omstillingsløp på inntil seks år. Det viser at det er viktig å ha et langsiktig perspektiv på omstillingsarbeidet. </w:t>
      </w:r>
    </w:p>
    <w:p w:rsidR="00557A6F" w:rsidRDefault="00557A6F" w:rsidP="00557A6F">
      <w:r>
        <w:t>Hovedmålet for omstillingsprogrammet i Meløy kommune var å bidra til etablering av 400 nye a</w:t>
      </w:r>
      <w:r>
        <w:t>r</w:t>
      </w:r>
      <w:r>
        <w:t>beidsplasser og 6 500 innbyggere i Meløy kommune. Det var en klar oppfatning at dette var et ambisiøst måltall, og måltallet for nye arbeidsplasser ble nedjustert underveis i programmet. Ba</w:t>
      </w:r>
      <w:r>
        <w:t>k</w:t>
      </w:r>
      <w:r>
        <w:t>grunnen for omsti</w:t>
      </w:r>
      <w:r>
        <w:t>l</w:t>
      </w:r>
      <w:r>
        <w:t>lingsprogrammet var at ca. 650 industriarbeidsplasser forsvant da REC Wafer Norway Glomfjord ble lagt ned. Dette utgjorde om lag 20 pst. av arbeidsplassene i kommunen. Omfanget av arbeidsplasser som ble borte, medførte at kommunen fikk innvilget ekstraordinære statlige omstillingsmidler.</w:t>
      </w:r>
    </w:p>
    <w:p w:rsidR="00557A6F" w:rsidRDefault="00557A6F" w:rsidP="00557A6F">
      <w:r>
        <w:t>Programmet ble gjennomført i perioden 2012–2018 med et budsjett på om lag 108 mill. kroner. Finansieringen var delt mellom departementet (50 mill. kroner), Nordland fylkeskommune (25 mill. kroner), kommunen (28 mill. kroner) og finansinntekter (5 mill. kroner).</w:t>
      </w:r>
    </w:p>
    <w:p w:rsidR="00557A6F" w:rsidRDefault="00557A6F" w:rsidP="00557A6F">
      <w:r>
        <w:t>Totalt ble det etablert ca. 310 arbeidsplasser i omstillingsperioden. Meløy har dermed ikke nådd sin opprinnelige målsetting. Evaluator mener likevel at resultatet er godt, gitt ressursinnsatsen. De mener også at det er rimelig å hevde at programmet har hatt vesentlig betydning for utviklingen i kommunen.</w:t>
      </w:r>
    </w:p>
    <w:p w:rsidR="00557A6F" w:rsidRDefault="00557A6F" w:rsidP="00557A6F">
      <w:r>
        <w:t>Om lag 190 av de nye arbeidsplassene har kommet innenfor ny industrivirksomhet, og etableringen av Norwegian Crystals utgjør ca. 150 arbeidsplasser. Om lag 80 av de nye arbeidsplassene er kny</w:t>
      </w:r>
      <w:r>
        <w:t>t</w:t>
      </w:r>
      <w:r>
        <w:t>tet til eksisterende b</w:t>
      </w:r>
      <w:r>
        <w:t>e</w:t>
      </w:r>
      <w:r>
        <w:t>drifter og om lag 40 arbeidsplasser har kommet innenfor reiseliv.</w:t>
      </w:r>
    </w:p>
    <w:p w:rsidR="00557A6F" w:rsidRDefault="00557A6F" w:rsidP="00557A6F">
      <w:r>
        <w:t>Meløy Utvikling KF er vedtatt videreført. Evaluator påpeker at en videreføring av dette selskapet er et svært godt og viktig resultat av omstillingsarbeidet, ettersom det innebærer en oppgradert utvi</w:t>
      </w:r>
      <w:r>
        <w:t>k</w:t>
      </w:r>
      <w:r>
        <w:t xml:space="preserve">lingsevne i kommunen. </w:t>
      </w:r>
    </w:p>
    <w:p w:rsidR="00557A6F" w:rsidRDefault="00557A6F" w:rsidP="00557A6F">
      <w:r>
        <w:t>Innovasjon Norge hadde 7,7 mill. kroner i gjennomføringskostnader i 2018. I tillegg disponerte Inn</w:t>
      </w:r>
      <w:r>
        <w:t>o</w:t>
      </w:r>
      <w:r>
        <w:t>vasjon Norge 7,3 mill. kroner til evalueringer, støtte til enkeltprosjekt og utvikling av verktøy og metoder.</w:t>
      </w:r>
    </w:p>
    <w:p w:rsidR="00557A6F" w:rsidRDefault="00557A6F" w:rsidP="00557A6F">
      <w:pPr>
        <w:pStyle w:val="avsnitt-tittel"/>
      </w:pPr>
      <w:r>
        <w:t>Budsjettforslag</w:t>
      </w:r>
    </w:p>
    <w:p w:rsidR="00557A6F" w:rsidRDefault="00557A6F" w:rsidP="00557A6F">
      <w:r>
        <w:t>Norsk økonomi er inne i sitt tredje år med konjunkturoppgang. Veksten er sterk, stadig flere ko</w:t>
      </w:r>
      <w:r>
        <w:t>m</w:t>
      </w:r>
      <w:r>
        <w:t xml:space="preserve">mer i jobb, og den registrerte arbeidsledigheten har ikke vært lavere på ti år, jf. Prop. 114 S (2018–2019) </w:t>
      </w:r>
      <w:r>
        <w:rPr>
          <w:rStyle w:val="kursiv"/>
          <w:sz w:val="21"/>
          <w:szCs w:val="21"/>
        </w:rPr>
        <w:t>Ti</w:t>
      </w:r>
      <w:r>
        <w:rPr>
          <w:rStyle w:val="kursiv"/>
          <w:sz w:val="21"/>
          <w:szCs w:val="21"/>
        </w:rPr>
        <w:t>l</w:t>
      </w:r>
      <w:r>
        <w:rPr>
          <w:rStyle w:val="kursiv"/>
          <w:sz w:val="21"/>
          <w:szCs w:val="21"/>
        </w:rPr>
        <w:t>leggsbevilgninger og omprioriteringer i statsbudsjettet for 2019</w:t>
      </w:r>
      <w:r>
        <w:t>. På bakgrunn av dette og innspill fra fylke</w:t>
      </w:r>
      <w:r>
        <w:t>s</w:t>
      </w:r>
      <w:r>
        <w:t>kommunene foreslås det en bevilgning på 66,0 mill. kroner i 2020.</w:t>
      </w:r>
    </w:p>
    <w:p w:rsidR="00557A6F" w:rsidRDefault="00557A6F" w:rsidP="00557A6F">
      <w:r>
        <w:t>Regjeringen har så langt bidratt med 60 mill. kroner til omstillingsarbeidet i Andøy. Det settes ikke av særskilte midler til Andøy kommune i budsjettet for 2020, men Regjeringen vil bidra med ytte</w:t>
      </w:r>
      <w:r>
        <w:t>r</w:t>
      </w:r>
      <w:r>
        <w:t>ligere 35 mill. kroner til omstilling i Andøy kommune i årene som kommer. Regjeringen legger til grunn at også Nordland fylkeskomm</w:t>
      </w:r>
      <w:r>
        <w:t>u</w:t>
      </w:r>
      <w:r>
        <w:t>ne bidrar med ressurser til omstillingsarbeidet.</w:t>
      </w:r>
    </w:p>
    <w:p w:rsidR="00557A6F" w:rsidRDefault="00557A6F" w:rsidP="00557A6F">
      <w:r>
        <w:t>Innovasjon Norge kan på oppdrag fra fylkeskommunene hjelpe omstillingsprosjekt i hele landet med råd, virkemidler, veiledning og kvalitetssikring. En andel av bevilgningen går derfor til Inn</w:t>
      </w:r>
      <w:r>
        <w:t>o</w:t>
      </w:r>
      <w:r>
        <w:t>vasjon Norge til gjennomføring av evalueringer og lignende, samt administrasjons- og gjennomf</w:t>
      </w:r>
      <w:r>
        <w:t>ø</w:t>
      </w:r>
      <w:r>
        <w:t>ringskostnader.</w:t>
      </w:r>
    </w:p>
    <w:p w:rsidR="00557A6F" w:rsidRDefault="00557A6F" w:rsidP="00557A6F">
      <w:r>
        <w:t>Departementet tildeler midlene til fylkeskommunene som tilskudd uten krav om tilbakebetaling, jf. forslag til romertallsvedtak. Det innebærer at fylkeskommunene kan disponere midlene uavhengig av bevilgningsår.</w:t>
      </w:r>
    </w:p>
    <w:p w:rsidR="00557A6F" w:rsidRDefault="00557A6F" w:rsidP="00557A6F">
      <w:pPr>
        <w:pStyle w:val="b-post"/>
      </w:pPr>
      <w:r>
        <w:t>Post 74 Klynger og innovasjon</w:t>
      </w:r>
    </w:p>
    <w:p w:rsidR="00557A6F" w:rsidRDefault="00557A6F" w:rsidP="00557A6F">
      <w:r>
        <w:t>Posten omfatter det nasjonale klyngeprogrammet Norwegian Innovation Clusters, Innovasjon</w:t>
      </w:r>
      <w:r>
        <w:t>s</w:t>
      </w:r>
      <w:r>
        <w:t>partnerskap og Bioøkonomiordningen i Innovasjon Norge, og Forskningsbasert innovasjon i reg</w:t>
      </w:r>
      <w:r>
        <w:t>i</w:t>
      </w:r>
      <w:r>
        <w:t>onene (FORREGION) i Forskningsrådet. Til og med 2019 ble Bedriftsnettverk og Inkubasjonspr</w:t>
      </w:r>
      <w:r>
        <w:t>o</w:t>
      </w:r>
      <w:r>
        <w:t>grammet finansiert på posten. Oppdragsgiveransvaret for disse ordningene er overført til fylke</w:t>
      </w:r>
      <w:r>
        <w:t>s</w:t>
      </w:r>
      <w:r>
        <w:t>kommunene fra 2020, se omtale under kap. 553, post 61. Rapportering fra 2018 for disse ordnin</w:t>
      </w:r>
      <w:r>
        <w:t>g</w:t>
      </w:r>
      <w:r>
        <w:t>ene følger under.</w:t>
      </w:r>
    </w:p>
    <w:p w:rsidR="00557A6F" w:rsidRDefault="00557A6F" w:rsidP="00557A6F">
      <w:pPr>
        <w:pStyle w:val="Undertittel"/>
      </w:pPr>
      <w:r>
        <w:lastRenderedPageBreak/>
        <w:t xml:space="preserve">Norwegian Innovation Clusters </w:t>
      </w:r>
    </w:p>
    <w:p w:rsidR="00557A6F" w:rsidRDefault="00557A6F" w:rsidP="00557A6F">
      <w:r>
        <w:t>Klyngeprogrammet er et samarbeid mellom Norges Forskningsråd, Siva og Innovasjon Norge, og driftes av Innovasjon Norge. Programmet består av tre typer klynger: Arena, Norwegian Centres of Expertise (NCE) og Global Centres of Expertise (GCE).</w:t>
      </w:r>
    </w:p>
    <w:p w:rsidR="00557A6F" w:rsidRDefault="00557A6F" w:rsidP="00557A6F">
      <w:r>
        <w:t>Norwegian Innovation Clusters skal øke innovasjonsevnen og verdiskapingen til de bedriftene som deltar i klyngesamarbeidet, forsterke klyngenes rolle som tilrettelegger for fornyelse og vekst i n</w:t>
      </w:r>
      <w:r>
        <w:t>æ</w:t>
      </w:r>
      <w:r>
        <w:t>ringslivet, og øke klyngenes bidrag til å utvikle attraktive innovasjonsøkosystemer regionalt og nasjonalt.</w:t>
      </w:r>
    </w:p>
    <w:p w:rsidR="00557A6F" w:rsidRDefault="00557A6F" w:rsidP="00557A6F">
      <w:r>
        <w:t>Kriterier for måloppnåelse i klyngeprogrammet er verdiskaping i deltakerbedriftene, innovasjon</w:t>
      </w:r>
      <w:r>
        <w:t>s</w:t>
      </w:r>
      <w:r>
        <w:t xml:space="preserve">evne, utvikling av samarbeid og ringvirkninger regionalt. </w:t>
      </w:r>
    </w:p>
    <w:p w:rsidR="00557A6F" w:rsidRDefault="00557A6F" w:rsidP="00557A6F">
      <w:r>
        <w:t>Norwegian Innovation Clusters tar opp de beste prosjektene i en nasjonal konkurranse, etter en vurdering av 1) klyngens ambisjoner og mål, 2) klyngens ressursgrunnlag, 3) potensial for økt ve</w:t>
      </w:r>
      <w:r>
        <w:t>r</w:t>
      </w:r>
      <w:r>
        <w:t>diskaping som kan utløses gjennom samarbeid, 4) en godt strukturert og realiserbar gjennomf</w:t>
      </w:r>
      <w:r>
        <w:t>ø</w:t>
      </w:r>
      <w:r>
        <w:t>ringsplan for å initiere, forsterke og akselerere samarbeidsaktiviteter, 5) klyngens rolle i utviklin</w:t>
      </w:r>
      <w:r>
        <w:t>g</w:t>
      </w:r>
      <w:r>
        <w:t>en av et innovasjonsøkosystem i regionen, og opp mot reg</w:t>
      </w:r>
      <w:r>
        <w:t>i</w:t>
      </w:r>
      <w:r>
        <w:t>onale og nasjonale satsinger.</w:t>
      </w:r>
    </w:p>
    <w:p w:rsidR="00557A6F" w:rsidRDefault="00557A6F" w:rsidP="00557A6F">
      <w:pPr>
        <w:pStyle w:val="avsnitt-tittel"/>
      </w:pPr>
      <w:r>
        <w:t>Rapport</w:t>
      </w:r>
    </w:p>
    <w:p w:rsidR="00557A6F" w:rsidRDefault="00557A6F" w:rsidP="00557A6F">
      <w:r>
        <w:t>Norwegian Innovation Clusters ga tilskudd til prosjekter for 150,5 mill. kroner fra posten, av totalt 182,8 mill. kroner i tilsagn fra departementene som finansierer ordningen. Fordeling mellom m</w:t>
      </w:r>
      <w:r>
        <w:t>o</w:t>
      </w:r>
      <w:r>
        <w:t xml:space="preserve">dulene i klyngeprogrammet var: Arena 33,5 mill. kroner, NCE 29 mill. kroner og GCE 13,8 mill. kroner. </w:t>
      </w:r>
    </w:p>
    <w:p w:rsidR="00557A6F" w:rsidRDefault="00557A6F" w:rsidP="00557A6F">
      <w:r>
        <w:t>Klyngeprogrammet ble evaluert av Samfunnsøkonomisk analyse i 2017 og Innovasjon Norge har i 2018 arbeidet med videreutvikling av klyngeprogrammet basert på evalueringens resultater og a</w:t>
      </w:r>
      <w:r>
        <w:t>n</w:t>
      </w:r>
      <w:r>
        <w:t>befalinger. Videreutviklingen tar tak i problemstillinger knyttet til utvikling av kompetansetilbud, regionalt samarbeid, internasjonalt sama</w:t>
      </w:r>
      <w:r>
        <w:t>r</w:t>
      </w:r>
      <w:r>
        <w:t>beid, digitalisering og klyngene som omstillingsmotor. Det ble i 2018 gjennomført en nasjonal utlysning hvor det ble tatt opp tre nye NCE-prosjekter og syv nye Arena-prosjekter. I tillegg ble tre Arena-prosjekter finansiert av andre, med regionale mi</w:t>
      </w:r>
      <w:r>
        <w:t>d</w:t>
      </w:r>
      <w:r>
        <w:t>ler eller bedriftenes egne midler.</w:t>
      </w:r>
    </w:p>
    <w:p w:rsidR="00557A6F" w:rsidRDefault="00557A6F" w:rsidP="00557A6F">
      <w:r>
        <w:t>Innovasjon Norge implementerte i 2018 et rapporteringssystem for bærekraftig innovasjon i klyngene. Effekti</w:t>
      </w:r>
      <w:r>
        <w:t>n</w:t>
      </w:r>
      <w:r>
        <w:t>dikatorer for klyngenes medlemsbedrifter viser at klyngene de første tre årene har en mervekst sammenlignet med kontrollgruppen på 5,6 prosentpoeng for salgsinntekter, 2 pr</w:t>
      </w:r>
      <w:r>
        <w:t>o</w:t>
      </w:r>
      <w:r>
        <w:t>sentpoeng i verdisk</w:t>
      </w:r>
      <w:r>
        <w:t>a</w:t>
      </w:r>
      <w:r>
        <w:t xml:space="preserve">ping og 5,1 prosentpoeng på antall årsverk, men minus 1,5 prosentpoeng på produktivitet. </w:t>
      </w:r>
    </w:p>
    <w:p w:rsidR="00557A6F" w:rsidRDefault="00557A6F" w:rsidP="00557A6F">
      <w:r>
        <w:t xml:space="preserve">Bedrifter i klyngene bruker i større grad SkatteFunn enn bedrifter som ikke er med i klynger. Det kan indikere at innovasjonsaktiviteten går opp. </w:t>
      </w:r>
    </w:p>
    <w:p w:rsidR="00557A6F" w:rsidRDefault="00557A6F" w:rsidP="00557A6F">
      <w:pPr>
        <w:pStyle w:val="Undertittel"/>
      </w:pPr>
      <w:r>
        <w:t>Innovasjonspartnerskap</w:t>
      </w:r>
    </w:p>
    <w:p w:rsidR="00557A6F" w:rsidRDefault="00557A6F" w:rsidP="00557A6F">
      <w:r>
        <w:t>Innovasjonspartnerskap forvaltes av Innovasjon Norge.</w:t>
      </w:r>
    </w:p>
    <w:p w:rsidR="00557A6F" w:rsidRDefault="00557A6F" w:rsidP="00557A6F">
      <w:r>
        <w:t xml:space="preserve"> Målet med innovasjonspartnerskap er økt produktivitet, reduserte kostnader og økt kvalitet i tilbud og tjenester i offentlig sektor, og nye markedsmuligheter for næringslivet som treffer langsiktige og strat</w:t>
      </w:r>
      <w:r>
        <w:t>e</w:t>
      </w:r>
      <w:r>
        <w:t>giske behov i det offentlige.</w:t>
      </w:r>
    </w:p>
    <w:p w:rsidR="00557A6F" w:rsidRDefault="00557A6F" w:rsidP="00557A6F">
      <w:r>
        <w:t>Innovasjonspartnerskap blir evaluert og kriterier for måloppnåelse er under utvikling. Aktuelle kr</w:t>
      </w:r>
      <w:r>
        <w:t>i</w:t>
      </w:r>
      <w:r>
        <w:t>terier er ny in</w:t>
      </w:r>
      <w:r>
        <w:t>n</w:t>
      </w:r>
      <w:r>
        <w:t>sikt, kompetanse og praksis hos offentlig og privat sektor, koordinering av offentlige behov, kommersialisering og spredning av innovative løsninger, og å løse utfordringer ved innov</w:t>
      </w:r>
      <w:r>
        <w:t>a</w:t>
      </w:r>
      <w:r>
        <w:t>sjonssamarbeid mellom offentlig og privat se</w:t>
      </w:r>
      <w:r>
        <w:t>k</w:t>
      </w:r>
      <w:r>
        <w:t>tor.</w:t>
      </w:r>
    </w:p>
    <w:p w:rsidR="00557A6F" w:rsidRDefault="00557A6F" w:rsidP="00557A6F">
      <w:r>
        <w:t>Innovasjonspartnerskap vurderer prosjekter i nasjonal konkurranse utfra kriteriene 1) effekt av pr</w:t>
      </w:r>
      <w:r>
        <w:t>o</w:t>
      </w:r>
      <w:r>
        <w:t xml:space="preserve">sjektene, 2) relevans for utlysningen, 3) gjennomføringsevne. </w:t>
      </w:r>
    </w:p>
    <w:p w:rsidR="00557A6F" w:rsidRDefault="00557A6F" w:rsidP="00557A6F">
      <w:pPr>
        <w:pStyle w:val="avsnitt-tittel"/>
      </w:pPr>
      <w:r>
        <w:t>Rapport</w:t>
      </w:r>
    </w:p>
    <w:p w:rsidR="00557A6F" w:rsidRDefault="00557A6F" w:rsidP="00557A6F">
      <w:r>
        <w:t>Ordningen Innovasjonspartnerskap ble initiert i 2017, og så langt har 14 offentlig-private innov</w:t>
      </w:r>
      <w:r>
        <w:t>a</w:t>
      </w:r>
      <w:r>
        <w:t>sjonssamarbeid fått risikoavlastning og prosessveiledning fra Innovasjon Norge. Utviklingspr</w:t>
      </w:r>
      <w:r>
        <w:t>o</w:t>
      </w:r>
      <w:r>
        <w:t>sjektene favner 51 offentlige prosjektdeltakere og over 400 små og store selskaper har deltatt i markedsdialogene. Blant produktene som er i test er system for å lose folk ut av brennende tunn</w:t>
      </w:r>
      <w:r>
        <w:t>e</w:t>
      </w:r>
      <w:r>
        <w:t>ler, treningsrobot for bruk i rehabilitering og smart-rullator som hjelper eldre til aktivitet.</w:t>
      </w:r>
    </w:p>
    <w:p w:rsidR="00557A6F" w:rsidRDefault="00557A6F" w:rsidP="00557A6F">
      <w:pPr>
        <w:pStyle w:val="Undertittel"/>
      </w:pPr>
      <w:r>
        <w:lastRenderedPageBreak/>
        <w:t>Bioøkonomiordningen</w:t>
      </w:r>
    </w:p>
    <w:p w:rsidR="00557A6F" w:rsidRDefault="00557A6F" w:rsidP="00557A6F">
      <w:r>
        <w:t>Bioøkonomiordningen forvaltes av Innovasjon Norge. Bioøkonomiordningen skal legge grunnlag for økt verdiskaping i biobaserte næringer gjennom en markedsorientert og bærekraftig utnytting av bioressu</w:t>
      </w:r>
      <w:r>
        <w:t>r</w:t>
      </w:r>
      <w:r>
        <w:t>sene.</w:t>
      </w:r>
    </w:p>
    <w:p w:rsidR="00557A6F" w:rsidRDefault="00557A6F" w:rsidP="00557A6F">
      <w:r>
        <w:t>Målet med Bioøkonomiordningen er å bidra til økt verdiskaping og bærekraftig omstilling av norsk næringsliv ved å utnytte det markedspotensialet som bionæringene representerer, basert på ressu</w:t>
      </w:r>
      <w:r>
        <w:t>r</w:t>
      </w:r>
      <w:r>
        <w:t>ser fra hav, jord og skog. Målgruppen er bedrifter eller grupper av bedrifter, samt unntaksvis kunnskapsmiljøer, som bygger opp om må</w:t>
      </w:r>
      <w:r>
        <w:t>l</w:t>
      </w:r>
      <w:r>
        <w:t xml:space="preserve">settingen til ordningen. </w:t>
      </w:r>
    </w:p>
    <w:p w:rsidR="00557A6F" w:rsidRDefault="00557A6F" w:rsidP="00557A6F">
      <w:r>
        <w:t>Kriterier for måloppnåelse i Bioøkonomiordningen er internasjonalt innovasjonsnivå, bevisstgj</w:t>
      </w:r>
      <w:r>
        <w:t>ø</w:t>
      </w:r>
      <w:r>
        <w:t>ring om nye markedsmessige og teknologiske muligheter, utløsning av privat kapital, nye produ</w:t>
      </w:r>
      <w:r>
        <w:t>k</w:t>
      </w:r>
      <w:r>
        <w:t>sjonsprosesser med u</w:t>
      </w:r>
      <w:r>
        <w:t>t</w:t>
      </w:r>
      <w:r>
        <w:t xml:space="preserve">gangspunkt i fornybare bioråvarer og økt verdiskaping. </w:t>
      </w:r>
    </w:p>
    <w:p w:rsidR="00557A6F" w:rsidRDefault="00557A6F" w:rsidP="00557A6F">
      <w:r>
        <w:t>Departementets bevilgning til Bioøkonomiordningen skal bare benyttes i virkeområdet for di</w:t>
      </w:r>
      <w:r>
        <w:t>s</w:t>
      </w:r>
      <w:r>
        <w:t>triktsrettet invest</w:t>
      </w:r>
      <w:r>
        <w:t>e</w:t>
      </w:r>
      <w:r>
        <w:t>ringsstøtte, og være i samsvar med regionale utviklingsstrategier. Det kan gis tilskudd til små, mellomstore og store bedrifter, eller grupper av slike bedrifter, som utvikler og tar i bruk løsninger for produksjon, foredling og distribusjon av bioressurser. Ordningen dekker utvi</w:t>
      </w:r>
      <w:r>
        <w:t>k</w:t>
      </w:r>
      <w:r>
        <w:t>lingsstøtte både i og på tvers av eksisterende verdikjeder.</w:t>
      </w:r>
    </w:p>
    <w:p w:rsidR="00557A6F" w:rsidRDefault="00557A6F" w:rsidP="00557A6F">
      <w:pPr>
        <w:pStyle w:val="avsnitt-tittel"/>
      </w:pPr>
      <w:r>
        <w:t>Rapport</w:t>
      </w:r>
    </w:p>
    <w:p w:rsidR="00557A6F" w:rsidRDefault="00557A6F" w:rsidP="00557A6F">
      <w:r>
        <w:t>Bioøkonomiordningen hadde en ramme på totalt 77 mill. kroner fra Nærings- og fiskeridepart</w:t>
      </w:r>
      <w:r>
        <w:t>e</w:t>
      </w:r>
      <w:r>
        <w:t>mentet, Landbruks- og matdepartementet og Kommunal- og moderniseringsdepartementet. Det ble i 2018 gitt tilsagn for 18,1 mill. kroner til 16 bioraffineringsprosjekter fra kap. 550 post 70 B</w:t>
      </w:r>
      <w:r>
        <w:t>e</w:t>
      </w:r>
      <w:r>
        <w:t>driftsrettede progra</w:t>
      </w:r>
      <w:r>
        <w:t>m</w:t>
      </w:r>
      <w:r>
        <w:t xml:space="preserve">mer i distriktene. </w:t>
      </w:r>
    </w:p>
    <w:p w:rsidR="00557A6F" w:rsidRDefault="00557A6F" w:rsidP="00557A6F">
      <w:r>
        <w:t>I en undersøkelse svarte 80 pst. av bedriftene at de ikke kunne ha gjennomført utviklingsprosjektet uten støtten fra Innovasjon Norge. Prosjektene har et høyt innovasjonsnivå. 55 pst. av prosjektene har et internasjonalt inn</w:t>
      </w:r>
      <w:r>
        <w:t>o</w:t>
      </w:r>
      <w:r>
        <w:t>vasjonsnivå og 19 pst. et nasjonalt innovasjonsnivå.</w:t>
      </w:r>
    </w:p>
    <w:p w:rsidR="00557A6F" w:rsidRDefault="00557A6F" w:rsidP="00557A6F">
      <w:r>
        <w:t>Innovasjon Norge rapporterer at det er høy etterspørsel etter virkemidler innenfor bioøkonomi. Mange av bedriftene ligger i distriktskommuner, og alle tilskuddene fra departementets ramme gis innenfor virkeområdet for distriktsrettet investeringsstøtte. Bioøkonomiordningen jobber med m</w:t>
      </w:r>
      <w:r>
        <w:t>o</w:t>
      </w:r>
      <w:r>
        <w:t>bilisering på fem strategiske områder: merkevarebygging – sunn mat fra hav og land, bioraffinering – industrialisering basert på nye råvarer og sid</w:t>
      </w:r>
      <w:r>
        <w:t>e</w:t>
      </w:r>
      <w:r>
        <w:t>strømmer, bygg i tre – kompetanse og marked, bruk av tre – industrialisering og biosmart – digitalisering og a</w:t>
      </w:r>
      <w:r>
        <w:t>u</w:t>
      </w:r>
      <w:r>
        <w:t>tomatisering i biosektorene.</w:t>
      </w:r>
    </w:p>
    <w:p w:rsidR="00557A6F" w:rsidRDefault="00557A6F" w:rsidP="00557A6F">
      <w:pPr>
        <w:pStyle w:val="Undertittel"/>
      </w:pPr>
      <w:r>
        <w:t>FORREGION</w:t>
      </w:r>
    </w:p>
    <w:p w:rsidR="00557A6F" w:rsidRDefault="00557A6F" w:rsidP="00557A6F">
      <w:r>
        <w:t xml:space="preserve">Målet er å styrke regionenes næringsmiljøer og omstillingsevne. Kriterier for måloppnåelse er økt antall bedrifter som samarbeider med forskningsmiljøer, styrket regional forskningskapasitet for næringslivets behov og at regional og nasjonal innsats for forskningsbasert innovasjon forsterker og utfyller hverandre. </w:t>
      </w:r>
    </w:p>
    <w:p w:rsidR="00557A6F" w:rsidRDefault="00557A6F" w:rsidP="00557A6F">
      <w:pPr>
        <w:pStyle w:val="avsnitt-tittel"/>
      </w:pPr>
      <w:r>
        <w:t>Tildelingskriterier</w:t>
      </w:r>
    </w:p>
    <w:p w:rsidR="00557A6F" w:rsidRDefault="00557A6F" w:rsidP="00557A6F">
      <w:r>
        <w:t>Følgende tildelingskriterier gjelder for ordningen:</w:t>
      </w:r>
    </w:p>
    <w:p w:rsidR="00557A6F" w:rsidRDefault="00557A6F" w:rsidP="00557A6F">
      <w:pPr>
        <w:pStyle w:val="Liste"/>
      </w:pPr>
      <w:r>
        <w:t>Breddevirkemidler for mobilisering til forskningsbasert innovasjon: Målgruppen for mob</w:t>
      </w:r>
      <w:r>
        <w:t>i</w:t>
      </w:r>
      <w:r>
        <w:t>liseringspr</w:t>
      </w:r>
      <w:r>
        <w:t>o</w:t>
      </w:r>
      <w:r>
        <w:t>sjekter er bedrifter som innoverer basert på erfaring og som kan oppgradere sitt innovasjonsarbeid gjennom bruk av forskning. Forskningsrådet tildeler midler til mobilis</w:t>
      </w:r>
      <w:r>
        <w:t>e</w:t>
      </w:r>
      <w:r>
        <w:t>ringsprosjekter etter dialog med, og anbefaling fra, fylkeskommunene. Kriteriene er: Str</w:t>
      </w:r>
      <w:r>
        <w:t>a</w:t>
      </w:r>
      <w:r>
        <w:t>tegisk innretning, forventede effekter, kvalitet og effektivitet i gjennomføring, kjønn, i</w:t>
      </w:r>
      <w:r>
        <w:t>n</w:t>
      </w:r>
      <w:r>
        <w:t xml:space="preserve">ternasjonalisering, kommunikasjon og bærekraft. </w:t>
      </w:r>
    </w:p>
    <w:p w:rsidR="00557A6F" w:rsidRDefault="00557A6F" w:rsidP="00557A6F">
      <w:pPr>
        <w:pStyle w:val="Liste"/>
      </w:pPr>
      <w:r>
        <w:t>Kapasitetsløft for å styrke samarbeidet mellom forsknings- og utdanningsmiljøene og n</w:t>
      </w:r>
      <w:r>
        <w:t>æ</w:t>
      </w:r>
      <w:r>
        <w:t>ringslivet, og gi næringslivet tilgang til relevant utdanning og forskning i sin region: H</w:t>
      </w:r>
      <w:r>
        <w:t>o</w:t>
      </w:r>
      <w:r>
        <w:t>vedmålgruppen for kapasitetsløftprosjekter er FoU-institusjoner. Forskningsrådet tildeler midler i nasjonal konkurranse etter kriteriene: Strategisk forankring, næringsmessig rel</w:t>
      </w:r>
      <w:r>
        <w:t>e</w:t>
      </w:r>
      <w:r>
        <w:t>vans, nasjonal kompetansebygging, gjennomføringsevne, utløsende effekt for gjennomf</w:t>
      </w:r>
      <w:r>
        <w:t>ø</w:t>
      </w:r>
      <w:r>
        <w:t>ring og finansiering fra andre kilder, internasjonalt samarbeid og koblinger, og samlet vu</w:t>
      </w:r>
      <w:r>
        <w:t>r</w:t>
      </w:r>
      <w:r>
        <w:t xml:space="preserve">dering fra panelet. I tillegg vurderes sjekkpunktene etikk, rekruttering av kvinner og kjønnsbalanse i prosjektene. </w:t>
      </w:r>
    </w:p>
    <w:p w:rsidR="00557A6F" w:rsidRDefault="00557A6F" w:rsidP="00557A6F">
      <w:pPr>
        <w:pStyle w:val="Liste"/>
      </w:pPr>
      <w:r>
        <w:lastRenderedPageBreak/>
        <w:t>Kunnskap og dialog om regionalt arbeid med forskningsbasert innovasjon: Programmet skal fremme kunnskapsutvikling og erfaringsutveksling for regional næringsutvikling, o</w:t>
      </w:r>
      <w:r>
        <w:t>m</w:t>
      </w:r>
      <w:r>
        <w:t xml:space="preserve">stilling og innovasjon. </w:t>
      </w:r>
    </w:p>
    <w:p w:rsidR="00557A6F" w:rsidRDefault="00557A6F" w:rsidP="00557A6F">
      <w:r>
        <w:t xml:space="preserve">Innenfor rammen av FORREGION vil det bli prioritert midler til å mobilisere bedrifter til økt bruk av FoU i Nord-Norge, som oppfølging av nordområdestrategien. </w:t>
      </w:r>
    </w:p>
    <w:p w:rsidR="00557A6F" w:rsidRDefault="00557A6F" w:rsidP="00557A6F">
      <w:pPr>
        <w:pStyle w:val="avsnitt-tittel"/>
      </w:pPr>
      <w:r>
        <w:t>Rapport</w:t>
      </w:r>
    </w:p>
    <w:p w:rsidR="00557A6F" w:rsidRDefault="00557A6F" w:rsidP="00557A6F">
      <w:r>
        <w:t>Det ble bevilget 80 mill. kroner til FORREGION fra posten i 2018. De 15 mobiliseringsprosjektene har samlet sett gitt gode resultater og mobiliserer næringsliv til å ta i bruk FoU i hele landet. Over 1000 bedrifter har mottatt kompetansemegling i 2018. Det ble i 2018 satt i gang sju kapasitetsløft. Aktivitet</w:t>
      </w:r>
      <w:r>
        <w:t>e</w:t>
      </w:r>
      <w:r>
        <w:t xml:space="preserve">ne i kapasitetsløftene er bygging av forskningskapasitet, utvikling av studietilbud som næringslivet etterspør og økt næringsrettet samarbeid mellom forskning og næringsliv. </w:t>
      </w:r>
    </w:p>
    <w:p w:rsidR="00557A6F" w:rsidRDefault="00557A6F" w:rsidP="00557A6F">
      <w:pPr>
        <w:pStyle w:val="Undertittel"/>
      </w:pPr>
      <w:r>
        <w:t>Inkubasjonsprogrammet</w:t>
      </w:r>
    </w:p>
    <w:p w:rsidR="00557A6F" w:rsidRDefault="00557A6F" w:rsidP="00557A6F">
      <w:r>
        <w:t>Oppdragsgiveransvaret for Inkubasjonsprogrammet er overført til fylkeskommunene, se omtale under kap. 553, post 61 Mobiliserende og kvalifiserende næringsutvikling. Departementet og N</w:t>
      </w:r>
      <w:r>
        <w:t>æ</w:t>
      </w:r>
      <w:r>
        <w:t>rings- og fiskeridepartementet innfører en grunnfinansiering av Siva fra 2020, se Nærings- og fi</w:t>
      </w:r>
      <w:r>
        <w:t>s</w:t>
      </w:r>
      <w:r>
        <w:t>keridepartementets budsjett og omtale under kap. 550, post 70 Bedriftsrettede programmer i dis</w:t>
      </w:r>
      <w:r>
        <w:t>t</w:t>
      </w:r>
      <w:r>
        <w:t>riktene. Departementet overfører derfor 7,5 mill. kroner fra denne posten til Nærings- og fiskerid</w:t>
      </w:r>
      <w:r>
        <w:t>e</w:t>
      </w:r>
      <w:r>
        <w:t>partementets kap. 2426 Siva SF, post 70 Tilskudd.</w:t>
      </w:r>
    </w:p>
    <w:p w:rsidR="00557A6F" w:rsidRDefault="00557A6F" w:rsidP="00557A6F">
      <w:pPr>
        <w:pStyle w:val="avsnitt-tittel"/>
      </w:pPr>
      <w:r>
        <w:t>Rapport</w:t>
      </w:r>
    </w:p>
    <w:p w:rsidR="00557A6F" w:rsidRDefault="00557A6F" w:rsidP="00557A6F">
      <w:r>
        <w:t xml:space="preserve">Det ble bevilget 55,2 mill. kroner til Inkubasjonsprogrammet fra posten i 2018. Siva ga tilsagn om 43,9 mill. kroner. I tillegg ble det gitt om lag 46,6 mill. kroner i tilsagn fra andre departementers rammer, herunder Nærings- og fiskeridepartementet og Landbruks- og matdepartementet. </w:t>
      </w:r>
    </w:p>
    <w:p w:rsidR="00557A6F" w:rsidRDefault="00557A6F" w:rsidP="00557A6F">
      <w:r>
        <w:t>Det har vært en økning i antallet bedrifter som benytter seg av programmet, fra 827 bedrifter i 2013 til 2 081 bedri</w:t>
      </w:r>
      <w:r>
        <w:t>f</w:t>
      </w:r>
      <w:r>
        <w:t xml:space="preserve">ter i 2018. Fra 2017 til 2018 var det en økning på 102 bedrifter – en økning på 5 pst. </w:t>
      </w:r>
    </w:p>
    <w:p w:rsidR="00557A6F" w:rsidRDefault="00557A6F" w:rsidP="00557A6F">
      <w:r>
        <w:t>Sivas årsrapport viser at over halvparten av bedriftene i programmet har hatt en økning i omsetning og verdisk</w:t>
      </w:r>
      <w:r>
        <w:t>a</w:t>
      </w:r>
      <w:r>
        <w:t>ping fra 2016 til 2017. Samlet for perioden 2012–2017 har inkubatorbedriftene oppnådd en akkumulert verdisk</w:t>
      </w:r>
      <w:r>
        <w:t>a</w:t>
      </w:r>
      <w:r>
        <w:t>ping og omsetning på henholdsvis 4,7 mrd. kroner og 26,4 mrd. kroner. Kundetilfredshetsundersøkelsen viser at inkubasjonsprogrammet har en positiv effekt på målb</w:t>
      </w:r>
      <w:r>
        <w:t>e</w:t>
      </w:r>
      <w:r>
        <w:t>driftenes utvikling.</w:t>
      </w:r>
    </w:p>
    <w:p w:rsidR="00557A6F" w:rsidRDefault="00557A6F" w:rsidP="00557A6F">
      <w:r>
        <w:t>En evaluering av Sivas virkemidler</w:t>
      </w:r>
      <w:r>
        <w:rPr>
          <w:vertAlign w:val="superscript"/>
        </w:rPr>
        <w:footnoteReference w:id="11"/>
      </w:r>
      <w:r>
        <w:t xml:space="preserve"> viser en betydelig mervekst og høyere verdiskaping for for</w:t>
      </w:r>
      <w:r>
        <w:t>e</w:t>
      </w:r>
      <w:r>
        <w:t>takene etter at de kommer inn i et inkubasjonsprogram, og at effektene virker relativt permanente. Mid</w:t>
      </w:r>
      <w:r>
        <w:t>t</w:t>
      </w:r>
      <w:r>
        <w:t>veisevalueringen</w:t>
      </w:r>
      <w:r>
        <w:rPr>
          <w:vertAlign w:val="superscript"/>
        </w:rPr>
        <w:footnoteReference w:id="12"/>
      </w:r>
      <w:r>
        <w:t xml:space="preserve"> av programmet viser at verdiskapingen i bedrifter knyttet til inkubatorer er høyere enn for sammenlignbare bedrifter etter tre år. Programmet bidrar, gjennom de lokale oper</w:t>
      </w:r>
      <w:r>
        <w:t>a</w:t>
      </w:r>
      <w:r>
        <w:t>tørene, til å bygge lokal kapasitet for tilrettelegging av entreprenørskap og bedriftsutvikling.</w:t>
      </w:r>
    </w:p>
    <w:p w:rsidR="00557A6F" w:rsidRDefault="00557A6F" w:rsidP="00557A6F">
      <w:pPr>
        <w:pStyle w:val="Undertittel"/>
      </w:pPr>
      <w:r>
        <w:t>Bedriftsnettverk</w:t>
      </w:r>
    </w:p>
    <w:p w:rsidR="00557A6F" w:rsidRDefault="00557A6F" w:rsidP="00557A6F">
      <w:r>
        <w:t>Oppdragsgiveransvaret for Bedriftsnettverk overføres til fylkeskommunene, se omtale under kap. 553, post 61. Rapportering fra 2018 ordningen følger under.</w:t>
      </w:r>
    </w:p>
    <w:p w:rsidR="00557A6F" w:rsidRDefault="00557A6F" w:rsidP="00557A6F">
      <w:pPr>
        <w:pStyle w:val="avsnitt-tittel"/>
      </w:pPr>
      <w:r>
        <w:t>Rapport</w:t>
      </w:r>
    </w:p>
    <w:p w:rsidR="00557A6F" w:rsidRDefault="00557A6F" w:rsidP="00557A6F">
      <w:r>
        <w:t>Bedriftsnettverks forbruk i 2018 var på 17,5 mill. kroner fra posten, av totalt 31,9 mill. kroner i tilsagn fra departementene som finansierer ordningen. Innovasjon Norge har i 2018 støttet 20 nye bedriftsnettverk, og samlet sett var det 58 bedriftsnettverk i programmet. Bedriftsnettverk rappo</w:t>
      </w:r>
      <w:r>
        <w:t>r</w:t>
      </w:r>
      <w:r>
        <w:t xml:space="preserve">terer mer </w:t>
      </w:r>
      <w:r>
        <w:lastRenderedPageBreak/>
        <w:t>strategisk samarbeid med nye partnere både innenfor prosjektet, i regionen, i landet og i utlandet i 2018 enn tidligere år. De rapporterer mer strategisk prosjektsamarbeid nasjonalt og i</w:t>
      </w:r>
      <w:r>
        <w:t>n</w:t>
      </w:r>
      <w:r>
        <w:t>ternasjonalt og mer kommersielt samarbeid med nye partnere internasjonalt. Bedriftene i ordningen svarer også at sama</w:t>
      </w:r>
      <w:r>
        <w:t>r</w:t>
      </w:r>
      <w:r>
        <w:t>beidet bidrar til økt innovasjon.</w:t>
      </w:r>
    </w:p>
    <w:p w:rsidR="00557A6F" w:rsidRDefault="00557A6F" w:rsidP="00557A6F">
      <w:r>
        <w:t>I oppfølging av nordområdestrategien er det i perioden 2017–2019, innenfor rammen til Bedrift</w:t>
      </w:r>
      <w:r>
        <w:t>s</w:t>
      </w:r>
      <w:r>
        <w:t>nettverk, satt av midler til prosjekter til utvikling av leverandørmiljøer i Nord-Norge. De avsatte midlene er en del av leverandø</w:t>
      </w:r>
      <w:r>
        <w:t>r</w:t>
      </w:r>
      <w:r>
        <w:t>utviklingssatsingen «N2 – Fremtidens leverandører innen sjømat, reiseliv og opplevelsesnæringen i Nord-Norge». Ansvar og oppfølging av satsingen er lagt til Nordland, Troms og Finnmark fylkeskommuner og Sametinget. Våren 2019 ble de ansvarlige en</w:t>
      </w:r>
      <w:r>
        <w:t>i</w:t>
      </w:r>
      <w:r>
        <w:t>ge om plan, mål og innretning av satsingen. Derfor er midlene i</w:t>
      </w:r>
      <w:r>
        <w:t>n</w:t>
      </w:r>
      <w:r>
        <w:t>nenfor rammen til Bedriftsnettverk ikke blitt bevilget til prosjekter før i år.</w:t>
      </w:r>
    </w:p>
    <w:p w:rsidR="00557A6F" w:rsidRDefault="00557A6F" w:rsidP="00557A6F">
      <w:pPr>
        <w:pStyle w:val="avsnitt-tittel"/>
      </w:pPr>
      <w:r>
        <w:t>Budsjettforslag</w:t>
      </w:r>
    </w:p>
    <w:p w:rsidR="00557A6F" w:rsidRDefault="00557A6F" w:rsidP="00557A6F">
      <w:r>
        <w:t xml:space="preserve">Det foreslås en bevilgning på 216,0 mill. kroner i 2020. </w:t>
      </w:r>
    </w:p>
    <w:p w:rsidR="00557A6F" w:rsidRDefault="00557A6F" w:rsidP="00557A6F">
      <w:r>
        <w:t>Midlene fordeles med totalt 136,2 mill. kroner til Norwegian Innovation Clusters, Bioøkonomior</w:t>
      </w:r>
      <w:r>
        <w:t>d</w:t>
      </w:r>
      <w:r>
        <w:t>ningen og Innovasjonspartnerskap i Innovasjon Norge. Innovasjon Norge fordeler midlene mellom programmene. Det settes av 79,8 mill. kroner til FORREGION i Forskningsrådet. Norwegian I</w:t>
      </w:r>
      <w:r>
        <w:t>n</w:t>
      </w:r>
      <w:r>
        <w:t>novation Clusters og Bioøkonomiordnin</w:t>
      </w:r>
      <w:r>
        <w:t>g</w:t>
      </w:r>
      <w:r>
        <w:t>en skal innrettes i tråd med betingelsene i det alminnelige gruppeunnt</w:t>
      </w:r>
      <w:r>
        <w:t>a</w:t>
      </w:r>
      <w:r>
        <w:t>ket (GBER) for støtte som er forenlig med EØS-avtalen, jf. GBER artikkel 1-9, samt:</w:t>
      </w:r>
    </w:p>
    <w:p w:rsidR="00557A6F" w:rsidRDefault="00557A6F" w:rsidP="00557A6F">
      <w:pPr>
        <w:pStyle w:val="Liste"/>
      </w:pPr>
      <w:r>
        <w:t>artikkel 17–20, 25–30, 31 og 36–49 for klynger og bedriftsnettverk</w:t>
      </w:r>
    </w:p>
    <w:p w:rsidR="00557A6F" w:rsidRDefault="00557A6F" w:rsidP="00557A6F">
      <w:pPr>
        <w:pStyle w:val="Liste"/>
      </w:pPr>
      <w:r>
        <w:t xml:space="preserve">artikkel 14, 21–22, 25–30, 31 og 36–49 for bioraffineringsprogrammet. </w:t>
      </w:r>
    </w:p>
    <w:p w:rsidR="00557A6F" w:rsidRDefault="00557A6F" w:rsidP="00557A6F">
      <w:r>
        <w:t>Nærings- og fiskeridepartementet bidrar også med finansiering av Norwegian Innovation Clusters, Bi</w:t>
      </w:r>
      <w:r>
        <w:t>o</w:t>
      </w:r>
      <w:r>
        <w:t>økonomiordningen og Innovasjonspartnerskap. Landbruks- og matdepartementet bidrar med finansiering av Bioøkonomiordningen og FORREGION. Kunnskapsdepartementet og Samfer</w:t>
      </w:r>
      <w:r>
        <w:t>d</w:t>
      </w:r>
      <w:r>
        <w:t>selsdepartementet bidrar med finansiering av henholdsvis FORREGION og Innovasjonspartne</w:t>
      </w:r>
      <w:r>
        <w:t>r</w:t>
      </w:r>
      <w:r>
        <w:t>skap. I tillegg er prosjekter innenfor FORREGION i de fleste tilfellene medfinansiert av fylke</w:t>
      </w:r>
      <w:r>
        <w:t>s</w:t>
      </w:r>
      <w:r>
        <w:t xml:space="preserve">kommunene. </w:t>
      </w:r>
    </w:p>
    <w:p w:rsidR="00557A6F" w:rsidRDefault="00557A6F" w:rsidP="00557A6F">
      <w:r>
        <w:t>Norwegian Innovation Clusters er under revidering som følge av en evaluering gjennomført i 2017. Evalueringen inneholder faglig sterke vurderinger og gir gode innspill til hvordan et velfungerende klyngeprogram bør innre</w:t>
      </w:r>
      <w:r>
        <w:t>t</w:t>
      </w:r>
      <w:r>
        <w:t>tes. Revidert klyngeprogram vil ha tilbud til tidligfase klynger/nettverk, klynger og modne klynger. Revideringen ses i sammenheng med den pågående virkemiddelgje</w:t>
      </w:r>
      <w:r>
        <w:t>n</w:t>
      </w:r>
      <w:r>
        <w:t>nomgangen, og berørte næringsmiljøer er involvert.</w:t>
      </w:r>
    </w:p>
    <w:p w:rsidR="00557A6F" w:rsidRDefault="00557A6F" w:rsidP="00557A6F">
      <w:r>
        <w:t>Innenfor rammen av FORREGION skal det prioriteres 4,1 mill. kroner til mobilisering av bedrifter til økt brukt av FoU innenfor FORREGION 2018–2020. Midlene skal brukes i Nord-Norge, som en oppfølging av nordo</w:t>
      </w:r>
      <w:r>
        <w:t>m</w:t>
      </w:r>
      <w:r>
        <w:t xml:space="preserve">rådestrategien. </w:t>
      </w:r>
    </w:p>
    <w:p w:rsidR="00557A6F" w:rsidRDefault="00557A6F" w:rsidP="00557A6F">
      <w:r>
        <w:t>Departementet tildeler midlene til Innovasjon Norge og Forskningsrådet som tilskudd uten krav om tilbakebet</w:t>
      </w:r>
      <w:r>
        <w:t>a</w:t>
      </w:r>
      <w:r>
        <w:t>ling, jf. forslag til romertallsvedtak. Det innebærer at de kan disponere midler uavhengig av bevilgningsår.</w:t>
      </w:r>
    </w:p>
    <w:p w:rsidR="00557A6F" w:rsidRDefault="00557A6F" w:rsidP="00557A6F">
      <w:pPr>
        <w:pStyle w:val="b-post"/>
      </w:pPr>
      <w:r>
        <w:t>Post 76 Nordisk og europeisk samarbeid, kan overføres</w:t>
      </w:r>
    </w:p>
    <w:p w:rsidR="00557A6F" w:rsidRDefault="00557A6F" w:rsidP="00557A6F">
      <w:r>
        <w:t xml:space="preserve">Posten omfatter Norges deltagelse i Interreg-program som dekker større europeiske regioner og annet internasjonalt samarbeid. Se informasjon om hvilke Interreg-program Norge deltar i under Rapport. </w:t>
      </w:r>
    </w:p>
    <w:p w:rsidR="00557A6F" w:rsidRDefault="00557A6F" w:rsidP="00557A6F">
      <w:pPr>
        <w:pStyle w:val="Undertittel"/>
      </w:pPr>
      <w:r>
        <w:t xml:space="preserve">Transnasjonale og internasjonale </w:t>
      </w:r>
      <w:r>
        <w:br/>
        <w:t>Interreg-programmer</w:t>
      </w:r>
    </w:p>
    <w:p w:rsidR="00557A6F" w:rsidRDefault="00557A6F" w:rsidP="00557A6F">
      <w:r>
        <w:t>Målet med Interreg er smart, bærekraftig og inkluderende vekst og sosial integrasjon gjennom samarbeid over landegrensene. Kriteriene for måloppnåelse er unike for hvert program. Bevil</w:t>
      </w:r>
      <w:r>
        <w:t>g</w:t>
      </w:r>
      <w:r>
        <w:t>ningen på posten u</w:t>
      </w:r>
      <w:r>
        <w:t>t</w:t>
      </w:r>
      <w:r>
        <w:t>gjør den statlige finansieringsandelen i programmene og er godkjent gjennom programdokumentene av deltakerlandene og Europakommisjonen. Tildelingskriteriene for pr</w:t>
      </w:r>
      <w:r>
        <w:t>o</w:t>
      </w:r>
      <w:r>
        <w:t>sjekter er definert for hvert program. Se nærmere omtale av mål for ordningen, kriterier for må</w:t>
      </w:r>
      <w:r>
        <w:t>l</w:t>
      </w:r>
      <w:r>
        <w:t>oppnåelse og tildelingskriterier under kap. 553, post 63 Interreg og Arktis 2030.</w:t>
      </w:r>
    </w:p>
    <w:p w:rsidR="00557A6F" w:rsidRDefault="00557A6F" w:rsidP="00557A6F">
      <w:pPr>
        <w:pStyle w:val="avsnitt-tittel"/>
      </w:pPr>
      <w:r>
        <w:lastRenderedPageBreak/>
        <w:t>Oppfølging og kontroll</w:t>
      </w:r>
    </w:p>
    <w:p w:rsidR="00557A6F" w:rsidRDefault="00557A6F" w:rsidP="00557A6F">
      <w:r>
        <w:t>Forvaltningen av Interreg er lagt til ulike myndighetsorganer i landene innenfor programområdene. Midlene til Interreg disponeres av nasjonale og regionale representanter fra programlandene. D</w:t>
      </w:r>
      <w:r>
        <w:t>e</w:t>
      </w:r>
      <w:r>
        <w:t>partementet kontrollerer at midlene er brukt i henhold til forutsetningene gjennom programmenes ove</w:t>
      </w:r>
      <w:r>
        <w:t>r</w:t>
      </w:r>
      <w:r>
        <w:t>våkningskomiteer. Rapportering og evaluering brukes til å utvikle og justere innsatsen.</w:t>
      </w:r>
    </w:p>
    <w:p w:rsidR="00557A6F" w:rsidRDefault="00557A6F" w:rsidP="00557A6F">
      <w:pPr>
        <w:pStyle w:val="avsnitt-tittel"/>
      </w:pPr>
      <w:r>
        <w:t>Rapport</w:t>
      </w:r>
    </w:p>
    <w:p w:rsidR="00557A6F" w:rsidRDefault="00557A6F" w:rsidP="00557A6F">
      <w:pPr>
        <w:pStyle w:val="avsnitt-under-undertittel"/>
      </w:pPr>
      <w:r>
        <w:t>Internasjonalt samarbeid</w:t>
      </w:r>
    </w:p>
    <w:p w:rsidR="00557A6F" w:rsidRDefault="00557A6F" w:rsidP="00557A6F">
      <w:r>
        <w:t>Bidraget i 2018 fra posten var i underkant av 23 mill. kroner til de transnasjonale programmene og om lag 5 mill. kroner til de all-europeiske programmene. Det ble samlet gitt tilsagn på 270 000 kroner til de nasjonale kontaktpunktene for Interreg Nordlig Periferi og Arktis, og ESPON, til henholdsvis Nor</w:t>
      </w:r>
      <w:r>
        <w:t>d</w:t>
      </w:r>
      <w:r>
        <w:t>land og Hedmark fylkeskommuner. Det ble gitt tilsagn for om lag 940 000 kroner til OECDs program Local Economic and Employment Development (LEED), og Nordisk Atlan</w:t>
      </w:r>
      <w:r>
        <w:t>t</w:t>
      </w:r>
      <w:r>
        <w:t xml:space="preserve">samarbejde (NORA), en organisasjon under Nordisk Ministerråds regionalpolitiske samarbeid. </w:t>
      </w:r>
    </w:p>
    <w:p w:rsidR="00557A6F" w:rsidRDefault="00557A6F" w:rsidP="00557A6F">
      <w:r>
        <w:t>De transnasjonale Interreg-programmene jobber med utfordringer hvor flere land må samarbeide for felles løsninger, som miljø- og klima, bærekraftig transport og internasjonale verktøy for inn</w:t>
      </w:r>
      <w:r>
        <w:t>o</w:t>
      </w:r>
      <w:r>
        <w:t>vasjon, forskning og utvi</w:t>
      </w:r>
      <w:r>
        <w:t>k</w:t>
      </w:r>
      <w:r>
        <w:t>ling i større europeiske regioner, som for eksempel rundt havbassenger. De all-europeiske programmene har vekt på politikkutvikling, analyse og erfaringsoverføring, og dekker hele Europa. Det ble gitt tilsagn om 30,9 mill. kroner i 2019 til transnasjonale og all-europeiske Inte</w:t>
      </w:r>
      <w:r>
        <w:t>r</w:t>
      </w:r>
      <w:r>
        <w:t xml:space="preserve">reg-programmer. </w:t>
      </w:r>
    </w:p>
    <w:p w:rsidR="00557A6F" w:rsidRDefault="00557A6F" w:rsidP="00557A6F">
      <w:pPr>
        <w:pStyle w:val="avsnitt-under-undertittel"/>
      </w:pPr>
      <w:r>
        <w:t>Nordlig Periferi og Arktis – Norge, Sverige, Finland, Island, Grønland, Færøyene, Irland, Skot</w:t>
      </w:r>
      <w:r>
        <w:t>t</w:t>
      </w:r>
      <w:r>
        <w:t>land og Nord-Irland</w:t>
      </w:r>
    </w:p>
    <w:p w:rsidR="00557A6F" w:rsidRDefault="00557A6F" w:rsidP="00557A6F">
      <w:r>
        <w:t>Målet er levende, konkurransedyktige og bærekraftige lokalsamfunn. Programmet omfatter arktiske og kystnære regioner i deltakerlandene. Regioner i Russland og Canada kan delta i prosjekter. In</w:t>
      </w:r>
      <w:r>
        <w:t>n</w:t>
      </w:r>
      <w:r>
        <w:t>satsen skal fremme nødvendig samarbeid knyttet til lav befolkningstetthet, lange avstander, b</w:t>
      </w:r>
      <w:r>
        <w:t>e</w:t>
      </w:r>
      <w:r>
        <w:t>grenset økonomisk mangfold og store naturressurser.</w:t>
      </w:r>
    </w:p>
    <w:p w:rsidR="00557A6F" w:rsidRDefault="00557A6F" w:rsidP="00557A6F">
      <w:r>
        <w:t>En evaluering (European Policies Research Centre 2018) viser at programmet bidrar til økte vekstmuligheter for små og mellomstore bedrifter, gir bedre tilgang til tjenester i tynt befolkede områder, bygger strategiske partne</w:t>
      </w:r>
      <w:r>
        <w:t>r</w:t>
      </w:r>
      <w:r>
        <w:t>skap over landegrensene og skaper merverdi som blant annet økt tilgang på kompetanse, nye ideer og økt kapas</w:t>
      </w:r>
      <w:r>
        <w:t>i</w:t>
      </w:r>
      <w:r>
        <w:t xml:space="preserve">tet til lokal utvikling og omstilling. </w:t>
      </w:r>
    </w:p>
    <w:p w:rsidR="00557A6F" w:rsidRDefault="00557A6F" w:rsidP="00557A6F">
      <w:pPr>
        <w:pStyle w:val="avsnitt-under-undertittel"/>
      </w:pPr>
      <w:r>
        <w:t>Interreg Nordsjøen – hele Norge og Danmark samt deler av Sverige, Storbritannia, Belgia, Nede</w:t>
      </w:r>
      <w:r>
        <w:t>r</w:t>
      </w:r>
      <w:r>
        <w:t>land og Tys</w:t>
      </w:r>
      <w:r>
        <w:t>k</w:t>
      </w:r>
      <w:r>
        <w:t>land</w:t>
      </w:r>
    </w:p>
    <w:p w:rsidR="00557A6F" w:rsidRDefault="00557A6F" w:rsidP="00557A6F">
      <w:r>
        <w:t xml:space="preserve">Målet er sterkere og bærekraftig økonomisk vekst gjennom samarbeid mellom landene i Nordsjøen. </w:t>
      </w:r>
    </w:p>
    <w:p w:rsidR="00557A6F" w:rsidRDefault="00557A6F" w:rsidP="00557A6F">
      <w:r>
        <w:t xml:space="preserve">Innsatsområdene i programmet er: forskning, utvikling og innovasjon, klimatilpasning, miljøvern og bærekraftig ressursforvaltning samt bærekraftig transport. Eksempler på hva programmet har oppnådd i 2018 er 1 063 virksomheter som samarbeider i kunnskapspartnerskap og 45 grønne transportløsninger som har blitt iverksatt. </w:t>
      </w:r>
    </w:p>
    <w:p w:rsidR="00557A6F" w:rsidRDefault="00557A6F" w:rsidP="00557A6F">
      <w:pPr>
        <w:pStyle w:val="avsnitt-under-undertittel"/>
      </w:pPr>
      <w:r>
        <w:t>Interreg Østersjøen – Norge, Sverige, Danmark, Finland, Polen, Latvia, Litauen, Estland, Hvit</w:t>
      </w:r>
      <w:r>
        <w:t>e</w:t>
      </w:r>
      <w:r>
        <w:t>russland, Nor</w:t>
      </w:r>
      <w:r>
        <w:t>d</w:t>
      </w:r>
      <w:r>
        <w:t>vest-Russland og deler av Tyskland</w:t>
      </w:r>
    </w:p>
    <w:p w:rsidR="00557A6F" w:rsidRDefault="00557A6F" w:rsidP="00557A6F">
      <w:r>
        <w:t>Målet er å fremme en integrert territoriell utvikling, styrke samarbeidet og bidra til en mer innov</w:t>
      </w:r>
      <w:r>
        <w:t>a</w:t>
      </w:r>
      <w:r>
        <w:t>tiv, tilgjengelig og bærekraftig Østersjøregion. Programmet vektlegger å rydde opp i miljøfo</w:t>
      </w:r>
      <w:r>
        <w:t>r</w:t>
      </w:r>
      <w:r>
        <w:t>urensninger i h</w:t>
      </w:r>
      <w:r>
        <w:t>a</w:t>
      </w:r>
      <w:r>
        <w:t xml:space="preserve">vet, og utvikle og ta i bruk potensialet i nye grønne maritime teknologier. </w:t>
      </w:r>
    </w:p>
    <w:p w:rsidR="00557A6F" w:rsidRDefault="00557A6F" w:rsidP="00557A6F">
      <w:r>
        <w:t>Ved utgangen av 2018 har programmet fordelt tilnærmet hele programmets budsjett på progra</w:t>
      </w:r>
      <w:r>
        <w:t>m</w:t>
      </w:r>
      <w:r>
        <w:t>mets innsatso</w:t>
      </w:r>
      <w:r>
        <w:t>m</w:t>
      </w:r>
      <w:r>
        <w:t xml:space="preserve">råder: innovasjon, naturressurser, transport eller støtte til EUs Østersjøstrategi. </w:t>
      </w:r>
    </w:p>
    <w:p w:rsidR="00557A6F" w:rsidRDefault="00557A6F" w:rsidP="00557A6F">
      <w:r>
        <w:t>Blant resultater som kan trekkes fram er: Bedre koordinering av energiplanlegging mellom landene i regionen og styrkede redningstjenester til sjøs og i havner.</w:t>
      </w:r>
    </w:p>
    <w:p w:rsidR="00557A6F" w:rsidRDefault="00557A6F" w:rsidP="00557A6F">
      <w:pPr>
        <w:pStyle w:val="avsnitt-under-undertittel"/>
      </w:pPr>
      <w:r>
        <w:lastRenderedPageBreak/>
        <w:t>Interreg Europe – EUs 28 medlemsland, Norge og Sveits</w:t>
      </w:r>
    </w:p>
    <w:p w:rsidR="00557A6F" w:rsidRDefault="00557A6F" w:rsidP="00557A6F">
      <w:r>
        <w:t>Målet er å bidra til smart, bærekraftig og inkluderende vekst i Europa. Programmet skal gi en bedre gjennomføring av regionalpolitikken gjennom erfaringsutveksling og politikkutvikling mellom regionale aktører. Programmet har i større grad enn andre Interreg-program offentlige myndigheter som primær målgruppe, men også universitets- og høyskolesektoren, FoU-institusjoner og intere</w:t>
      </w:r>
      <w:r>
        <w:t>s</w:t>
      </w:r>
      <w:r>
        <w:t>se- og bransjeorganisasjoner kan delta. Programmet har påvirket 121 politikkinstrumenter i ko</w:t>
      </w:r>
      <w:r>
        <w:t>m</w:t>
      </w:r>
      <w:r>
        <w:t>muner og regioner over hele Europa og bidratt til 274 handlingsplaner innenfor temaene forskning og innovasjon, økt konkurransekraft hos små og mellomstore bedrifter, miljø og bærekraftig bruk av ressurser og lavka</w:t>
      </w:r>
      <w:r>
        <w:t>r</w:t>
      </w:r>
      <w:r>
        <w:t xml:space="preserve">bonøkonomi. </w:t>
      </w:r>
    </w:p>
    <w:p w:rsidR="00557A6F" w:rsidRDefault="00557A6F" w:rsidP="00557A6F">
      <w:r>
        <w:t>Interreg Europe har også en åpen læringsplattform med over 16 000 registrerte brukere, som får ta del i 700 beste praksis-eksempler, fagartikler, seminarer og workshops. Programmet tilbyr peer reviews og setter lokale og reg</w:t>
      </w:r>
      <w:r>
        <w:t>i</w:t>
      </w:r>
      <w:r>
        <w:t>onale myndigheter i ulike deler av Europa i kontakt med hverandre om konkrete problemstillinger også utenom prosjektene. Midtveisvalueringen viser at programmet er på god vei til å nå sine aktivitetsmål, og at det ser ut til å levere på sine mål i løpet av progra</w:t>
      </w:r>
      <w:r>
        <w:t>m</w:t>
      </w:r>
      <w:r>
        <w:t>perioden.</w:t>
      </w:r>
    </w:p>
    <w:p w:rsidR="00557A6F" w:rsidRDefault="00557A6F" w:rsidP="00557A6F">
      <w:pPr>
        <w:pStyle w:val="avsnitt-under-undertittel"/>
      </w:pPr>
      <w:r>
        <w:t>ESPON – EUs 28 medlemsland, Norge, Sveits, Island og Liechtenstein</w:t>
      </w:r>
    </w:p>
    <w:p w:rsidR="00557A6F" w:rsidRDefault="00557A6F" w:rsidP="00557A6F">
      <w:r>
        <w:t xml:space="preserve">Målet er å øke effektiviteten av politikk som skal bidra til territoriell utvikling og arealplanlegging i </w:t>
      </w:r>
      <w:r>
        <w:rPr>
          <w:spacing w:val="-2"/>
        </w:rPr>
        <w:t>Europa. Programmet frambringer sammenlignbare</w:t>
      </w:r>
      <w:r>
        <w:t xml:space="preserve"> fakta, analyser og scenarier for utviklingsforu</w:t>
      </w:r>
      <w:r>
        <w:t>t</w:t>
      </w:r>
      <w:r>
        <w:t>setningene i europeiske regioner og byer. Norske kommuner, fylkeskommuner og offentlige etater kan sammen med aktører i andre europeiske land bestille forskning fra programmet. Hedmark fy</w:t>
      </w:r>
      <w:r>
        <w:t>l</w:t>
      </w:r>
      <w:r>
        <w:t>keskommune har tatt initiativ til å forbedre og standardisere metoden for å vurdere resultater og effekter av grenseoverskridende Interreg-programmer. ESPON-prosjektet gir en metode for å vu</w:t>
      </w:r>
      <w:r>
        <w:t>r</w:t>
      </w:r>
      <w:r>
        <w:t>dere alle sider ved samarbeidet, herunder økonomisk og sosial utjevning, økologiske konsekvenser, infrastruktur og politiske styring</w:t>
      </w:r>
      <w:r>
        <w:t>s</w:t>
      </w:r>
      <w:r>
        <w:t xml:space="preserve">arenaer. </w:t>
      </w:r>
    </w:p>
    <w:p w:rsidR="00557A6F" w:rsidRDefault="00557A6F" w:rsidP="00557A6F">
      <w:pPr>
        <w:pStyle w:val="avsnitt-tittel"/>
      </w:pPr>
      <w:r>
        <w:t>Budsjettforslag</w:t>
      </w:r>
    </w:p>
    <w:p w:rsidR="00557A6F" w:rsidRDefault="00557A6F" w:rsidP="00557A6F">
      <w:r>
        <w:t>Det foreslås en bevilgning på 30,9 mill. kroner i 2020. Bevilgningen skal dekke deltakelse i Inte</w:t>
      </w:r>
      <w:r>
        <w:t>r</w:t>
      </w:r>
      <w:r>
        <w:t>reg-programmene Nordlig Periferi og Arktis, Østersjøen, Nordsjøen, ESPON og Interreg Europe. Dette er en videreføring av nivået i 2019. For alle programmer unntatt ESPON kommer i tillegg minst 50 pst. annen offentlig eller privat medfinansiering. I den foreslåtte tildelingen inngår om lag 800 000 kroner til de n</w:t>
      </w:r>
      <w:r>
        <w:t>a</w:t>
      </w:r>
      <w:r>
        <w:t>sjonale kontaktpunktene for Interreg og ESPON, 500 000 danske kroner til driftstilskudd til Nordisk A</w:t>
      </w:r>
      <w:r>
        <w:t>t</w:t>
      </w:r>
      <w:r>
        <w:t>lantsamarbejde (NORA) og 31 900 euro til en nasjonal kontingent for deltakelse i OECD LEED. Det er ikke avsatt noen bevilgning til URBACT III, men norske aktører kan delta i programmet med egen fina</w:t>
      </w:r>
      <w:r>
        <w:t>n</w:t>
      </w:r>
      <w:r>
        <w:t>siering.</w:t>
      </w:r>
    </w:p>
    <w:p w:rsidR="00557A6F" w:rsidRDefault="00557A6F" w:rsidP="00557A6F">
      <w:pPr>
        <w:pStyle w:val="b-budkaptit"/>
      </w:pPr>
      <w:r>
        <w:t>Kap. 554 Kompetansesenter for distriktsutvikling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7A6F" w:rsidTr="00557A6F">
        <w:trPr>
          <w:trHeight w:val="640"/>
        </w:trPr>
        <w:tc>
          <w:tcPr>
            <w:tcW w:w="1140" w:type="dxa"/>
            <w:shd w:val="clear" w:color="auto" w:fill="FFFFFF"/>
          </w:tcPr>
          <w:p w:rsidR="00557A6F" w:rsidRDefault="00557A6F" w:rsidP="00557A6F">
            <w:pPr>
              <w:pStyle w:val="Tabellnavn"/>
            </w:pPr>
            <w:r>
              <w:t>KPAL</w:t>
            </w:r>
          </w:p>
        </w:tc>
        <w:tc>
          <w:tcPr>
            <w:tcW w:w="4560" w:type="dxa"/>
          </w:tcPr>
          <w:p w:rsidR="00557A6F" w:rsidRDefault="00557A6F" w:rsidP="00557A6F"/>
        </w:tc>
        <w:tc>
          <w:tcPr>
            <w:tcW w:w="1140" w:type="dxa"/>
          </w:tcPr>
          <w:p w:rsidR="00557A6F" w:rsidRDefault="00557A6F" w:rsidP="00557A6F">
            <w:pPr>
              <w:pStyle w:val="Tabellnavn"/>
              <w:jc w:val="right"/>
            </w:pPr>
          </w:p>
        </w:tc>
        <w:tc>
          <w:tcPr>
            <w:tcW w:w="1140" w:type="dxa"/>
          </w:tcPr>
          <w:p w:rsidR="00557A6F" w:rsidRDefault="00557A6F" w:rsidP="00557A6F">
            <w:pPr>
              <w:pStyle w:val="Tabellnavn"/>
              <w:jc w:val="right"/>
            </w:pPr>
          </w:p>
        </w:tc>
        <w:tc>
          <w:tcPr>
            <w:tcW w:w="1140" w:type="dxa"/>
          </w:tcPr>
          <w:p w:rsidR="00557A6F" w:rsidRDefault="00557A6F" w:rsidP="00557A6F">
            <w:pPr>
              <w:jc w:val="right"/>
            </w:pPr>
            <w:r>
              <w:t>(i 1 000 kr)</w:t>
            </w:r>
          </w:p>
        </w:tc>
      </w:tr>
      <w:tr w:rsidR="00557A6F" w:rsidTr="00557A6F">
        <w:trPr>
          <w:trHeight w:val="600"/>
        </w:trPr>
        <w:tc>
          <w:tcPr>
            <w:tcW w:w="1140" w:type="dxa"/>
          </w:tcPr>
          <w:p w:rsidR="00557A6F" w:rsidRDefault="00557A6F" w:rsidP="00557A6F">
            <w:r>
              <w:t>Post</w:t>
            </w:r>
          </w:p>
        </w:tc>
        <w:tc>
          <w:tcPr>
            <w:tcW w:w="4560" w:type="dxa"/>
          </w:tcPr>
          <w:p w:rsidR="00557A6F" w:rsidRDefault="00557A6F" w:rsidP="00557A6F">
            <w:r>
              <w:t>Betegnelse</w:t>
            </w:r>
          </w:p>
        </w:tc>
        <w:tc>
          <w:tcPr>
            <w:tcW w:w="1140" w:type="dxa"/>
          </w:tcPr>
          <w:p w:rsidR="00557A6F" w:rsidRDefault="00557A6F" w:rsidP="00557A6F">
            <w:pPr>
              <w:jc w:val="right"/>
            </w:pPr>
            <w:r>
              <w:t>Regnskap 2018</w:t>
            </w:r>
          </w:p>
        </w:tc>
        <w:tc>
          <w:tcPr>
            <w:tcW w:w="1140" w:type="dxa"/>
          </w:tcPr>
          <w:p w:rsidR="00557A6F" w:rsidRDefault="00557A6F" w:rsidP="00557A6F">
            <w:pPr>
              <w:jc w:val="right"/>
            </w:pPr>
            <w:r>
              <w:t xml:space="preserve">Saldert </w:t>
            </w:r>
            <w:r>
              <w:br/>
              <w:t>budsjett 2019</w:t>
            </w:r>
          </w:p>
        </w:tc>
        <w:tc>
          <w:tcPr>
            <w:tcW w:w="1140" w:type="dxa"/>
          </w:tcPr>
          <w:p w:rsidR="00557A6F" w:rsidRDefault="00557A6F" w:rsidP="00557A6F">
            <w:pPr>
              <w:jc w:val="right"/>
            </w:pPr>
            <w:r>
              <w:t xml:space="preserve">Forslag </w:t>
            </w:r>
            <w:r>
              <w:br/>
              <w:t>2020</w:t>
            </w:r>
          </w:p>
        </w:tc>
      </w:tr>
      <w:tr w:rsidR="00557A6F" w:rsidTr="00557A6F">
        <w:trPr>
          <w:trHeight w:val="380"/>
        </w:trPr>
        <w:tc>
          <w:tcPr>
            <w:tcW w:w="1140" w:type="dxa"/>
          </w:tcPr>
          <w:p w:rsidR="00557A6F" w:rsidRDefault="00557A6F" w:rsidP="00557A6F">
            <w:r>
              <w:t>01</w:t>
            </w:r>
          </w:p>
        </w:tc>
        <w:tc>
          <w:tcPr>
            <w:tcW w:w="4560" w:type="dxa"/>
          </w:tcPr>
          <w:p w:rsidR="00557A6F" w:rsidRDefault="00557A6F" w:rsidP="00557A6F">
            <w:r>
              <w:t xml:space="preserve">Driftsutgifter </w:t>
            </w:r>
          </w:p>
        </w:tc>
        <w:tc>
          <w:tcPr>
            <w:tcW w:w="1140" w:type="dxa"/>
          </w:tcPr>
          <w:p w:rsidR="00557A6F" w:rsidRDefault="00557A6F" w:rsidP="00557A6F">
            <w:pPr>
              <w:jc w:val="right"/>
            </w:pPr>
            <w:r>
              <w:t>28 140</w:t>
            </w:r>
          </w:p>
        </w:tc>
        <w:tc>
          <w:tcPr>
            <w:tcW w:w="1140" w:type="dxa"/>
          </w:tcPr>
          <w:p w:rsidR="00557A6F" w:rsidRDefault="00557A6F" w:rsidP="00557A6F">
            <w:pPr>
              <w:jc w:val="right"/>
            </w:pPr>
            <w:r>
              <w:t>32 753</w:t>
            </w:r>
          </w:p>
        </w:tc>
        <w:tc>
          <w:tcPr>
            <w:tcW w:w="1140" w:type="dxa"/>
          </w:tcPr>
          <w:p w:rsidR="00557A6F" w:rsidRDefault="00557A6F" w:rsidP="00557A6F">
            <w:pPr>
              <w:jc w:val="right"/>
            </w:pPr>
            <w:r>
              <w:t>33 343</w:t>
            </w:r>
          </w:p>
        </w:tc>
      </w:tr>
      <w:tr w:rsidR="00557A6F" w:rsidTr="00557A6F">
        <w:trPr>
          <w:trHeight w:val="380"/>
        </w:trPr>
        <w:tc>
          <w:tcPr>
            <w:tcW w:w="1140" w:type="dxa"/>
          </w:tcPr>
          <w:p w:rsidR="00557A6F" w:rsidRDefault="00557A6F" w:rsidP="00557A6F">
            <w:r>
              <w:t>73</w:t>
            </w:r>
          </w:p>
        </w:tc>
        <w:tc>
          <w:tcPr>
            <w:tcW w:w="4560" w:type="dxa"/>
          </w:tcPr>
          <w:p w:rsidR="00557A6F" w:rsidRDefault="00557A6F" w:rsidP="00557A6F">
            <w:r>
              <w:t>Merkur</w:t>
            </w:r>
            <w:r>
              <w:rPr>
                <w:rStyle w:val="kursiv"/>
                <w:sz w:val="21"/>
                <w:szCs w:val="21"/>
              </w:rPr>
              <w:t xml:space="preserve">, kan overføres </w:t>
            </w:r>
          </w:p>
        </w:tc>
        <w:tc>
          <w:tcPr>
            <w:tcW w:w="1140" w:type="dxa"/>
          </w:tcPr>
          <w:p w:rsidR="00557A6F" w:rsidRDefault="00557A6F" w:rsidP="00557A6F">
            <w:pPr>
              <w:jc w:val="right"/>
            </w:pPr>
          </w:p>
        </w:tc>
        <w:tc>
          <w:tcPr>
            <w:tcW w:w="1140" w:type="dxa"/>
          </w:tcPr>
          <w:p w:rsidR="00557A6F" w:rsidRDefault="00557A6F" w:rsidP="00557A6F">
            <w:pPr>
              <w:jc w:val="right"/>
            </w:pPr>
          </w:p>
        </w:tc>
        <w:tc>
          <w:tcPr>
            <w:tcW w:w="1140" w:type="dxa"/>
          </w:tcPr>
          <w:p w:rsidR="00557A6F" w:rsidRDefault="00557A6F" w:rsidP="00557A6F">
            <w:pPr>
              <w:jc w:val="right"/>
            </w:pPr>
            <w:r>
              <w:t>59 409</w:t>
            </w:r>
          </w:p>
        </w:tc>
      </w:tr>
      <w:tr w:rsidR="00557A6F" w:rsidTr="00557A6F">
        <w:trPr>
          <w:trHeight w:val="380"/>
        </w:trPr>
        <w:tc>
          <w:tcPr>
            <w:tcW w:w="1140" w:type="dxa"/>
          </w:tcPr>
          <w:p w:rsidR="00557A6F" w:rsidRDefault="00557A6F" w:rsidP="00557A6F"/>
        </w:tc>
        <w:tc>
          <w:tcPr>
            <w:tcW w:w="4560" w:type="dxa"/>
          </w:tcPr>
          <w:p w:rsidR="00557A6F" w:rsidRDefault="00557A6F" w:rsidP="00557A6F">
            <w:r>
              <w:t>Sum kap. 0554</w:t>
            </w:r>
          </w:p>
        </w:tc>
        <w:tc>
          <w:tcPr>
            <w:tcW w:w="1140" w:type="dxa"/>
          </w:tcPr>
          <w:p w:rsidR="00557A6F" w:rsidRDefault="00557A6F" w:rsidP="00557A6F">
            <w:pPr>
              <w:jc w:val="right"/>
            </w:pPr>
            <w:r>
              <w:t>28 140</w:t>
            </w:r>
          </w:p>
        </w:tc>
        <w:tc>
          <w:tcPr>
            <w:tcW w:w="1140" w:type="dxa"/>
          </w:tcPr>
          <w:p w:rsidR="00557A6F" w:rsidRDefault="00557A6F" w:rsidP="00557A6F">
            <w:pPr>
              <w:jc w:val="right"/>
            </w:pPr>
            <w:r>
              <w:t>32 753</w:t>
            </w:r>
          </w:p>
        </w:tc>
        <w:tc>
          <w:tcPr>
            <w:tcW w:w="1140" w:type="dxa"/>
          </w:tcPr>
          <w:p w:rsidR="00557A6F" w:rsidRDefault="00557A6F" w:rsidP="00557A6F">
            <w:pPr>
              <w:jc w:val="right"/>
            </w:pPr>
            <w:r>
              <w:t>92 752</w:t>
            </w:r>
          </w:p>
        </w:tc>
      </w:tr>
    </w:tbl>
    <w:p w:rsidR="00557A6F" w:rsidRDefault="00557A6F" w:rsidP="00557A6F">
      <w:pPr>
        <w:pStyle w:val="b-post"/>
      </w:pPr>
      <w:r>
        <w:t>Post 01 Driftsutgifter</w:t>
      </w:r>
    </w:p>
    <w:p w:rsidR="00557A6F" w:rsidRDefault="00557A6F" w:rsidP="00557A6F">
      <w:r>
        <w:t>Bevilgningen skal dekke lønn og øvrige driftsutgifter, utvikling av ny kunnskap, herunder innkjøp av forskning og utredninger, kompetanseoppbygging og informasjonstiltak i Kompetansesenter for di</w:t>
      </w:r>
      <w:r>
        <w:t>s</w:t>
      </w:r>
      <w:r>
        <w:t>triktsutvikling (Distriktssenteret). Distriktssenteret skal bistå aktører lokalt og regionalt i deres arbeid med lokal samfunnsutvikling, for å oppnå styrket utviklingevne i områder med særlige distriktsutfor</w:t>
      </w:r>
      <w:r>
        <w:t>d</w:t>
      </w:r>
      <w:r>
        <w:t>ringer. Distriktssenteret forvalter også Merkur-programmet.</w:t>
      </w:r>
    </w:p>
    <w:p w:rsidR="00557A6F" w:rsidRDefault="00557A6F" w:rsidP="00557A6F">
      <w:pPr>
        <w:pStyle w:val="avsnitt-tittel"/>
      </w:pPr>
      <w:r>
        <w:t>Rapport</w:t>
      </w:r>
    </w:p>
    <w:p w:rsidR="00557A6F" w:rsidRDefault="00557A6F" w:rsidP="00557A6F">
      <w:r>
        <w:t>Distriktssenteret lanserte til sitt 10-års jubileum et hefte med gode eksempler på utviklingsarbeid og ak</w:t>
      </w:r>
      <w:r>
        <w:t>a</w:t>
      </w:r>
      <w:r>
        <w:t>demiske artikler. På området verdiskaping basert på kultur- og naturressurser ble det utviklet et temahefte og en film. Distriktssenteret utviklet også kunnskap om næringsutvikling og om sted</w:t>
      </w:r>
      <w:r>
        <w:t>s</w:t>
      </w:r>
      <w:r>
        <w:t>utvikling.</w:t>
      </w:r>
    </w:p>
    <w:p w:rsidR="00557A6F" w:rsidRDefault="00557A6F" w:rsidP="00557A6F">
      <w:r>
        <w:t xml:space="preserve">I 2018 laget Telemarksforsking rapporten </w:t>
      </w:r>
      <w:r>
        <w:rPr>
          <w:rStyle w:val="kursiv"/>
          <w:spacing w:val="-2"/>
          <w:sz w:val="21"/>
          <w:szCs w:val="21"/>
        </w:rPr>
        <w:t>Suksessrike distriktskommuner anno 2018</w:t>
      </w:r>
      <w:r>
        <w:t xml:space="preserve"> på oppdrag fra Di</w:t>
      </w:r>
      <w:r>
        <w:t>s</w:t>
      </w:r>
      <w:r>
        <w:t>triktssent</w:t>
      </w:r>
      <w:r>
        <w:t>e</w:t>
      </w:r>
      <w:r>
        <w:t>ret. Rapporten dokumenterer hvordan det har gått med de 15 kommunene som i 2012 var med i studien «Suksessr</w:t>
      </w:r>
      <w:r>
        <w:t>i</w:t>
      </w:r>
      <w:r>
        <w:t>ke distriktskommuner». I rapporten drøftes blant annet hvilke strukturelle vekstbetingelser som er viktige for å fo</w:t>
      </w:r>
      <w:r>
        <w:t>r</w:t>
      </w:r>
      <w:r>
        <w:t>stå og forklare utvikling i folketall og arbeidsplasser i de aktuelle kommunene de siste årene.</w:t>
      </w:r>
    </w:p>
    <w:p w:rsidR="00557A6F" w:rsidRDefault="00557A6F" w:rsidP="00557A6F">
      <w:r>
        <w:t>Distriktssenteret har vektlagt å utvikle kunnskap som kommunene og øvrige brukere kan anvende i sitt arbeid med lokal samfunnsutvikling. En fullstendig oversikt over bestilte og gjennomførte u</w:t>
      </w:r>
      <w:r>
        <w:t>t</w:t>
      </w:r>
      <w:r>
        <w:t xml:space="preserve">redninger finnes på www.distriktssenteret.no. </w:t>
      </w:r>
    </w:p>
    <w:p w:rsidR="00557A6F" w:rsidRDefault="00557A6F" w:rsidP="00557A6F">
      <w:pPr>
        <w:pStyle w:val="avsnitt-tittel"/>
      </w:pPr>
      <w:r>
        <w:t>Budsjettforslag</w:t>
      </w:r>
    </w:p>
    <w:p w:rsidR="00557A6F" w:rsidRDefault="00557A6F" w:rsidP="00557A6F">
      <w:r>
        <w:t>Det foreslås en bevilgning på 33,3 mill. kroner inkludert endringer som følge av avbyråkratis</w:t>
      </w:r>
      <w:r>
        <w:t>e</w:t>
      </w:r>
      <w:r>
        <w:t>rings- og effektiviseringsreformen og lønns- og prisjustering.</w:t>
      </w:r>
    </w:p>
    <w:p w:rsidR="00557A6F" w:rsidRDefault="00557A6F" w:rsidP="00557A6F">
      <w:r>
        <w:t>Det foreslås at bevilgningen kan overskrides mot tilsvarende merinntekt på kap. 3554, post 01 Driftsutgifter, jf. forslag til romertallsvedtak.</w:t>
      </w:r>
    </w:p>
    <w:p w:rsidR="00557A6F" w:rsidRDefault="00557A6F" w:rsidP="00557A6F">
      <w:pPr>
        <w:pStyle w:val="b-post"/>
      </w:pPr>
      <w:r>
        <w:t>Post 73 Merkur, kan overføres</w:t>
      </w:r>
    </w:p>
    <w:p w:rsidR="00557A6F" w:rsidRDefault="00557A6F" w:rsidP="00557A6F">
      <w:r>
        <w:t>Merkantilt kompetanseprogram for utkantbutikker (Merkur-programmet) er et utviklingsprogram for de minste dagligvarebutikkene i distriktene.</w:t>
      </w:r>
    </w:p>
    <w:p w:rsidR="00557A6F" w:rsidRDefault="00557A6F" w:rsidP="00557A6F">
      <w:r>
        <w:t>Målet for Merkur er å sikre innbyggerne i distriktene tilgang til en nærliggende dagligvarebutikk med god kvalitet og med tilleggstjenester som øker omsetningen, sikrer videre drift og gir innby</w:t>
      </w:r>
      <w:r>
        <w:t>g</w:t>
      </w:r>
      <w:r>
        <w:t>gerne i lokalsamfunnet bedre tjenester. Merkur arbeider for å styrke den butikkfaglige kompeta</w:t>
      </w:r>
      <w:r>
        <w:t>n</w:t>
      </w:r>
      <w:r>
        <w:t xml:space="preserve">sen, øke antall tjenester i butikkene og å legge sterkere vekt på lokal samfunnsutvikling. </w:t>
      </w:r>
    </w:p>
    <w:p w:rsidR="00557A6F" w:rsidRDefault="00557A6F" w:rsidP="00557A6F">
      <w:r>
        <w:t>Kriteriene for måloppnåelse er omsetningsutvikling, andel inntekter fra andre kilder enn dagli</w:t>
      </w:r>
      <w:r>
        <w:t>g</w:t>
      </w:r>
      <w:r>
        <w:t>varehandelen og overlevelsesrate blant Merkur-butikker.</w:t>
      </w:r>
    </w:p>
    <w:p w:rsidR="00557A6F" w:rsidRDefault="00557A6F" w:rsidP="00557A6F">
      <w:r>
        <w:t>Merkur er rettet mot helårsåpne dagligvarebutikker i områder med få innbyggere, som har et vare</w:t>
      </w:r>
      <w:r>
        <w:t>t</w:t>
      </w:r>
      <w:r>
        <w:t>ilbud som de</w:t>
      </w:r>
      <w:r>
        <w:t>k</w:t>
      </w:r>
      <w:r>
        <w:t>ker det alminnelige ernæringsbehovet og andre grunnleggende behov for dagligvarer. I kompetanseprogrammet går midlene i hovedsak til kurs, nettverkssamlinger, oppfølging fra Me</w:t>
      </w:r>
      <w:r>
        <w:t>r</w:t>
      </w:r>
      <w:r>
        <w:t>kur-konsulenter og kundeundersøkelser. Butikker som oppfyller et av følgende punkt kan være med: a) har et nærmarked på under 200 husstander, b) er lokalisert til steder uten fast vegforbi</w:t>
      </w:r>
      <w:r>
        <w:t>n</w:t>
      </w:r>
      <w:r>
        <w:t>delse eller c) har lang avstand, normalt 10 km, til nærmeste alternative innkjøpssted. Programstyret kan unntaksvis go</w:t>
      </w:r>
      <w:r>
        <w:t>d</w:t>
      </w:r>
      <w:r>
        <w:t>kjenne andre butikker.</w:t>
      </w:r>
    </w:p>
    <w:p w:rsidR="00557A6F" w:rsidRDefault="00557A6F" w:rsidP="00557A6F">
      <w:r>
        <w:t>Merkur-programmet forvaltes fra 1. januar 2019 av Kompetansesenter for distriktsutvikling (Di</w:t>
      </w:r>
      <w:r>
        <w:t>s</w:t>
      </w:r>
      <w:r>
        <w:t xml:space="preserve">triktssenteret). Departementet oppnevner et styre som gir strategiske føringer for arbeidet med Merkur. Distriktssenteret tildeler tilskudd og fører tilsyn med at kravene i forskrift av 1. juni 2018 og tilskuddsbrev blir oppfylt. </w:t>
      </w:r>
    </w:p>
    <w:p w:rsidR="00557A6F" w:rsidRDefault="00557A6F" w:rsidP="00557A6F">
      <w:r>
        <w:t>Effektene av tilleggstjenester rapporteres ikke årlig, men gjennom evalueringer.</w:t>
      </w:r>
    </w:p>
    <w:p w:rsidR="00557A6F" w:rsidRDefault="00557A6F" w:rsidP="00557A6F">
      <w:pPr>
        <w:pStyle w:val="Undertittel"/>
        <w:rPr>
          <w:rStyle w:val="halvfet0"/>
          <w:b/>
          <w:bCs/>
          <w:sz w:val="21"/>
          <w:szCs w:val="21"/>
        </w:rPr>
      </w:pPr>
      <w:r>
        <w:rPr>
          <w:rStyle w:val="halvfet0"/>
          <w:b/>
          <w:bCs/>
          <w:sz w:val="21"/>
          <w:szCs w:val="21"/>
        </w:rPr>
        <w:t>Investeringstilskudd til dagligvarebutikker</w:t>
      </w:r>
    </w:p>
    <w:p w:rsidR="00557A6F" w:rsidRDefault="00557A6F" w:rsidP="00557A6F">
      <w:r>
        <w:t>Målet med investeringsstøtten er å bidra til at dagligvarebutikker blir moderniserte, mer lønnso</w:t>
      </w:r>
      <w:r>
        <w:t>m</w:t>
      </w:r>
      <w:r>
        <w:t>me og gir innbyggerne i lokalsamfunnet bedre tjenester.</w:t>
      </w:r>
    </w:p>
    <w:p w:rsidR="00557A6F" w:rsidRDefault="00557A6F" w:rsidP="00557A6F">
      <w:r>
        <w:lastRenderedPageBreak/>
        <w:t>Kriteriene for måloppnåelse er omsetningsutvikling, andel inntekter fra andre kilder enn dagli</w:t>
      </w:r>
      <w:r>
        <w:t>g</w:t>
      </w:r>
      <w:r>
        <w:t>varehandelen og overlevelsesrate blant Merkur-butikker.</w:t>
      </w:r>
    </w:p>
    <w:p w:rsidR="00557A6F" w:rsidRDefault="00557A6F" w:rsidP="00557A6F">
      <w:r>
        <w:t>Ordningen gjelder helårsåpne dagligvarebutikker i områder med få innbyggere som har et vareti</w:t>
      </w:r>
      <w:r>
        <w:t>l</w:t>
      </w:r>
      <w:r>
        <w:t xml:space="preserve">bud som dekker det alminnelige ernæringsbehovet og andre grunnleggende behov for dagligvarer, og oppfyller krav til omsetningstall, kundegrunnlag og avstand til alternative innkjøpssted. </w:t>
      </w:r>
    </w:p>
    <w:p w:rsidR="00557A6F" w:rsidRDefault="00557A6F" w:rsidP="00557A6F">
      <w:r>
        <w:t>Det gis investeringsstøtte til fysiske investeringer i butikkene.</w:t>
      </w:r>
      <w:r>
        <w:rPr>
          <w:rStyle w:val="halvfet0"/>
          <w:sz w:val="21"/>
          <w:szCs w:val="21"/>
        </w:rPr>
        <w:t xml:space="preserve"> </w:t>
      </w:r>
    </w:p>
    <w:p w:rsidR="00557A6F" w:rsidRDefault="00557A6F" w:rsidP="00557A6F">
      <w:pPr>
        <w:pStyle w:val="Undertittel"/>
      </w:pPr>
      <w:r>
        <w:t>Utviklingstilskudd til dagligvarebutikker</w:t>
      </w:r>
    </w:p>
    <w:p w:rsidR="00557A6F" w:rsidRDefault="00557A6F" w:rsidP="00557A6F">
      <w:r>
        <w:t>Målet med utviklingsstøtten er å bidra til å bygge opp større kompetanse i dagligvarebutikken, m</w:t>
      </w:r>
      <w:r>
        <w:t>o</w:t>
      </w:r>
      <w:r>
        <w:t xml:space="preserve">bilisere bygdefolket til lokal handel og legge til rette for de tilleggsaktivitetene som kan knyttes til butikken, og som passer best for lokalsamfunnet. </w:t>
      </w:r>
    </w:p>
    <w:p w:rsidR="00557A6F" w:rsidRDefault="00557A6F" w:rsidP="00557A6F">
      <w:r>
        <w:t>Kriteriene for måloppnåelse er omsetningsutvikling, andel inntekter fra andre kilder enn dagli</w:t>
      </w:r>
      <w:r>
        <w:t>g</w:t>
      </w:r>
      <w:r>
        <w:t xml:space="preserve">varehandelen og overlevelsesrate blant Merkur-butikker. </w:t>
      </w:r>
    </w:p>
    <w:p w:rsidR="00557A6F" w:rsidRDefault="00557A6F" w:rsidP="00557A6F">
      <w:r>
        <w:t>Ordningen gjelder helårsåpne dagligvarebutikker i områder med få innbyggere som har et vareti</w:t>
      </w:r>
      <w:r>
        <w:t>l</w:t>
      </w:r>
      <w:r>
        <w:t>bud som dekker det alminnelige ernæringsbehovet og andre grunnleggende behov for dagligvarer, og oppfyller krav til omsetningstall, kundegrunnlag og avstand til alternative innkjøpssted. Utvi</w:t>
      </w:r>
      <w:r>
        <w:t>k</w:t>
      </w:r>
      <w:r>
        <w:t>lingsstøtte skal gå til utviklings-, mobiliserings-, kompetanse- og lokalsamfunnstiltak, samt vurd</w:t>
      </w:r>
      <w:r>
        <w:t>e</w:t>
      </w:r>
      <w:r>
        <w:t>ring av og tilrettelegging for tilleggsfunksjoner med vid</w:t>
      </w:r>
      <w:r>
        <w:t>e</w:t>
      </w:r>
      <w:r>
        <w:t>re.</w:t>
      </w:r>
    </w:p>
    <w:p w:rsidR="00557A6F" w:rsidRDefault="00557A6F" w:rsidP="00557A6F">
      <w:pPr>
        <w:pStyle w:val="Undertittel"/>
      </w:pPr>
      <w:r>
        <w:t>Servicetilskudd til de minste dagligvarebutikkene</w:t>
      </w:r>
    </w:p>
    <w:p w:rsidR="00557A6F" w:rsidRDefault="00557A6F" w:rsidP="00557A6F">
      <w:r>
        <w:t>Målet med servicestøtten er å bidra til at de minste dagligvarebutikkene tilbyr tilleggstjenester til loka</w:t>
      </w:r>
      <w:r>
        <w:t>l</w:t>
      </w:r>
      <w:r>
        <w:t xml:space="preserve">samfunnet og det lokale næringslivet. Det skal bidra til å opprettholde driften. </w:t>
      </w:r>
    </w:p>
    <w:p w:rsidR="00557A6F" w:rsidRDefault="00557A6F" w:rsidP="00557A6F">
      <w:r>
        <w:t>Kriteriene for måloppnåelse er omsetningsutvikling, andel inntekter fra andre kilder enn dagli</w:t>
      </w:r>
      <w:r>
        <w:t>g</w:t>
      </w:r>
      <w:r>
        <w:t>varehandelen og overlevelsesrate blant Merkur-butikker.</w:t>
      </w:r>
    </w:p>
    <w:p w:rsidR="00557A6F" w:rsidRDefault="00557A6F" w:rsidP="00557A6F">
      <w:r>
        <w:t>Ordningen gjelder helårsåpne dagligvarebutikker i områder med få innbyggere som har et vareti</w:t>
      </w:r>
      <w:r>
        <w:t>l</w:t>
      </w:r>
      <w:r>
        <w:t>bud som dekker det alminnelige ernæringsbehovet og andre grunnleggende behov for dagligvarer, og oppfyller krav til tilleggstjenester, omsetningstall, kundegrunnlag og avstand til alternative in</w:t>
      </w:r>
      <w:r>
        <w:t>n</w:t>
      </w:r>
      <w:r>
        <w:t xml:space="preserve">kjøpssted. </w:t>
      </w:r>
    </w:p>
    <w:p w:rsidR="00557A6F" w:rsidRDefault="00557A6F" w:rsidP="00557A6F">
      <w:r>
        <w:t>Det gis tilskudd til å dekke utviklings- og driftskostnader, og mindre investeringer som bidrar til å nå målet med ordningen.</w:t>
      </w:r>
    </w:p>
    <w:p w:rsidR="00557A6F" w:rsidRDefault="00557A6F" w:rsidP="00557A6F">
      <w:pPr>
        <w:pStyle w:val="Undertittel"/>
      </w:pPr>
      <w:r>
        <w:t>Investeringstilskudd til drivstoffanlegg/ladestasjon for elbil ved da</w:t>
      </w:r>
      <w:r>
        <w:t>g</w:t>
      </w:r>
      <w:r>
        <w:t>ligvarebutikker</w:t>
      </w:r>
    </w:p>
    <w:p w:rsidR="00557A6F" w:rsidRDefault="00557A6F" w:rsidP="00557A6F">
      <w:r>
        <w:t xml:space="preserve">Målet med investeringsstøtten til drivstoffanlegg er å sikre drivstofftilgangen i distriktene. </w:t>
      </w:r>
    </w:p>
    <w:p w:rsidR="00557A6F" w:rsidRDefault="00557A6F" w:rsidP="00557A6F">
      <w:r>
        <w:t>Kriteriene for måloppnåelse er at antall butikker som har drivstoffanlegg/ladestasjon for elbil op</w:t>
      </w:r>
      <w:r>
        <w:t>p</w:t>
      </w:r>
      <w:r>
        <w:t>rettholdes/øker og at omsetningsutviklingen for butikken er positiv.</w:t>
      </w:r>
    </w:p>
    <w:p w:rsidR="00557A6F" w:rsidRDefault="00557A6F" w:rsidP="00557A6F">
      <w:r>
        <w:t>Ordningen gjelder i hovedsak drivstoffanlegg/ladestasjon for elbil ved Merkur-butikker. Andre vir</w:t>
      </w:r>
      <w:r>
        <w:t>k</w:t>
      </w:r>
      <w:r>
        <w:t>somheter som driver eller eier drivstoffanlegg kan i helt særskilte tilfeller også bli omfattet av ordningen. Anlegget skal være avgjørende for å sikre lokalbefolkningen tilgang på drivstoff. Salgsvolumet skal ikke overstige 500 000 liter dri</w:t>
      </w:r>
      <w:r>
        <w:t>v</w:t>
      </w:r>
      <w:r>
        <w:t>stoff per år.</w:t>
      </w:r>
    </w:p>
    <w:p w:rsidR="00557A6F" w:rsidRDefault="00557A6F" w:rsidP="00557A6F">
      <w:r>
        <w:t>Investeringsstøtten skal gå til opprusting av eksisterende og etablering av nye drivstoffa</w:t>
      </w:r>
      <w:r>
        <w:t>n</w:t>
      </w:r>
      <w:r>
        <w:t>legg/ladestasjon for elbil i tilknytning til dagligvarebutikker.</w:t>
      </w:r>
    </w:p>
    <w:p w:rsidR="00557A6F" w:rsidRDefault="00557A6F" w:rsidP="00557A6F">
      <w:pPr>
        <w:pStyle w:val="Undertittel"/>
      </w:pPr>
      <w:r>
        <w:t>Utviklingstilskudd til bokhandlere</w:t>
      </w:r>
    </w:p>
    <w:p w:rsidR="00557A6F" w:rsidRDefault="00557A6F" w:rsidP="00557A6F">
      <w:r>
        <w:t>Målet med utviklingstilskuddet er å bidra til å styrke grunnlaget for lønnsom bokhandelsdrift i dis</w:t>
      </w:r>
      <w:r>
        <w:t>t</w:t>
      </w:r>
      <w:r>
        <w:t xml:space="preserve">riktene. </w:t>
      </w:r>
    </w:p>
    <w:p w:rsidR="00557A6F" w:rsidRDefault="00557A6F" w:rsidP="00557A6F">
      <w:r>
        <w:t>Kriteriene for måloppnåelse er å utvikle driften av butikken for å styrke omsetningsutvikling.</w:t>
      </w:r>
    </w:p>
    <w:p w:rsidR="00557A6F" w:rsidRDefault="00557A6F" w:rsidP="00557A6F">
      <w:r>
        <w:t>Ordningen gjelder Merkur-bokhandlere. Det kan gis tilskudd til bokhandlere som er den eneste bo</w:t>
      </w:r>
      <w:r>
        <w:t>k</w:t>
      </w:r>
      <w:r>
        <w:t>handelen i tettstedet og har en omsetning på mindre enn 7 millioner kroner. Utviklingsstøtten skal brukes til tidsavgrensede tiltak som skal utvikle bokhandelen som kulturarena og møteplass i lokalsamfunnet. Det gis støtte til tiltak for å styrke og utvikle driften av butikken, blant annet til tilrettelegging for tillegg</w:t>
      </w:r>
      <w:r>
        <w:t>s</w:t>
      </w:r>
      <w:r>
        <w:t xml:space="preserve">funksjoner. </w:t>
      </w:r>
    </w:p>
    <w:p w:rsidR="00557A6F" w:rsidRDefault="00557A6F" w:rsidP="00557A6F">
      <w:pPr>
        <w:pStyle w:val="avsnitt-tittel"/>
      </w:pPr>
      <w:r>
        <w:lastRenderedPageBreak/>
        <w:t>Rapport for ordningene</w:t>
      </w:r>
    </w:p>
    <w:p w:rsidR="00557A6F" w:rsidRDefault="00557A6F" w:rsidP="00557A6F">
      <w:r>
        <w:t>Det ble i 2018 gitt tilsagn om 14,3 mill. kroner fra Kompetanseprogrammet for dagligvarebutikker og 34,4 mill. kroner i tilsagn til investerings- og utviklingsstøtte til utkantbutikker og i invest</w:t>
      </w:r>
      <w:r>
        <w:t>e</w:t>
      </w:r>
      <w:r>
        <w:t>ringsstøtte til drivstoffanlegg. 171 dagligvarebutikker og bokhandlere fikk tilsagn om støtte til vi</w:t>
      </w:r>
      <w:r>
        <w:t>k</w:t>
      </w:r>
      <w:r>
        <w:t xml:space="preserve">tige investeringer gjennom Merkur-programmets ulike investeringsstøtteordninger i 2018. </w:t>
      </w:r>
    </w:p>
    <w:p w:rsidR="00557A6F" w:rsidRDefault="00557A6F" w:rsidP="00557A6F">
      <w:r>
        <w:t xml:space="preserve">Regjeringens føring om å prioritere de minste butikkene i de mest perifere områdene er fulgt opp gjennom en ny støtteordning som går til butikker med årlig dagligvareomsetning under 3 mill. kroner. Ordningen ble iverksatt våren 2017. </w:t>
      </w:r>
    </w:p>
    <w:p w:rsidR="00557A6F" w:rsidRDefault="00557A6F" w:rsidP="00557A6F">
      <w:r>
        <w:t>Omsetningen i Merkur-butikkene økte med 2,3 pst. i 2017. Dette er en bedre omsetningsutvikling enn de vesen</w:t>
      </w:r>
      <w:r>
        <w:t>t</w:t>
      </w:r>
      <w:r>
        <w:t>lig større øvrige distriktsbutikkene, som hadde en økning i omsetning på 1,1 pst. i 2017. Alle landets dagligvar</w:t>
      </w:r>
      <w:r>
        <w:t>e</w:t>
      </w:r>
      <w:r>
        <w:t>butikker økte til sammenligning omsetningen i 2017 med 1,9 pst.</w:t>
      </w:r>
      <w:r>
        <w:rPr>
          <w:vertAlign w:val="superscript"/>
        </w:rPr>
        <w:footnoteReference w:id="13"/>
      </w:r>
    </w:p>
    <w:p w:rsidR="00557A6F" w:rsidRDefault="00557A6F" w:rsidP="00557A6F">
      <w:r>
        <w:t>Per 1. august 2019 er det registrert 591 Merkur-butikker. Dette er en tilvekst på seks butikker sammenlignet med 2012. Det ble satt i gang ti nye hovedprogram i 2018 med om lag 100 butik</w:t>
      </w:r>
      <w:r>
        <w:t>k</w:t>
      </w:r>
      <w:r>
        <w:t>drivere som deltakere. Hovedprogrammet er et kompetanseprogram skreddersydd for Me</w:t>
      </w:r>
      <w:r>
        <w:t>r</w:t>
      </w:r>
      <w:r>
        <w:t>kur-butikkene.</w:t>
      </w:r>
    </w:p>
    <w:p w:rsidR="00557A6F" w:rsidRDefault="00557A6F" w:rsidP="00557A6F">
      <w:pPr>
        <w:pStyle w:val="avsnitt-tittel"/>
      </w:pPr>
      <w:r>
        <w:t>Budsjettforslag</w:t>
      </w:r>
    </w:p>
    <w:p w:rsidR="00557A6F" w:rsidRDefault="00557A6F" w:rsidP="00557A6F">
      <w:r>
        <w:t>Det foreslås en bevilgning på 59,4 mill. kroner i 2020. De minste butikkene i de mest perifere o</w:t>
      </w:r>
      <w:r>
        <w:t>m</w:t>
      </w:r>
      <w:r>
        <w:t xml:space="preserve">rådene skal prioriteres. </w:t>
      </w:r>
    </w:p>
    <w:p w:rsidR="00557A6F" w:rsidRDefault="00557A6F" w:rsidP="00557A6F">
      <w:pPr>
        <w:pStyle w:val="b-progkat"/>
      </w:pPr>
      <w:r>
        <w:lastRenderedPageBreak/>
        <w:t>Programkategori 13.60 Samiske formål</w:t>
      </w:r>
    </w:p>
    <w:p w:rsidR="00557A6F" w:rsidRDefault="00557A6F" w:rsidP="00557A6F">
      <w:pPr>
        <w:pStyle w:val="avsnitt-tittel"/>
      </w:pPr>
      <w:r>
        <w:t>Utgifter under programkategori 13.60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557A6F" w:rsidTr="00557A6F">
        <w:trPr>
          <w:trHeight w:val="640"/>
        </w:trPr>
        <w:tc>
          <w:tcPr>
            <w:tcW w:w="1020" w:type="dxa"/>
            <w:shd w:val="clear" w:color="auto" w:fill="FFFFFF"/>
          </w:tcPr>
          <w:p w:rsidR="00557A6F" w:rsidRDefault="00557A6F" w:rsidP="00557A6F">
            <w:pPr>
              <w:pStyle w:val="Tabellnavn"/>
            </w:pPr>
            <w:r>
              <w:t>PIKL</w:t>
            </w:r>
          </w:p>
        </w:tc>
        <w:tc>
          <w:tcPr>
            <w:tcW w:w="4080" w:type="dxa"/>
          </w:tcPr>
          <w:p w:rsidR="00557A6F" w:rsidRDefault="00557A6F" w:rsidP="00557A6F"/>
        </w:tc>
        <w:tc>
          <w:tcPr>
            <w:tcW w:w="1020" w:type="dxa"/>
          </w:tcPr>
          <w:p w:rsidR="00557A6F" w:rsidRDefault="00557A6F" w:rsidP="00557A6F">
            <w:pPr>
              <w:pStyle w:val="Tabellnavn"/>
              <w:jc w:val="right"/>
            </w:pPr>
          </w:p>
        </w:tc>
        <w:tc>
          <w:tcPr>
            <w:tcW w:w="1020" w:type="dxa"/>
          </w:tcPr>
          <w:p w:rsidR="00557A6F" w:rsidRDefault="00557A6F" w:rsidP="00557A6F">
            <w:pPr>
              <w:pStyle w:val="Tabellnavn"/>
              <w:jc w:val="right"/>
            </w:pPr>
          </w:p>
        </w:tc>
        <w:tc>
          <w:tcPr>
            <w:tcW w:w="1020" w:type="dxa"/>
          </w:tcPr>
          <w:p w:rsidR="00557A6F" w:rsidRDefault="00557A6F" w:rsidP="00557A6F">
            <w:pPr>
              <w:pStyle w:val="Tabellnavn"/>
              <w:jc w:val="right"/>
            </w:pPr>
          </w:p>
        </w:tc>
        <w:tc>
          <w:tcPr>
            <w:tcW w:w="1020" w:type="dxa"/>
          </w:tcPr>
          <w:p w:rsidR="00557A6F" w:rsidRDefault="00557A6F" w:rsidP="00557A6F">
            <w:pPr>
              <w:jc w:val="right"/>
            </w:pPr>
            <w:r>
              <w:t>(i 1 000 kr)</w:t>
            </w:r>
          </w:p>
        </w:tc>
      </w:tr>
      <w:tr w:rsidR="00557A6F" w:rsidTr="00557A6F">
        <w:trPr>
          <w:trHeight w:val="600"/>
        </w:trPr>
        <w:tc>
          <w:tcPr>
            <w:tcW w:w="1020" w:type="dxa"/>
          </w:tcPr>
          <w:p w:rsidR="00557A6F" w:rsidRDefault="00557A6F" w:rsidP="00557A6F">
            <w:r>
              <w:t>Kap.</w:t>
            </w:r>
          </w:p>
        </w:tc>
        <w:tc>
          <w:tcPr>
            <w:tcW w:w="4080" w:type="dxa"/>
          </w:tcPr>
          <w:p w:rsidR="00557A6F" w:rsidRDefault="00557A6F" w:rsidP="00557A6F">
            <w:r>
              <w:t>Betegnelse</w:t>
            </w:r>
          </w:p>
        </w:tc>
        <w:tc>
          <w:tcPr>
            <w:tcW w:w="1020" w:type="dxa"/>
          </w:tcPr>
          <w:p w:rsidR="00557A6F" w:rsidRDefault="00557A6F" w:rsidP="00557A6F">
            <w:pPr>
              <w:jc w:val="right"/>
            </w:pPr>
            <w:r>
              <w:t>Reg</w:t>
            </w:r>
            <w:r>
              <w:t>n</w:t>
            </w:r>
            <w:r>
              <w:t>skap 2018</w:t>
            </w:r>
          </w:p>
        </w:tc>
        <w:tc>
          <w:tcPr>
            <w:tcW w:w="1020" w:type="dxa"/>
          </w:tcPr>
          <w:p w:rsidR="00557A6F" w:rsidRDefault="00557A6F" w:rsidP="00557A6F">
            <w:pPr>
              <w:jc w:val="right"/>
            </w:pPr>
            <w:r>
              <w:t xml:space="preserve">Saldert </w:t>
            </w:r>
            <w:r>
              <w:br/>
              <w:t>budsjett 2019</w:t>
            </w:r>
          </w:p>
        </w:tc>
        <w:tc>
          <w:tcPr>
            <w:tcW w:w="1020" w:type="dxa"/>
          </w:tcPr>
          <w:p w:rsidR="00557A6F" w:rsidRDefault="00557A6F" w:rsidP="00557A6F">
            <w:pPr>
              <w:jc w:val="right"/>
            </w:pPr>
            <w:r>
              <w:t xml:space="preserve">Forslag </w:t>
            </w:r>
            <w:r>
              <w:br/>
              <w:t>2020</w:t>
            </w:r>
          </w:p>
        </w:tc>
        <w:tc>
          <w:tcPr>
            <w:tcW w:w="1020" w:type="dxa"/>
          </w:tcPr>
          <w:p w:rsidR="00557A6F" w:rsidRDefault="00557A6F" w:rsidP="00557A6F">
            <w:pPr>
              <w:jc w:val="right"/>
            </w:pPr>
            <w:r>
              <w:t xml:space="preserve">Pst. endr. </w:t>
            </w:r>
            <w:r>
              <w:br/>
              <w:t>19/20</w:t>
            </w:r>
          </w:p>
        </w:tc>
      </w:tr>
      <w:tr w:rsidR="00557A6F" w:rsidTr="00557A6F">
        <w:trPr>
          <w:trHeight w:val="380"/>
        </w:trPr>
        <w:tc>
          <w:tcPr>
            <w:tcW w:w="1020" w:type="dxa"/>
          </w:tcPr>
          <w:p w:rsidR="00557A6F" w:rsidRDefault="00557A6F" w:rsidP="00557A6F">
            <w:r>
              <w:t>560</w:t>
            </w:r>
          </w:p>
        </w:tc>
        <w:tc>
          <w:tcPr>
            <w:tcW w:w="4080" w:type="dxa"/>
          </w:tcPr>
          <w:p w:rsidR="00557A6F" w:rsidRDefault="00557A6F" w:rsidP="00557A6F">
            <w:r>
              <w:t>Samiske formål</w:t>
            </w:r>
          </w:p>
        </w:tc>
        <w:tc>
          <w:tcPr>
            <w:tcW w:w="1020" w:type="dxa"/>
          </w:tcPr>
          <w:p w:rsidR="00557A6F" w:rsidRDefault="00557A6F" w:rsidP="00557A6F">
            <w:pPr>
              <w:jc w:val="right"/>
            </w:pPr>
            <w:r>
              <w:t>316 520</w:t>
            </w:r>
          </w:p>
        </w:tc>
        <w:tc>
          <w:tcPr>
            <w:tcW w:w="1020" w:type="dxa"/>
          </w:tcPr>
          <w:p w:rsidR="00557A6F" w:rsidRDefault="00557A6F" w:rsidP="00557A6F">
            <w:pPr>
              <w:jc w:val="right"/>
            </w:pPr>
            <w:r>
              <w:t>509 526</w:t>
            </w:r>
          </w:p>
        </w:tc>
        <w:tc>
          <w:tcPr>
            <w:tcW w:w="1020" w:type="dxa"/>
          </w:tcPr>
          <w:p w:rsidR="00557A6F" w:rsidRDefault="00557A6F" w:rsidP="00557A6F">
            <w:pPr>
              <w:jc w:val="right"/>
            </w:pPr>
            <w:r>
              <w:t>525 652</w:t>
            </w:r>
          </w:p>
        </w:tc>
        <w:tc>
          <w:tcPr>
            <w:tcW w:w="1020" w:type="dxa"/>
          </w:tcPr>
          <w:p w:rsidR="00557A6F" w:rsidRDefault="00557A6F" w:rsidP="00557A6F">
            <w:pPr>
              <w:jc w:val="right"/>
            </w:pPr>
            <w:r>
              <w:t>3,2</w:t>
            </w:r>
          </w:p>
        </w:tc>
      </w:tr>
      <w:tr w:rsidR="00557A6F" w:rsidTr="00557A6F">
        <w:trPr>
          <w:trHeight w:val="380"/>
        </w:trPr>
        <w:tc>
          <w:tcPr>
            <w:tcW w:w="1020" w:type="dxa"/>
          </w:tcPr>
          <w:p w:rsidR="00557A6F" w:rsidRDefault="00557A6F" w:rsidP="00557A6F">
            <w:r>
              <w:t>561</w:t>
            </w:r>
          </w:p>
        </w:tc>
        <w:tc>
          <w:tcPr>
            <w:tcW w:w="4080" w:type="dxa"/>
          </w:tcPr>
          <w:p w:rsidR="00557A6F" w:rsidRDefault="00557A6F" w:rsidP="00557A6F">
            <w:r>
              <w:t>Tilskudd til samiske formål</w:t>
            </w:r>
          </w:p>
        </w:tc>
        <w:tc>
          <w:tcPr>
            <w:tcW w:w="1020" w:type="dxa"/>
          </w:tcPr>
          <w:p w:rsidR="00557A6F" w:rsidRDefault="00557A6F" w:rsidP="00557A6F">
            <w:pPr>
              <w:jc w:val="right"/>
            </w:pPr>
            <w:r>
              <w:t>12 166</w:t>
            </w: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p>
        </w:tc>
      </w:tr>
      <w:tr w:rsidR="00557A6F" w:rsidTr="00557A6F">
        <w:trPr>
          <w:trHeight w:val="380"/>
        </w:trPr>
        <w:tc>
          <w:tcPr>
            <w:tcW w:w="1020" w:type="dxa"/>
          </w:tcPr>
          <w:p w:rsidR="00557A6F" w:rsidRDefault="00557A6F" w:rsidP="00557A6F">
            <w:r>
              <w:t>563</w:t>
            </w:r>
          </w:p>
        </w:tc>
        <w:tc>
          <w:tcPr>
            <w:tcW w:w="4080" w:type="dxa"/>
          </w:tcPr>
          <w:p w:rsidR="00557A6F" w:rsidRDefault="00557A6F" w:rsidP="00557A6F">
            <w:r>
              <w:t>Internasjonalt reindriftssenter</w:t>
            </w:r>
          </w:p>
        </w:tc>
        <w:tc>
          <w:tcPr>
            <w:tcW w:w="1020" w:type="dxa"/>
          </w:tcPr>
          <w:p w:rsidR="00557A6F" w:rsidRDefault="00557A6F" w:rsidP="00557A6F">
            <w:pPr>
              <w:jc w:val="right"/>
            </w:pPr>
            <w:r>
              <w:t>8 281</w:t>
            </w:r>
          </w:p>
        </w:tc>
        <w:tc>
          <w:tcPr>
            <w:tcW w:w="1020" w:type="dxa"/>
          </w:tcPr>
          <w:p w:rsidR="00557A6F" w:rsidRDefault="00557A6F" w:rsidP="00557A6F">
            <w:pPr>
              <w:jc w:val="right"/>
            </w:pPr>
            <w:r>
              <w:t>9 110</w:t>
            </w:r>
          </w:p>
        </w:tc>
        <w:tc>
          <w:tcPr>
            <w:tcW w:w="1020" w:type="dxa"/>
          </w:tcPr>
          <w:p w:rsidR="00557A6F" w:rsidRDefault="00557A6F" w:rsidP="00557A6F">
            <w:pPr>
              <w:jc w:val="right"/>
            </w:pPr>
            <w:r>
              <w:t>9 297</w:t>
            </w:r>
          </w:p>
        </w:tc>
        <w:tc>
          <w:tcPr>
            <w:tcW w:w="1020" w:type="dxa"/>
          </w:tcPr>
          <w:p w:rsidR="00557A6F" w:rsidRDefault="00557A6F" w:rsidP="00557A6F">
            <w:pPr>
              <w:jc w:val="right"/>
            </w:pPr>
            <w:r>
              <w:t>2,1</w:t>
            </w:r>
          </w:p>
        </w:tc>
      </w:tr>
      <w:tr w:rsidR="00557A6F" w:rsidTr="00557A6F">
        <w:trPr>
          <w:trHeight w:val="380"/>
        </w:trPr>
        <w:tc>
          <w:tcPr>
            <w:tcW w:w="1020" w:type="dxa"/>
          </w:tcPr>
          <w:p w:rsidR="00557A6F" w:rsidRDefault="00557A6F" w:rsidP="00557A6F"/>
        </w:tc>
        <w:tc>
          <w:tcPr>
            <w:tcW w:w="4080" w:type="dxa"/>
          </w:tcPr>
          <w:p w:rsidR="00557A6F" w:rsidRDefault="00557A6F" w:rsidP="00557A6F">
            <w:r>
              <w:t>Sum kategori 13.60</w:t>
            </w:r>
          </w:p>
        </w:tc>
        <w:tc>
          <w:tcPr>
            <w:tcW w:w="1020" w:type="dxa"/>
          </w:tcPr>
          <w:p w:rsidR="00557A6F" w:rsidRDefault="00557A6F" w:rsidP="00557A6F">
            <w:pPr>
              <w:jc w:val="right"/>
            </w:pPr>
            <w:r>
              <w:t>336 967</w:t>
            </w:r>
          </w:p>
        </w:tc>
        <w:tc>
          <w:tcPr>
            <w:tcW w:w="1020" w:type="dxa"/>
          </w:tcPr>
          <w:p w:rsidR="00557A6F" w:rsidRDefault="00557A6F" w:rsidP="00557A6F">
            <w:pPr>
              <w:jc w:val="right"/>
            </w:pPr>
            <w:r>
              <w:t>518 636</w:t>
            </w:r>
          </w:p>
        </w:tc>
        <w:tc>
          <w:tcPr>
            <w:tcW w:w="1020" w:type="dxa"/>
          </w:tcPr>
          <w:p w:rsidR="00557A6F" w:rsidRDefault="00557A6F" w:rsidP="00557A6F">
            <w:pPr>
              <w:jc w:val="right"/>
            </w:pPr>
            <w:r>
              <w:t>534 949</w:t>
            </w:r>
          </w:p>
        </w:tc>
        <w:tc>
          <w:tcPr>
            <w:tcW w:w="1020" w:type="dxa"/>
          </w:tcPr>
          <w:p w:rsidR="00557A6F" w:rsidRDefault="00557A6F" w:rsidP="00557A6F">
            <w:pPr>
              <w:jc w:val="right"/>
            </w:pPr>
            <w:r>
              <w:t>3,1</w:t>
            </w:r>
          </w:p>
        </w:tc>
      </w:tr>
    </w:tbl>
    <w:p w:rsidR="00557A6F" w:rsidRDefault="00557A6F" w:rsidP="00557A6F">
      <w:pPr>
        <w:pStyle w:val="avsnitt-tittel"/>
      </w:pPr>
      <w:r>
        <w:t>Inntekter under programkategori 13.60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557A6F" w:rsidTr="00557A6F">
        <w:trPr>
          <w:trHeight w:val="640"/>
        </w:trPr>
        <w:tc>
          <w:tcPr>
            <w:tcW w:w="1020" w:type="dxa"/>
            <w:shd w:val="clear" w:color="auto" w:fill="FFFFFF"/>
          </w:tcPr>
          <w:p w:rsidR="00557A6F" w:rsidRDefault="00557A6F" w:rsidP="00557A6F">
            <w:pPr>
              <w:pStyle w:val="Tabellnavn"/>
            </w:pPr>
            <w:r>
              <w:t>PIKL</w:t>
            </w:r>
          </w:p>
        </w:tc>
        <w:tc>
          <w:tcPr>
            <w:tcW w:w="4080" w:type="dxa"/>
          </w:tcPr>
          <w:p w:rsidR="00557A6F" w:rsidRDefault="00557A6F" w:rsidP="00557A6F"/>
        </w:tc>
        <w:tc>
          <w:tcPr>
            <w:tcW w:w="1020" w:type="dxa"/>
          </w:tcPr>
          <w:p w:rsidR="00557A6F" w:rsidRDefault="00557A6F" w:rsidP="00557A6F">
            <w:pPr>
              <w:pStyle w:val="Tabellnavn"/>
              <w:jc w:val="right"/>
            </w:pPr>
          </w:p>
        </w:tc>
        <w:tc>
          <w:tcPr>
            <w:tcW w:w="1020" w:type="dxa"/>
          </w:tcPr>
          <w:p w:rsidR="00557A6F" w:rsidRDefault="00557A6F" w:rsidP="00557A6F">
            <w:pPr>
              <w:pStyle w:val="Tabellnavn"/>
              <w:jc w:val="right"/>
            </w:pPr>
          </w:p>
        </w:tc>
        <w:tc>
          <w:tcPr>
            <w:tcW w:w="1020" w:type="dxa"/>
          </w:tcPr>
          <w:p w:rsidR="00557A6F" w:rsidRDefault="00557A6F" w:rsidP="00557A6F">
            <w:pPr>
              <w:pStyle w:val="Tabellnavn"/>
              <w:jc w:val="right"/>
            </w:pPr>
          </w:p>
        </w:tc>
        <w:tc>
          <w:tcPr>
            <w:tcW w:w="1020" w:type="dxa"/>
          </w:tcPr>
          <w:p w:rsidR="00557A6F" w:rsidRDefault="00557A6F" w:rsidP="00557A6F">
            <w:pPr>
              <w:jc w:val="right"/>
            </w:pPr>
            <w:r>
              <w:t>(i 1 000 kr)</w:t>
            </w:r>
          </w:p>
        </w:tc>
      </w:tr>
      <w:tr w:rsidR="00557A6F" w:rsidTr="00557A6F">
        <w:trPr>
          <w:trHeight w:val="600"/>
        </w:trPr>
        <w:tc>
          <w:tcPr>
            <w:tcW w:w="1020" w:type="dxa"/>
          </w:tcPr>
          <w:p w:rsidR="00557A6F" w:rsidRDefault="00557A6F" w:rsidP="00557A6F">
            <w:r>
              <w:t>Kap.</w:t>
            </w:r>
          </w:p>
        </w:tc>
        <w:tc>
          <w:tcPr>
            <w:tcW w:w="4080" w:type="dxa"/>
          </w:tcPr>
          <w:p w:rsidR="00557A6F" w:rsidRDefault="00557A6F" w:rsidP="00557A6F">
            <w:r>
              <w:t>Betegnelse</w:t>
            </w:r>
          </w:p>
        </w:tc>
        <w:tc>
          <w:tcPr>
            <w:tcW w:w="1020" w:type="dxa"/>
          </w:tcPr>
          <w:p w:rsidR="00557A6F" w:rsidRDefault="00557A6F" w:rsidP="00557A6F">
            <w:pPr>
              <w:jc w:val="right"/>
            </w:pPr>
            <w:r>
              <w:t>Reg</w:t>
            </w:r>
            <w:r>
              <w:t>n</w:t>
            </w:r>
            <w:r>
              <w:t>skap 2018</w:t>
            </w:r>
          </w:p>
        </w:tc>
        <w:tc>
          <w:tcPr>
            <w:tcW w:w="1020" w:type="dxa"/>
          </w:tcPr>
          <w:p w:rsidR="00557A6F" w:rsidRDefault="00557A6F" w:rsidP="00557A6F">
            <w:pPr>
              <w:jc w:val="right"/>
            </w:pPr>
            <w:r>
              <w:t xml:space="preserve">Saldert </w:t>
            </w:r>
            <w:r>
              <w:br/>
              <w:t>budsjett 2019</w:t>
            </w:r>
          </w:p>
        </w:tc>
        <w:tc>
          <w:tcPr>
            <w:tcW w:w="1020" w:type="dxa"/>
          </w:tcPr>
          <w:p w:rsidR="00557A6F" w:rsidRDefault="00557A6F" w:rsidP="00557A6F">
            <w:pPr>
              <w:jc w:val="right"/>
            </w:pPr>
            <w:r>
              <w:t xml:space="preserve">Forslag </w:t>
            </w:r>
            <w:r>
              <w:br/>
              <w:t>2020</w:t>
            </w:r>
          </w:p>
        </w:tc>
        <w:tc>
          <w:tcPr>
            <w:tcW w:w="1020" w:type="dxa"/>
          </w:tcPr>
          <w:p w:rsidR="00557A6F" w:rsidRDefault="00557A6F" w:rsidP="00557A6F">
            <w:pPr>
              <w:jc w:val="right"/>
            </w:pPr>
            <w:r>
              <w:t xml:space="preserve">Pst. endr. </w:t>
            </w:r>
            <w:r>
              <w:br/>
              <w:t>19/20</w:t>
            </w:r>
          </w:p>
        </w:tc>
      </w:tr>
      <w:tr w:rsidR="00557A6F" w:rsidTr="00557A6F">
        <w:trPr>
          <w:trHeight w:val="380"/>
        </w:trPr>
        <w:tc>
          <w:tcPr>
            <w:tcW w:w="1020" w:type="dxa"/>
          </w:tcPr>
          <w:p w:rsidR="00557A6F" w:rsidRDefault="00557A6F" w:rsidP="00557A6F">
            <w:r>
              <w:t>3563</w:t>
            </w:r>
          </w:p>
        </w:tc>
        <w:tc>
          <w:tcPr>
            <w:tcW w:w="4080" w:type="dxa"/>
          </w:tcPr>
          <w:p w:rsidR="00557A6F" w:rsidRDefault="00557A6F" w:rsidP="00557A6F">
            <w:r>
              <w:t>Internasjonalt reindriftssenter</w:t>
            </w:r>
          </w:p>
        </w:tc>
        <w:tc>
          <w:tcPr>
            <w:tcW w:w="1020" w:type="dxa"/>
          </w:tcPr>
          <w:p w:rsidR="00557A6F" w:rsidRDefault="00557A6F" w:rsidP="00557A6F">
            <w:pPr>
              <w:jc w:val="right"/>
            </w:pPr>
            <w:r>
              <w:t>3 126</w:t>
            </w:r>
          </w:p>
        </w:tc>
        <w:tc>
          <w:tcPr>
            <w:tcW w:w="1020" w:type="dxa"/>
          </w:tcPr>
          <w:p w:rsidR="00557A6F" w:rsidRDefault="00557A6F" w:rsidP="00557A6F">
            <w:pPr>
              <w:jc w:val="right"/>
            </w:pPr>
            <w:r>
              <w:t>2 988</w:t>
            </w:r>
          </w:p>
        </w:tc>
        <w:tc>
          <w:tcPr>
            <w:tcW w:w="1020" w:type="dxa"/>
          </w:tcPr>
          <w:p w:rsidR="00557A6F" w:rsidRDefault="00557A6F" w:rsidP="00557A6F">
            <w:pPr>
              <w:jc w:val="right"/>
            </w:pPr>
            <w:r>
              <w:t>3 068</w:t>
            </w:r>
          </w:p>
        </w:tc>
        <w:tc>
          <w:tcPr>
            <w:tcW w:w="1020" w:type="dxa"/>
          </w:tcPr>
          <w:p w:rsidR="00557A6F" w:rsidRDefault="00557A6F" w:rsidP="00557A6F">
            <w:pPr>
              <w:jc w:val="right"/>
            </w:pPr>
            <w:r>
              <w:t>2,7</w:t>
            </w:r>
          </w:p>
        </w:tc>
      </w:tr>
      <w:tr w:rsidR="00557A6F" w:rsidTr="00557A6F">
        <w:trPr>
          <w:trHeight w:val="380"/>
        </w:trPr>
        <w:tc>
          <w:tcPr>
            <w:tcW w:w="1020" w:type="dxa"/>
          </w:tcPr>
          <w:p w:rsidR="00557A6F" w:rsidRDefault="00557A6F" w:rsidP="00557A6F"/>
        </w:tc>
        <w:tc>
          <w:tcPr>
            <w:tcW w:w="4080" w:type="dxa"/>
          </w:tcPr>
          <w:p w:rsidR="00557A6F" w:rsidRDefault="00557A6F" w:rsidP="00557A6F">
            <w:r>
              <w:t>Sum kategori 13.60</w:t>
            </w:r>
          </w:p>
        </w:tc>
        <w:tc>
          <w:tcPr>
            <w:tcW w:w="1020" w:type="dxa"/>
          </w:tcPr>
          <w:p w:rsidR="00557A6F" w:rsidRDefault="00557A6F" w:rsidP="00557A6F">
            <w:pPr>
              <w:jc w:val="right"/>
            </w:pPr>
            <w:r>
              <w:t>3 126</w:t>
            </w:r>
          </w:p>
        </w:tc>
        <w:tc>
          <w:tcPr>
            <w:tcW w:w="1020" w:type="dxa"/>
          </w:tcPr>
          <w:p w:rsidR="00557A6F" w:rsidRDefault="00557A6F" w:rsidP="00557A6F">
            <w:pPr>
              <w:jc w:val="right"/>
            </w:pPr>
            <w:r>
              <w:t>2 988</w:t>
            </w:r>
          </w:p>
        </w:tc>
        <w:tc>
          <w:tcPr>
            <w:tcW w:w="1020" w:type="dxa"/>
          </w:tcPr>
          <w:p w:rsidR="00557A6F" w:rsidRDefault="00557A6F" w:rsidP="00557A6F">
            <w:pPr>
              <w:jc w:val="right"/>
            </w:pPr>
            <w:r>
              <w:t>3 068</w:t>
            </w:r>
          </w:p>
        </w:tc>
        <w:tc>
          <w:tcPr>
            <w:tcW w:w="1020" w:type="dxa"/>
          </w:tcPr>
          <w:p w:rsidR="00557A6F" w:rsidRDefault="00557A6F" w:rsidP="00557A6F">
            <w:pPr>
              <w:jc w:val="right"/>
            </w:pPr>
            <w:r>
              <w:t>2,7</w:t>
            </w:r>
          </w:p>
        </w:tc>
      </w:tr>
    </w:tbl>
    <w:p w:rsidR="00557A6F" w:rsidRDefault="00557A6F" w:rsidP="00557A6F">
      <w:pPr>
        <w:pStyle w:val="Undertittel"/>
      </w:pPr>
      <w:r>
        <w:t>Ansvarsområder</w:t>
      </w:r>
    </w:p>
    <w:p w:rsidR="00557A6F" w:rsidRDefault="00557A6F" w:rsidP="00557A6F">
      <w:r>
        <w:t>Samene er anerkjent som urfolk i Norge. I tråd med Grunnloven § 108 har regjeringen som mål å legge til rette for at samene kan sikre og utvikle sitt språk, sin kultur og sitt samfunnsliv. Norge har også folkerettslige forpliktelser som legger føringer for samepolitikken, blant annet ILO-konvensjon nr. 169 om urfolk og stammefolk i selvstendige stater og FNs konvensjon om s</w:t>
      </w:r>
      <w:r>
        <w:t>i</w:t>
      </w:r>
      <w:r>
        <w:t>vile og politiske rettigheter artikkel 27.</w:t>
      </w:r>
    </w:p>
    <w:p w:rsidR="00557A6F" w:rsidRDefault="00557A6F" w:rsidP="00557A6F">
      <w:r>
        <w:t>Sametinget er samenes folkevalgte organ og regjeringens viktigste premissleverandør og dialo</w:t>
      </w:r>
      <w:r>
        <w:t>g</w:t>
      </w:r>
      <w:r>
        <w:t>partner i samepolitiske spørsmål. Regjeringen bygger videre på de institusjonelle og rettslige ra</w:t>
      </w:r>
      <w:r>
        <w:t>m</w:t>
      </w:r>
      <w:r>
        <w:t>mene som allerede er lagt for samepolitikken. Regjeringen er ikke ansvarlig for Sametingets pol</w:t>
      </w:r>
      <w:r>
        <w:t>i</w:t>
      </w:r>
      <w:r>
        <w:t>tiske virksomhet eller vedtakene som Sam</w:t>
      </w:r>
      <w:r>
        <w:t>e</w:t>
      </w:r>
      <w:r>
        <w:t>tinget gjør som politisk organ.</w:t>
      </w:r>
    </w:p>
    <w:p w:rsidR="00557A6F" w:rsidRDefault="00557A6F" w:rsidP="00557A6F">
      <w:r>
        <w:t>Kommunal- og moderniseringsdepartementet har ansvar for å samordne statlig politikk som berører samene i Norge, og skal arbeide for helhet og sammenheng i politikken, på tvers av sektorer og forvaltningsnivåer. Hvert fagdepartement har et ansvar for å følge opp statlig politikk overfor samene innenfor sin sektor.</w:t>
      </w:r>
    </w:p>
    <w:p w:rsidR="00557A6F" w:rsidRDefault="00557A6F" w:rsidP="00557A6F">
      <w:r>
        <w:t xml:space="preserve">Det er statens ansvar å sikre at hensynet til samene blir ivaretatt. Samtidig legger staten til grunn at kommuner og fylkeskommuner på eget initiativ, og som en del av lokaldemokratiet, også følger opp forpliktelsene sine overfor de samiske innbyggerne. For eksempel har de et ansvar når det kommer til å sikre retten til opplæring i samisk. </w:t>
      </w:r>
    </w:p>
    <w:p w:rsidR="00557A6F" w:rsidRDefault="00557A6F" w:rsidP="00557A6F">
      <w:pPr>
        <w:pStyle w:val="Undertittel"/>
      </w:pPr>
      <w:r>
        <w:lastRenderedPageBreak/>
        <w:t>Utviklingstrekk og utfordringer</w:t>
      </w:r>
    </w:p>
    <w:p w:rsidR="00557A6F" w:rsidRDefault="00557A6F" w:rsidP="00557A6F">
      <w:r>
        <w:t>Samisk kultur er i stadig utvikling. Flere unge engasjerer seg i samiske spørsmål, og det er en ø</w:t>
      </w:r>
      <w:r>
        <w:t>k</w:t>
      </w:r>
      <w:r>
        <w:t>ning i antall personer som skriver seg inn i Sametingets valgmanntall. Det samiske mangfoldet er også mer sy</w:t>
      </w:r>
      <w:r>
        <w:t>n</w:t>
      </w:r>
      <w:r>
        <w:t>lig.</w:t>
      </w:r>
    </w:p>
    <w:p w:rsidR="00557A6F" w:rsidRDefault="00557A6F" w:rsidP="00557A6F">
      <w:r>
        <w:t>De senere årene har det vært befolkningsnedgang i en rekke tradisjonelle samiske områder, og st</w:t>
      </w:r>
      <w:r>
        <w:t>a</w:t>
      </w:r>
      <w:r>
        <w:t>dig flere samer bor i større byer og tettsteder. Endringene har ført til at flere kommuner er gitt et større a</w:t>
      </w:r>
      <w:r>
        <w:t>n</w:t>
      </w:r>
      <w:r>
        <w:t>svar for å imøtekomme den samiske befolkningens behov.</w:t>
      </w:r>
    </w:p>
    <w:p w:rsidR="00557A6F" w:rsidRDefault="00557A6F" w:rsidP="00557A6F">
      <w:r>
        <w:t>Mange tapte sitt samiske språk som følge av fornorskingspolitikken. Flere ønsker nå å lære seg språket og føre det videre til neste generasjon. De samiske språkene er viktige kulturbærere. Samt</w:t>
      </w:r>
      <w:r>
        <w:t>i</w:t>
      </w:r>
      <w:r>
        <w:t>dig er språkene små og sårbare. Dette gjelder særlig sørsamisk og lulesamisk, som begge er klass</w:t>
      </w:r>
      <w:r>
        <w:t>i</w:t>
      </w:r>
      <w:r>
        <w:t>fisert som alvorlig truede språk.</w:t>
      </w:r>
    </w:p>
    <w:p w:rsidR="00557A6F" w:rsidRDefault="00557A6F" w:rsidP="00557A6F">
      <w:r>
        <w:t>I de samiske områdene er det i dag et stort engasjement omkring samenes rettigheter, og det pågår flere viktige rettighetsdiskusjoner. Ett viktig tema er samenes rett til å delta i beslutningsprosesser i saker som direkte berører samiske interesser. Regjeringen ønsker å sikre dette gjennom klare lo</w:t>
      </w:r>
      <w:r>
        <w:t>v</w:t>
      </w:r>
      <w:r>
        <w:t>regler om konsultasjoner.</w:t>
      </w:r>
    </w:p>
    <w:p w:rsidR="00557A6F" w:rsidRDefault="00557A6F" w:rsidP="00557A6F">
      <w:r>
        <w:t>Videre gjenstår det spørsmål om kartlegging av eksisterende rettigheter til grunn og naturressurser – både for samer og andre. Det gjenstår også spørsmål knyttet til hvordan grunn og naturressurser på statsgrunn i Nordland og Troms bør forvaltes.</w:t>
      </w:r>
    </w:p>
    <w:p w:rsidR="00557A6F" w:rsidRDefault="00557A6F" w:rsidP="00557A6F">
      <w:pPr>
        <w:pStyle w:val="Undertittel"/>
      </w:pPr>
      <w:r>
        <w:t>Mål og rapportering, strategier og tiltak</w:t>
      </w:r>
    </w:p>
    <w:p w:rsidR="009017E2" w:rsidRPr="009017E2" w:rsidRDefault="009017E2" w:rsidP="009017E2">
      <w:pPr>
        <w:pStyle w:val="tabell-tittel"/>
      </w:pPr>
      <w:r>
        <w:t>Mål for programkategori 13.60 Samiske formål</w:t>
      </w:r>
    </w:p>
    <w:p w:rsidR="00557A6F" w:rsidRDefault="00557A6F" w:rsidP="00557A6F">
      <w:pPr>
        <w:pStyle w:val="Tabellnavn"/>
      </w:pPr>
      <w:r>
        <w:t>02J0xx2</w:t>
      </w:r>
    </w:p>
    <w:tbl>
      <w:tblPr>
        <w:tblStyle w:val="StandardTabell"/>
        <w:tblW w:w="0" w:type="auto"/>
        <w:tblLayout w:type="fixed"/>
        <w:tblLook w:val="04A0" w:firstRow="1" w:lastRow="0" w:firstColumn="1" w:lastColumn="0" w:noHBand="0" w:noVBand="1"/>
      </w:tblPr>
      <w:tblGrid>
        <w:gridCol w:w="9200"/>
      </w:tblGrid>
      <w:tr w:rsidR="00557A6F" w:rsidTr="00557A6F">
        <w:trPr>
          <w:trHeight w:val="380"/>
        </w:trPr>
        <w:tc>
          <w:tcPr>
            <w:tcW w:w="9200" w:type="dxa"/>
          </w:tcPr>
          <w:p w:rsidR="00557A6F" w:rsidRDefault="00557A6F" w:rsidP="00557A6F">
            <w:r>
              <w:t>1.</w:t>
            </w:r>
            <w:r>
              <w:tab/>
              <w:t>Samene kan sikre og utvikle sitt språk, sin kultur og sitt samfunnsliv</w:t>
            </w:r>
          </w:p>
        </w:tc>
      </w:tr>
      <w:tr w:rsidR="00557A6F" w:rsidTr="00557A6F">
        <w:trPr>
          <w:trHeight w:val="380"/>
        </w:trPr>
        <w:tc>
          <w:tcPr>
            <w:tcW w:w="9200" w:type="dxa"/>
          </w:tcPr>
          <w:p w:rsidR="00557A6F" w:rsidRDefault="00557A6F" w:rsidP="00557A6F">
            <w:r>
              <w:t>2.</w:t>
            </w:r>
            <w:r>
              <w:tab/>
              <w:t>Samene deltar i offentlige beslutningsprosesser</w:t>
            </w:r>
          </w:p>
        </w:tc>
      </w:tr>
      <w:tr w:rsidR="00557A6F" w:rsidTr="00557A6F">
        <w:trPr>
          <w:trHeight w:val="380"/>
        </w:trPr>
        <w:tc>
          <w:tcPr>
            <w:tcW w:w="9200" w:type="dxa"/>
          </w:tcPr>
          <w:p w:rsidR="00557A6F" w:rsidRDefault="00557A6F" w:rsidP="00557A6F">
            <w:r>
              <w:t>3.</w:t>
            </w:r>
            <w:r>
              <w:tab/>
              <w:t>Samene får gode og likeverdige tjenester</w:t>
            </w:r>
          </w:p>
        </w:tc>
      </w:tr>
    </w:tbl>
    <w:p w:rsidR="00557A6F" w:rsidRDefault="00557A6F" w:rsidP="00557A6F">
      <w:pPr>
        <w:pStyle w:val="avsnitt-tittel"/>
      </w:pPr>
      <w:r>
        <w:t>Mål 1 Samene kan sikre og utvikle sitt språk, sin kultur og sitt samfunnsliv</w:t>
      </w:r>
    </w:p>
    <w:p w:rsidR="00557A6F" w:rsidRDefault="00557A6F" w:rsidP="00557A6F">
      <w:r>
        <w:t>Å styrke samiske språk og samiske institusjoner er viktig for å sikre og utvikle samisk kultur og sa</w:t>
      </w:r>
      <w:r>
        <w:t>m</w:t>
      </w:r>
      <w:r>
        <w:t>funnsliv. Økt kunnskap om samer og samiske forhold kan motvirke hatytringer, diskriminering, stereot</w:t>
      </w:r>
      <w:r>
        <w:t>y</w:t>
      </w:r>
      <w:r>
        <w:t>pier og negative holdninger. Økt kunnskap gjør det også enklere å sikre og utvikle språk, kultur og sa</w:t>
      </w:r>
      <w:r>
        <w:t>m</w:t>
      </w:r>
      <w:r>
        <w:t>funnsliv. Kommunal- og moderniseringsdepartementet støtter derfor flere tiltak som gir økt kunnskap om samiske forhold.</w:t>
      </w:r>
    </w:p>
    <w:p w:rsidR="00557A6F" w:rsidRDefault="00557A6F" w:rsidP="00557A6F">
      <w:pPr>
        <w:pStyle w:val="avsnitt-undertittel"/>
      </w:pPr>
      <w:r>
        <w:t>Rapport, strategier og tiltak</w:t>
      </w:r>
    </w:p>
    <w:p w:rsidR="00557A6F" w:rsidRDefault="00557A6F" w:rsidP="00557A6F">
      <w:r>
        <w:t xml:space="preserve">I oktober 2016 leverte </w:t>
      </w:r>
      <w:proofErr w:type="gramStart"/>
      <w:r>
        <w:t>samisk</w:t>
      </w:r>
      <w:proofErr w:type="gramEnd"/>
      <w:r>
        <w:t xml:space="preserve"> språkutvalg NOU 2016: 18 </w:t>
      </w:r>
      <w:r>
        <w:rPr>
          <w:rStyle w:val="kursiv"/>
          <w:sz w:val="21"/>
          <w:szCs w:val="21"/>
        </w:rPr>
        <w:t>Hjertespråket</w:t>
      </w:r>
      <w:r>
        <w:t xml:space="preserve"> til Kommunal- og modern</w:t>
      </w:r>
      <w:r>
        <w:t>i</w:t>
      </w:r>
      <w:r>
        <w:t>seringsdepartementet og Sametinget. Utvalget foreslår en rekke tiltak for å legge til rette for s</w:t>
      </w:r>
      <w:r>
        <w:t>a</w:t>
      </w:r>
      <w:r>
        <w:t>miske språkbrukere og styrke samiske språk. Utvalgets rapport har vært på høring, og departeme</w:t>
      </w:r>
      <w:r>
        <w:t>n</w:t>
      </w:r>
      <w:r>
        <w:t>tene og Sametinget arbeider nå med å vurdere utvalgets forslag. Sametinget vil bli konsultert om eventuelle lovendringer og forslag til tiltak. Regjeringen er opptatt av å utforme et regelverk for samiske språk som er fleksibelt, og som tar høyde for at utfordringene og behovene til ulike ko</w:t>
      </w:r>
      <w:r>
        <w:t>m</w:t>
      </w:r>
      <w:r>
        <w:t>muner og samiske språkbrukere vil kunne variere fra sted til sted.</w:t>
      </w:r>
    </w:p>
    <w:p w:rsidR="00557A6F" w:rsidRDefault="00557A6F" w:rsidP="00557A6F">
      <w:r>
        <w:t xml:space="preserve">Norge, Sverige og Finland avsluttet forhandlingene om en nordisk samekonvensjon i 2016. Et overordnet mål med konvensjonen er at samene skal kunne bevare, utøve og utvikle sin kultur, sine språk og sitt samfunnsliv med minst mulig hinder av landegrensene. Samisk parlamentarisk råd sendte i juni 2018 forslag til enkelte endringer i den framforhandlede teksten til regjeringene i Norge, Sverige og Finland. Kulturdepartementet i Sverige besvarte henvendelsen i juni 2019, i samråd med berørte departement i </w:t>
      </w:r>
      <w:r>
        <w:lastRenderedPageBreak/>
        <w:t>Norge og Finland. I svaret ble det gitt uttrykk for at man på d</w:t>
      </w:r>
      <w:r>
        <w:t>e</w:t>
      </w:r>
      <w:r>
        <w:t>partementsnivå ikke er avvisende til å åpne for nye forhandlinger, begrenset til de pun</w:t>
      </w:r>
      <w:r>
        <w:t>k</w:t>
      </w:r>
      <w:r>
        <w:t>tene Samisk parlamentarisk råd tar opp – under forutsetning av at det ikke forandrer på balansen i den framfo</w:t>
      </w:r>
      <w:r>
        <w:t>r</w:t>
      </w:r>
      <w:r>
        <w:t xml:space="preserve">handlede teksten. Det understrekes at det vil kreve at alle de tre konvensjonspartene er enige om </w:t>
      </w:r>
      <w:proofErr w:type="gramStart"/>
      <w:r>
        <w:t>å</w:t>
      </w:r>
      <w:proofErr w:type="gramEnd"/>
      <w:r>
        <w:t xml:space="preserve"> reforhandle de aktuelle delene av teksten.</w:t>
      </w:r>
    </w:p>
    <w:p w:rsidR="00557A6F" w:rsidRDefault="00557A6F" w:rsidP="00557A6F">
      <w:pPr>
        <w:pStyle w:val="avsnitt-tittel"/>
      </w:pPr>
      <w:r>
        <w:t>Mål 2 Samene deltar i offentlige beslutningsprosesser</w:t>
      </w:r>
    </w:p>
    <w:p w:rsidR="00557A6F" w:rsidRDefault="00557A6F" w:rsidP="00557A6F">
      <w:r>
        <w:t>Det er et sentralt politisk mål at samene skal ha reell innflytelse på beslutninger som gjelder dem selv. Når det gjelder saker som berører samene, er det naturlig at Sametinget fatter avgjørelsene. Aktuelle e</w:t>
      </w:r>
      <w:r>
        <w:t>k</w:t>
      </w:r>
      <w:r>
        <w:t>sempler er bevaring og revitalisering av samiske språk og arbeid med å samle inn og sikre samisk tradisjonell kunnskap. I andre saker står statlige myndigheter for avveining av inte</w:t>
      </w:r>
      <w:r>
        <w:t>r</w:t>
      </w:r>
      <w:r>
        <w:t xml:space="preserve">esser og tar en endelig beslutning. Da er det viktig å sørge for reell involvering i forkant. Gjennom </w:t>
      </w:r>
      <w:r>
        <w:rPr>
          <w:rStyle w:val="kursiv"/>
          <w:sz w:val="21"/>
          <w:szCs w:val="21"/>
        </w:rPr>
        <w:t>Prosedyrer for konsultasjoner mellom statlige myndigheter og Sametinget,</w:t>
      </w:r>
      <w:r>
        <w:t xml:space="preserve"> er statlige myndigheter forpliktet til å konsultere Sametinget når det overveies å innføre lover eller tiltak som kan påvirke samiske interesser direkte. Formålet med konsultasjonene skal være å oppnå enighet.</w:t>
      </w:r>
    </w:p>
    <w:p w:rsidR="00557A6F" w:rsidRDefault="00557A6F" w:rsidP="00557A6F">
      <w:pPr>
        <w:pStyle w:val="avsnitt-undertittel"/>
      </w:pPr>
      <w:r>
        <w:t>Rapport, strategier og tiltak</w:t>
      </w:r>
    </w:p>
    <w:p w:rsidR="00557A6F" w:rsidRDefault="00557A6F" w:rsidP="00557A6F">
      <w:r>
        <w:t>Konsultasjonsprosedyrene har bidratt til å styrke dialogen og samarbeidet mellom regjeringen og Sametinget. Ikke alle konsultasjoner resulterer i enighet, men prosedyrene sørger for at de statlige myndighetene blir kjent med og må vurdere Sametingets synspunkter. Regjeringen vil bevare ko</w:t>
      </w:r>
      <w:r>
        <w:t>n</w:t>
      </w:r>
      <w:r>
        <w:t>sultasjonsordningen og er opptatt av at konsultasjonsprosedyrene skal fungere konstruktivt og e</w:t>
      </w:r>
      <w:r>
        <w:t>f</w:t>
      </w:r>
      <w:r>
        <w:t>fektivt. Kommunal- og moderniseringsdepartementet gir veiledning om konsultasjoner.</w:t>
      </w:r>
    </w:p>
    <w:p w:rsidR="00557A6F" w:rsidRDefault="00557A6F" w:rsidP="00557A6F">
      <w:r>
        <w:t xml:space="preserve">Samerettsutvalget foreslo i NOU 2007: 13 </w:t>
      </w:r>
      <w:r>
        <w:rPr>
          <w:rStyle w:val="kursiv"/>
          <w:sz w:val="21"/>
          <w:szCs w:val="21"/>
        </w:rPr>
        <w:t>Den nye sameretten</w:t>
      </w:r>
      <w:r>
        <w:t xml:space="preserve"> en egen lov om saksbehandling og konsultasjoner. Regjeringen har konsultert med Sametinget og Norske Reindriftsamers Landsfo</w:t>
      </w:r>
      <w:r>
        <w:t>r</w:t>
      </w:r>
      <w:r>
        <w:t>bund om oppfølgingen av sam</w:t>
      </w:r>
      <w:r>
        <w:t>e</w:t>
      </w:r>
      <w:r>
        <w:t>rettsutvalgets forslag. Regjeringen fremmet 14. september 2018 en proposisjon for Stortinget med forslag om å forankre konsultasjonsplikten i et eget kapittel i sam</w:t>
      </w:r>
      <w:r>
        <w:t>e</w:t>
      </w:r>
      <w:r>
        <w:t>loven. Lovforslaget bygger i all hovedsak på dagens ko</w:t>
      </w:r>
      <w:r>
        <w:t>n</w:t>
      </w:r>
      <w:r>
        <w:t>sultasjonsprosedyrer. I tillegg forankres konsultasjonsplikten for kommuner og fylkeskommuner i loven. For å gi kommunene nødvendig fleksibilitet lovfestes bare hovedprinsippene i plikten, mens nærmere retningslinjer for gjennomf</w:t>
      </w:r>
      <w:r>
        <w:t>ø</w:t>
      </w:r>
      <w:r>
        <w:t>ring gis i en veileder. Kommunal- og moderniseringsdepartementet utformer utkast til veileder i samråd med kommunal sektor (KS) og Sam</w:t>
      </w:r>
      <w:r>
        <w:t>e</w:t>
      </w:r>
      <w:r>
        <w:t xml:space="preserve">tinget. Norske Reindriftsamers Landsforbund blir også involvert. </w:t>
      </w:r>
    </w:p>
    <w:p w:rsidR="00557A6F" w:rsidRDefault="00557A6F" w:rsidP="00557A6F">
      <w:r>
        <w:t>Når det gjelder konsultasjoner på statlig nivå, legger lovforslaget opp til å lovfeste hovedprinsi</w:t>
      </w:r>
      <w:r>
        <w:t>p</w:t>
      </w:r>
      <w:r>
        <w:t>pene for konsult</w:t>
      </w:r>
      <w:r>
        <w:t>a</w:t>
      </w:r>
      <w:r>
        <w:t>sjonsplikten og gi nærmere regler i forskrift. Departementet vil utarbeide utkast til og sende på høring forskrifter med nærmere regler for statlig sektor, etter at loven er vedtatt. Sto</w:t>
      </w:r>
      <w:r>
        <w:t>r</w:t>
      </w:r>
      <w:r>
        <w:t>tinget vedtok 9. mai 2019 å sende proposisjonen tilbake til regjeringen, og ba samtidig regjeringen om å sende lovforslaget ut på alminnelig høring før saken fre</w:t>
      </w:r>
      <w:r>
        <w:t>m</w:t>
      </w:r>
      <w:r>
        <w:t>mes for Stortinget på nytt. Stortinget understreket at det er viktig at utkast til veileder for kommuner og fylkeskommuner er klar på samme tid, og høres samtidig som lovforslaget. Departementet tar derfor sikte på å sende de to d</w:t>
      </w:r>
      <w:r>
        <w:t>o</w:t>
      </w:r>
      <w:r>
        <w:t xml:space="preserve">kumentene på høring samtidig høsten 2019. </w:t>
      </w:r>
    </w:p>
    <w:p w:rsidR="00557A6F" w:rsidRDefault="00557A6F" w:rsidP="00557A6F">
      <w:r>
        <w:t>Etter enighet med Sametinget ble det i statsbudsjettet for 2019 vedtatt å samle årlige overføringer til Sametinget under én post i statsbudsjettet. Med den nye ordningen får Sametinget større han</w:t>
      </w:r>
      <w:r>
        <w:t>d</w:t>
      </w:r>
      <w:r>
        <w:t>lingsrom til selv å prioritere økonomiske virkemidler mellom ulike tiltak.</w:t>
      </w:r>
    </w:p>
    <w:p w:rsidR="00557A6F" w:rsidRDefault="00557A6F" w:rsidP="00557A6F">
      <w:r>
        <w:t>Som en del av konsultasjonene mellom regjeringen og Sametinget om ny budsjettordning ble det besluttet at det fra 2019 blir lagt fram en kortfattet situasjonsbeskrivelse og framoverskuende me</w:t>
      </w:r>
      <w:r>
        <w:t>l</w:t>
      </w:r>
      <w:r>
        <w:t xml:space="preserve">ding til Stortinget om samiske forhold. Regjeringen fremmet Meld. St. 31 (2018–2019) </w:t>
      </w:r>
      <w:r>
        <w:rPr>
          <w:rStyle w:val="kursiv"/>
          <w:sz w:val="21"/>
          <w:szCs w:val="21"/>
        </w:rPr>
        <w:t>Samisk språk, kultur og samfunnsliv</w:t>
      </w:r>
      <w:r>
        <w:t xml:space="preserve"> 21. juni 2019. </w:t>
      </w:r>
    </w:p>
    <w:p w:rsidR="00557A6F" w:rsidRDefault="00557A6F" w:rsidP="00557A6F">
      <w:r>
        <w:t>Kommunal- og moderniseringsdepartementet har utarbeidet egne retningslinjer for hvordan den nye budsjettor</w:t>
      </w:r>
      <w:r>
        <w:t>d</w:t>
      </w:r>
      <w:r>
        <w:t>ningen skal håndteres i departementene. Retningslinjene skal blant annet bidra til å håndtere de utfordringene én samlet post vil kunne skape når det gjelder ansvarsfordelingen me</w:t>
      </w:r>
      <w:r>
        <w:t>l</w:t>
      </w:r>
      <w:r>
        <w:t>lom departementene. Et viktig utgangspunkt er at hvert departement fortsatt har ansvaret for s</w:t>
      </w:r>
      <w:r>
        <w:t>a</w:t>
      </w:r>
      <w:r>
        <w:t>miske saker innenfor egen sektor.</w:t>
      </w:r>
    </w:p>
    <w:p w:rsidR="00557A6F" w:rsidRDefault="00557A6F" w:rsidP="00557A6F">
      <w:r>
        <w:t>Som folkevalgt organ er Sametinget ikke underordnet Kommunal- og moderniseringsdeparteme</w:t>
      </w:r>
      <w:r>
        <w:t>n</w:t>
      </w:r>
      <w:r>
        <w:t>tet. Kommunal- og moderniseringsministeren har derfor i utgangspunktet ikke konstitusjonelt a</w:t>
      </w:r>
      <w:r>
        <w:t>n</w:t>
      </w:r>
      <w:r>
        <w:t>svar for Sametingets virksomhet. Kommunal- og moderniseringsministeren har imidlertid et konstitusjonelt an</w:t>
      </w:r>
      <w:r>
        <w:lastRenderedPageBreak/>
        <w:t>svar for bruk av budsjettmidler bevilget under kap. 560, post 50. Ansvaret inn</w:t>
      </w:r>
      <w:r>
        <w:t>e</w:t>
      </w:r>
      <w:r>
        <w:t>bærer at kommunal- og moderniseringsministeren, på overordnet nivå, skal følge opp at midlene blir brukt i samsvar med fastsatt økonomiregelverk og Stortingets bevilgning</w:t>
      </w:r>
      <w:r>
        <w:t>s</w:t>
      </w:r>
      <w:r>
        <w:t>vedtak.</w:t>
      </w:r>
    </w:p>
    <w:p w:rsidR="00557A6F" w:rsidRDefault="00557A6F" w:rsidP="00557A6F">
      <w:pPr>
        <w:pStyle w:val="avsnitt-tittel"/>
      </w:pPr>
      <w:r>
        <w:t>Mål 3 Samene får gode og likeverdige tjenester</w:t>
      </w:r>
    </w:p>
    <w:p w:rsidR="00557A6F" w:rsidRDefault="00557A6F" w:rsidP="00557A6F">
      <w:pPr>
        <w:pStyle w:val="avsnitt-undertittel"/>
      </w:pPr>
      <w:r>
        <w:t>Rapport, strategier og tiltak</w:t>
      </w:r>
    </w:p>
    <w:p w:rsidR="00557A6F" w:rsidRDefault="00557A6F" w:rsidP="00557A6F">
      <w:r>
        <w:t>Målet om at samene får gode og likeverdige tjenester gjelder tjenester fra både staten, fylkesko</w:t>
      </w:r>
      <w:r>
        <w:t>m</w:t>
      </w:r>
      <w:r>
        <w:t>munene og kommunene. Sametinget støtter opp under tjenester som er viktige for samiske brukere, på flere områder. Som følge av den nye budsjettordningen får Sametinget økt frihet til selv å pri</w:t>
      </w:r>
      <w:r>
        <w:t>o</w:t>
      </w:r>
      <w:r>
        <w:t xml:space="preserve">ritere mellom økonomiske virkemidler. Videre er det et mål at arbeidet med å følge opp NOU 2016: 18 </w:t>
      </w:r>
      <w:r>
        <w:rPr>
          <w:rStyle w:val="kursiv"/>
          <w:spacing w:val="2"/>
          <w:sz w:val="21"/>
          <w:szCs w:val="21"/>
        </w:rPr>
        <w:t>Hje</w:t>
      </w:r>
      <w:r>
        <w:rPr>
          <w:rStyle w:val="kursiv"/>
          <w:spacing w:val="2"/>
          <w:sz w:val="21"/>
          <w:szCs w:val="21"/>
        </w:rPr>
        <w:t>r</w:t>
      </w:r>
      <w:r>
        <w:rPr>
          <w:rStyle w:val="kursiv"/>
          <w:spacing w:val="2"/>
          <w:sz w:val="21"/>
          <w:szCs w:val="21"/>
        </w:rPr>
        <w:t>tespråket</w:t>
      </w:r>
      <w:r>
        <w:t xml:space="preserve"> vil lede fram til tiltak for å legge til rette for gode tjenester for samene.</w:t>
      </w:r>
    </w:p>
    <w:p w:rsidR="00557A6F" w:rsidRDefault="00557A6F" w:rsidP="00557A6F">
      <w:pPr>
        <w:pStyle w:val="b-budkaptit"/>
      </w:pPr>
      <w:r>
        <w:t>Kap. 560 Samiske formål</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7A6F" w:rsidTr="00557A6F">
        <w:trPr>
          <w:trHeight w:val="640"/>
        </w:trPr>
        <w:tc>
          <w:tcPr>
            <w:tcW w:w="1140" w:type="dxa"/>
            <w:shd w:val="clear" w:color="auto" w:fill="FFFFFF"/>
          </w:tcPr>
          <w:p w:rsidR="00557A6F" w:rsidRDefault="00557A6F" w:rsidP="00557A6F">
            <w:pPr>
              <w:pStyle w:val="Tabellnavn"/>
            </w:pPr>
            <w:r>
              <w:t>KPAL</w:t>
            </w:r>
          </w:p>
        </w:tc>
        <w:tc>
          <w:tcPr>
            <w:tcW w:w="4560" w:type="dxa"/>
          </w:tcPr>
          <w:p w:rsidR="00557A6F" w:rsidRDefault="00557A6F" w:rsidP="00557A6F"/>
        </w:tc>
        <w:tc>
          <w:tcPr>
            <w:tcW w:w="1140" w:type="dxa"/>
          </w:tcPr>
          <w:p w:rsidR="00557A6F" w:rsidRDefault="00557A6F" w:rsidP="00557A6F">
            <w:pPr>
              <w:pStyle w:val="Tabellnavn"/>
              <w:jc w:val="right"/>
            </w:pPr>
          </w:p>
        </w:tc>
        <w:tc>
          <w:tcPr>
            <w:tcW w:w="1140" w:type="dxa"/>
          </w:tcPr>
          <w:p w:rsidR="00557A6F" w:rsidRDefault="00557A6F" w:rsidP="00557A6F">
            <w:pPr>
              <w:pStyle w:val="Tabellnavn"/>
              <w:jc w:val="right"/>
            </w:pPr>
          </w:p>
        </w:tc>
        <w:tc>
          <w:tcPr>
            <w:tcW w:w="1140" w:type="dxa"/>
          </w:tcPr>
          <w:p w:rsidR="00557A6F" w:rsidRDefault="00557A6F" w:rsidP="00557A6F">
            <w:pPr>
              <w:jc w:val="right"/>
            </w:pPr>
            <w:r>
              <w:t>(i 1 000 kr)</w:t>
            </w:r>
          </w:p>
        </w:tc>
      </w:tr>
      <w:tr w:rsidR="00557A6F" w:rsidTr="00557A6F">
        <w:trPr>
          <w:trHeight w:val="600"/>
        </w:trPr>
        <w:tc>
          <w:tcPr>
            <w:tcW w:w="1140" w:type="dxa"/>
          </w:tcPr>
          <w:p w:rsidR="00557A6F" w:rsidRDefault="00557A6F" w:rsidP="00557A6F">
            <w:r>
              <w:t>Post</w:t>
            </w:r>
          </w:p>
        </w:tc>
        <w:tc>
          <w:tcPr>
            <w:tcW w:w="4560" w:type="dxa"/>
          </w:tcPr>
          <w:p w:rsidR="00557A6F" w:rsidRDefault="00557A6F" w:rsidP="00557A6F">
            <w:r>
              <w:t>Betegnelse</w:t>
            </w:r>
          </w:p>
        </w:tc>
        <w:tc>
          <w:tcPr>
            <w:tcW w:w="1140" w:type="dxa"/>
          </w:tcPr>
          <w:p w:rsidR="00557A6F" w:rsidRDefault="00557A6F" w:rsidP="00557A6F">
            <w:pPr>
              <w:jc w:val="right"/>
            </w:pPr>
            <w:r>
              <w:t>Regnskap 2018</w:t>
            </w:r>
          </w:p>
        </w:tc>
        <w:tc>
          <w:tcPr>
            <w:tcW w:w="1140" w:type="dxa"/>
          </w:tcPr>
          <w:p w:rsidR="00557A6F" w:rsidRDefault="00557A6F" w:rsidP="00557A6F">
            <w:pPr>
              <w:jc w:val="right"/>
            </w:pPr>
            <w:r>
              <w:t xml:space="preserve">Saldert </w:t>
            </w:r>
            <w:r>
              <w:br/>
              <w:t>budsjett 2019</w:t>
            </w:r>
          </w:p>
        </w:tc>
        <w:tc>
          <w:tcPr>
            <w:tcW w:w="1140" w:type="dxa"/>
          </w:tcPr>
          <w:p w:rsidR="00557A6F" w:rsidRDefault="00557A6F" w:rsidP="00557A6F">
            <w:pPr>
              <w:jc w:val="right"/>
            </w:pPr>
            <w:r>
              <w:t xml:space="preserve">Forslag </w:t>
            </w:r>
            <w:r>
              <w:br/>
              <w:t>2020</w:t>
            </w:r>
          </w:p>
        </w:tc>
      </w:tr>
      <w:tr w:rsidR="00557A6F" w:rsidTr="00557A6F">
        <w:trPr>
          <w:trHeight w:val="380"/>
        </w:trPr>
        <w:tc>
          <w:tcPr>
            <w:tcW w:w="1140" w:type="dxa"/>
          </w:tcPr>
          <w:p w:rsidR="00557A6F" w:rsidRDefault="00557A6F" w:rsidP="00557A6F">
            <w:r>
              <w:t>50</w:t>
            </w:r>
          </w:p>
        </w:tc>
        <w:tc>
          <w:tcPr>
            <w:tcW w:w="4560" w:type="dxa"/>
          </w:tcPr>
          <w:p w:rsidR="00557A6F" w:rsidRDefault="00557A6F" w:rsidP="00557A6F">
            <w:r>
              <w:t xml:space="preserve">Samisk språk, kultur og samfunnsliv </w:t>
            </w:r>
          </w:p>
        </w:tc>
        <w:tc>
          <w:tcPr>
            <w:tcW w:w="1140" w:type="dxa"/>
          </w:tcPr>
          <w:p w:rsidR="00557A6F" w:rsidRDefault="00557A6F" w:rsidP="00557A6F">
            <w:pPr>
              <w:jc w:val="right"/>
            </w:pPr>
            <w:r>
              <w:t>310 954</w:t>
            </w:r>
          </w:p>
        </w:tc>
        <w:tc>
          <w:tcPr>
            <w:tcW w:w="1140" w:type="dxa"/>
          </w:tcPr>
          <w:p w:rsidR="00557A6F" w:rsidRDefault="00557A6F" w:rsidP="00557A6F">
            <w:pPr>
              <w:jc w:val="right"/>
            </w:pPr>
            <w:r>
              <w:t>497 069</w:t>
            </w:r>
          </w:p>
        </w:tc>
        <w:tc>
          <w:tcPr>
            <w:tcW w:w="1140" w:type="dxa"/>
          </w:tcPr>
          <w:p w:rsidR="00557A6F" w:rsidRDefault="00557A6F" w:rsidP="00557A6F">
            <w:pPr>
              <w:jc w:val="right"/>
            </w:pPr>
            <w:r>
              <w:t>512 861</w:t>
            </w:r>
          </w:p>
        </w:tc>
      </w:tr>
      <w:tr w:rsidR="00557A6F" w:rsidTr="00557A6F">
        <w:trPr>
          <w:trHeight w:val="380"/>
        </w:trPr>
        <w:tc>
          <w:tcPr>
            <w:tcW w:w="1140" w:type="dxa"/>
          </w:tcPr>
          <w:p w:rsidR="00557A6F" w:rsidRDefault="00557A6F" w:rsidP="00557A6F">
            <w:r>
              <w:t>51</w:t>
            </w:r>
          </w:p>
        </w:tc>
        <w:tc>
          <w:tcPr>
            <w:tcW w:w="4560" w:type="dxa"/>
          </w:tcPr>
          <w:p w:rsidR="00557A6F" w:rsidRDefault="00557A6F" w:rsidP="00557A6F">
            <w:r>
              <w:t xml:space="preserve">Divvun </w:t>
            </w:r>
          </w:p>
        </w:tc>
        <w:tc>
          <w:tcPr>
            <w:tcW w:w="1140" w:type="dxa"/>
          </w:tcPr>
          <w:p w:rsidR="00557A6F" w:rsidRDefault="00557A6F" w:rsidP="00557A6F">
            <w:pPr>
              <w:jc w:val="right"/>
            </w:pPr>
          </w:p>
        </w:tc>
        <w:tc>
          <w:tcPr>
            <w:tcW w:w="1140" w:type="dxa"/>
          </w:tcPr>
          <w:p w:rsidR="00557A6F" w:rsidRDefault="00557A6F" w:rsidP="00557A6F">
            <w:pPr>
              <w:jc w:val="right"/>
            </w:pPr>
            <w:r>
              <w:t>7 234</w:t>
            </w:r>
          </w:p>
        </w:tc>
        <w:tc>
          <w:tcPr>
            <w:tcW w:w="1140" w:type="dxa"/>
          </w:tcPr>
          <w:p w:rsidR="00557A6F" w:rsidRDefault="00557A6F" w:rsidP="00557A6F">
            <w:pPr>
              <w:jc w:val="right"/>
            </w:pPr>
            <w:r>
              <w:t>7 428</w:t>
            </w:r>
          </w:p>
        </w:tc>
      </w:tr>
      <w:tr w:rsidR="00557A6F" w:rsidTr="00557A6F">
        <w:trPr>
          <w:trHeight w:val="380"/>
        </w:trPr>
        <w:tc>
          <w:tcPr>
            <w:tcW w:w="1140" w:type="dxa"/>
          </w:tcPr>
          <w:p w:rsidR="00557A6F" w:rsidRDefault="00557A6F" w:rsidP="00557A6F">
            <w:r>
              <w:t>54</w:t>
            </w:r>
          </w:p>
        </w:tc>
        <w:tc>
          <w:tcPr>
            <w:tcW w:w="4560" w:type="dxa"/>
          </w:tcPr>
          <w:p w:rsidR="00557A6F" w:rsidRDefault="00557A6F" w:rsidP="00557A6F">
            <w:r>
              <w:t xml:space="preserve">Samefolkets fond </w:t>
            </w:r>
          </w:p>
        </w:tc>
        <w:tc>
          <w:tcPr>
            <w:tcW w:w="1140" w:type="dxa"/>
          </w:tcPr>
          <w:p w:rsidR="00557A6F" w:rsidRDefault="00557A6F" w:rsidP="00557A6F">
            <w:pPr>
              <w:jc w:val="right"/>
            </w:pPr>
            <w:r>
              <w:t>5 566</w:t>
            </w:r>
          </w:p>
        </w:tc>
        <w:tc>
          <w:tcPr>
            <w:tcW w:w="1140" w:type="dxa"/>
          </w:tcPr>
          <w:p w:rsidR="00557A6F" w:rsidRDefault="00557A6F" w:rsidP="00557A6F">
            <w:pPr>
              <w:jc w:val="right"/>
            </w:pPr>
          </w:p>
        </w:tc>
        <w:tc>
          <w:tcPr>
            <w:tcW w:w="1140" w:type="dxa"/>
          </w:tcPr>
          <w:p w:rsidR="00557A6F" w:rsidRDefault="00557A6F" w:rsidP="00557A6F">
            <w:pPr>
              <w:jc w:val="right"/>
            </w:pPr>
          </w:p>
        </w:tc>
      </w:tr>
      <w:tr w:rsidR="00557A6F" w:rsidTr="00557A6F">
        <w:trPr>
          <w:trHeight w:val="380"/>
        </w:trPr>
        <w:tc>
          <w:tcPr>
            <w:tcW w:w="1140" w:type="dxa"/>
          </w:tcPr>
          <w:p w:rsidR="00557A6F" w:rsidRDefault="00557A6F" w:rsidP="00557A6F">
            <w:r>
              <w:t>55</w:t>
            </w:r>
          </w:p>
        </w:tc>
        <w:tc>
          <w:tcPr>
            <w:tcW w:w="4560" w:type="dxa"/>
          </w:tcPr>
          <w:p w:rsidR="00557A6F" w:rsidRDefault="00557A6F" w:rsidP="00557A6F">
            <w:r>
              <w:t xml:space="preserve">Samisk høgskole </w:t>
            </w:r>
          </w:p>
        </w:tc>
        <w:tc>
          <w:tcPr>
            <w:tcW w:w="1140" w:type="dxa"/>
          </w:tcPr>
          <w:p w:rsidR="00557A6F" w:rsidRDefault="00557A6F" w:rsidP="00557A6F">
            <w:pPr>
              <w:jc w:val="right"/>
            </w:pPr>
          </w:p>
        </w:tc>
        <w:tc>
          <w:tcPr>
            <w:tcW w:w="1140" w:type="dxa"/>
          </w:tcPr>
          <w:p w:rsidR="00557A6F" w:rsidRDefault="00557A6F" w:rsidP="00557A6F">
            <w:pPr>
              <w:jc w:val="right"/>
            </w:pPr>
            <w:r>
              <w:t>5 223</w:t>
            </w:r>
          </w:p>
        </w:tc>
        <w:tc>
          <w:tcPr>
            <w:tcW w:w="1140" w:type="dxa"/>
          </w:tcPr>
          <w:p w:rsidR="00557A6F" w:rsidRDefault="00557A6F" w:rsidP="00557A6F">
            <w:pPr>
              <w:jc w:val="right"/>
            </w:pPr>
            <w:r>
              <w:t>5 363</w:t>
            </w:r>
          </w:p>
        </w:tc>
      </w:tr>
      <w:tr w:rsidR="00557A6F" w:rsidTr="00557A6F">
        <w:trPr>
          <w:trHeight w:val="380"/>
        </w:trPr>
        <w:tc>
          <w:tcPr>
            <w:tcW w:w="1140" w:type="dxa"/>
          </w:tcPr>
          <w:p w:rsidR="00557A6F" w:rsidRDefault="00557A6F" w:rsidP="00557A6F"/>
        </w:tc>
        <w:tc>
          <w:tcPr>
            <w:tcW w:w="4560" w:type="dxa"/>
          </w:tcPr>
          <w:p w:rsidR="00557A6F" w:rsidRDefault="00557A6F" w:rsidP="00557A6F">
            <w:r>
              <w:t>Sum kap. 0560</w:t>
            </w:r>
          </w:p>
        </w:tc>
        <w:tc>
          <w:tcPr>
            <w:tcW w:w="1140" w:type="dxa"/>
          </w:tcPr>
          <w:p w:rsidR="00557A6F" w:rsidRDefault="00557A6F" w:rsidP="00557A6F">
            <w:pPr>
              <w:jc w:val="right"/>
            </w:pPr>
            <w:r>
              <w:t>316 520</w:t>
            </w:r>
          </w:p>
        </w:tc>
        <w:tc>
          <w:tcPr>
            <w:tcW w:w="1140" w:type="dxa"/>
          </w:tcPr>
          <w:p w:rsidR="00557A6F" w:rsidRDefault="00557A6F" w:rsidP="00557A6F">
            <w:pPr>
              <w:jc w:val="right"/>
            </w:pPr>
            <w:r>
              <w:t>509 526</w:t>
            </w:r>
          </w:p>
        </w:tc>
        <w:tc>
          <w:tcPr>
            <w:tcW w:w="1140" w:type="dxa"/>
          </w:tcPr>
          <w:p w:rsidR="00557A6F" w:rsidRDefault="00557A6F" w:rsidP="00557A6F">
            <w:pPr>
              <w:jc w:val="right"/>
            </w:pPr>
            <w:r>
              <w:t>525 652</w:t>
            </w:r>
          </w:p>
        </w:tc>
      </w:tr>
    </w:tbl>
    <w:p w:rsidR="00557A6F" w:rsidRDefault="00557A6F" w:rsidP="00557A6F">
      <w:pPr>
        <w:pStyle w:val="tabell-noter"/>
      </w:pPr>
      <w:r>
        <w:t>Vedrørende 2019: Ved Stortingets vedtak av 21. juni 2019 ble post 50 økt med 13 mill. kroner til 510,1 mill. kroner, jf. Prop. 114 S og Innst. 391 S (2018–2019).</w:t>
      </w:r>
    </w:p>
    <w:p w:rsidR="00557A6F" w:rsidRDefault="00557A6F" w:rsidP="00557A6F">
      <w:pPr>
        <w:pStyle w:val="b-post"/>
      </w:pPr>
      <w:r>
        <w:t>Post 50 Samisk språk, kultur og samfunnsliv</w:t>
      </w:r>
    </w:p>
    <w:p w:rsidR="00557A6F" w:rsidRDefault="00557A6F" w:rsidP="00557A6F">
      <w:r>
        <w:t>Posten utgjør hovedbevilgningen til Sametinget.</w:t>
      </w:r>
    </w:p>
    <w:p w:rsidR="00557A6F" w:rsidRDefault="00557A6F" w:rsidP="00557A6F">
      <w:r>
        <w:t>Sametingets bruk av midler bevilget over statsbudsjettet går fram av Sametingets årsmelding 2018.</w:t>
      </w:r>
    </w:p>
    <w:p w:rsidR="00557A6F" w:rsidRDefault="00557A6F" w:rsidP="00557A6F">
      <w:r>
        <w:t>For en samlet oversikt over bevilgninger til Sametinget og andre samiske formål vises det til pu</w:t>
      </w:r>
      <w:r>
        <w:t>b</w:t>
      </w:r>
      <w:r>
        <w:t xml:space="preserve">likasjonen </w:t>
      </w:r>
      <w:r>
        <w:rPr>
          <w:rStyle w:val="kursiv"/>
          <w:sz w:val="21"/>
          <w:szCs w:val="21"/>
        </w:rPr>
        <w:t>B</w:t>
      </w:r>
      <w:r>
        <w:rPr>
          <w:rStyle w:val="kursiv"/>
          <w:sz w:val="21"/>
          <w:szCs w:val="21"/>
        </w:rPr>
        <w:t>e</w:t>
      </w:r>
      <w:r>
        <w:rPr>
          <w:rStyle w:val="kursiv"/>
          <w:sz w:val="21"/>
          <w:szCs w:val="21"/>
        </w:rPr>
        <w:t>vilgninger til samiske formål i statsbudsjettet 2020</w:t>
      </w:r>
      <w:r>
        <w:t xml:space="preserve"> på regjeringen.no.</w:t>
      </w:r>
    </w:p>
    <w:p w:rsidR="00557A6F" w:rsidRDefault="00557A6F" w:rsidP="00557A6F">
      <w:pPr>
        <w:pStyle w:val="avsnitt-tittel"/>
      </w:pPr>
      <w:r>
        <w:t>Budsjettforslag</w:t>
      </w:r>
    </w:p>
    <w:p w:rsidR="00557A6F" w:rsidRDefault="00557A6F" w:rsidP="00557A6F">
      <w:r>
        <w:t xml:space="preserve">Det foreslås å øke bevilgningen med 13 mill. kroner til å følge opp NOU 2016: 18 </w:t>
      </w:r>
      <w:r>
        <w:rPr>
          <w:rStyle w:val="kursiv"/>
          <w:sz w:val="21"/>
          <w:szCs w:val="21"/>
        </w:rPr>
        <w:t>Hjertespråket</w:t>
      </w:r>
      <w:r>
        <w:t>, til ulike tiltak for styrking av de samiske språkene. Tiltakene som iverksettes skal avklares i konsult</w:t>
      </w:r>
      <w:r>
        <w:t>a</w:t>
      </w:r>
      <w:r>
        <w:t xml:space="preserve">sjoner med Sametinget. </w:t>
      </w:r>
    </w:p>
    <w:p w:rsidR="00557A6F" w:rsidRDefault="00557A6F" w:rsidP="00557A6F">
      <w:r>
        <w:t>Det foreslås å øke bevilgningen med 1 mill. kroner til samiske organisasjoner som arbeider mot mobbing, mot en tilsvarende reduksjon under Kunnskapsdepartementets kap. 225 Tiltak i grun</w:t>
      </w:r>
      <w:r>
        <w:t>n</w:t>
      </w:r>
      <w:r>
        <w:t>opplæringa, post 74 Prosjektti</w:t>
      </w:r>
      <w:r>
        <w:t>l</w:t>
      </w:r>
      <w:r>
        <w:t xml:space="preserve">skudd. Tilsvarende overføring ble også gjort i 2019, jf. Prop. 114 S og Innst. 391 S (2018–2019). </w:t>
      </w:r>
    </w:p>
    <w:p w:rsidR="00557A6F" w:rsidRDefault="00557A6F" w:rsidP="00557A6F">
      <w:r>
        <w:t>I forbindelse med Sametingets arbeid med det internasjonale urfolksspråkåret ble bevilgningen i 2019 økt med 1,1 mill. kroner. Økningen var ettårig og bevilgningen foreslås derfor redusert ti</w:t>
      </w:r>
      <w:r>
        <w:t>l</w:t>
      </w:r>
      <w:r>
        <w:t xml:space="preserve">svarende i 2020. </w:t>
      </w:r>
    </w:p>
    <w:p w:rsidR="00557A6F" w:rsidRDefault="00557A6F" w:rsidP="00557A6F">
      <w:r>
        <w:lastRenderedPageBreak/>
        <w:t>Samlet foreslås en bevilgning på 512,9 mill. kroner i 2020. Bevilgningen forvaltes i sin helhet av Sam</w:t>
      </w:r>
      <w:r>
        <w:t>e</w:t>
      </w:r>
      <w:r>
        <w:t>tinget.</w:t>
      </w:r>
    </w:p>
    <w:p w:rsidR="00557A6F" w:rsidRDefault="00557A6F" w:rsidP="00557A6F">
      <w:pPr>
        <w:pStyle w:val="b-post"/>
      </w:pPr>
      <w:r>
        <w:t>Post 51 Divvun</w:t>
      </w:r>
    </w:p>
    <w:p w:rsidR="00557A6F" w:rsidRDefault="00557A6F" w:rsidP="00557A6F">
      <w:r>
        <w:t>Bevilgningen skal benyttes til drift av Divvun, som er en egen enhet ved Universitetet i Tromsø – Norges arktiske universitet. Divvuns oppgave er å drifte og utvikle retteprogrammer for samiske språk til bruk på ulike dataplattformer. Moderne språkteknologi er en forutsetning for at samiske språk skal kunne ove</w:t>
      </w:r>
      <w:r>
        <w:t>r</w:t>
      </w:r>
      <w:r>
        <w:t>leve som bruksspråk i dagens samfunn.</w:t>
      </w:r>
    </w:p>
    <w:p w:rsidR="00557A6F" w:rsidRDefault="00557A6F" w:rsidP="00557A6F">
      <w:r>
        <w:t>Divvun har i 2018 arbeidet videre med utviklingen av et grammatikkontrollprogram for nords</w:t>
      </w:r>
      <w:r>
        <w:t>a</w:t>
      </w:r>
      <w:r>
        <w:t>misk, og har pl</w:t>
      </w:r>
      <w:r>
        <w:t>a</w:t>
      </w:r>
      <w:r>
        <w:t>ner om å lansere en første versjon i 2019. De har også lansert en stavekontroll. I tillegg har Divvun lansert et installeringsprogram for alle språk, som gjør det lettere å installere de ulike språkverktøyene og som sørger for automatiske oppdateringer. Det er også lansert et oppd</w:t>
      </w:r>
      <w:r>
        <w:t>a</w:t>
      </w:r>
      <w:r>
        <w:t>tert mobiltastatur med innebygd stavekontroll. Divvun samler inn digitale tekster på de samiske språkene for å øke ordtilfanget i ordbøkene. De arbeider også for å legge til rette for administrativ terminologi på lule- og sørsamisk.</w:t>
      </w:r>
    </w:p>
    <w:p w:rsidR="00557A6F" w:rsidRDefault="00557A6F" w:rsidP="00557A6F">
      <w:r>
        <w:t>Divvun har publikumsrettet virksomhet for å spre informasjon til de samiske miljøene om hvilke språkverktøy som finnes og hvordan de kan brukes. Divvun bruker sosiale medier aktivt for å nå ut med informasjon om hva de kan tilby.</w:t>
      </w:r>
    </w:p>
    <w:p w:rsidR="00557A6F" w:rsidRDefault="00557A6F" w:rsidP="00557A6F">
      <w:r>
        <w:t>Divvun vil i 2019 og 2020 arbeide videre med å oppdatere, vedlikeholde og forbedre språkverk</w:t>
      </w:r>
      <w:r>
        <w:t>t</w:t>
      </w:r>
      <w:r>
        <w:t>øyene.</w:t>
      </w:r>
    </w:p>
    <w:p w:rsidR="00557A6F" w:rsidRDefault="00557A6F" w:rsidP="00557A6F">
      <w:r>
        <w:t>Det foreslås en bevilgning på 7,4 mill. kroner i 2020.</w:t>
      </w:r>
    </w:p>
    <w:p w:rsidR="00557A6F" w:rsidRDefault="00557A6F" w:rsidP="00557A6F">
      <w:pPr>
        <w:pStyle w:val="b-post"/>
      </w:pPr>
      <w:r>
        <w:t>Post 54 Samefolkets fond</w:t>
      </w:r>
    </w:p>
    <w:p w:rsidR="00557A6F" w:rsidRDefault="00557A6F" w:rsidP="00557A6F">
      <w:r>
        <w:t xml:space="preserve">Bevilgningen i 2018 utgjorde 5,6 mill. kroner. Nærmere redegjørelse for bruken av midlene ble gitt i Meld. St. 31 (2018–2019) </w:t>
      </w:r>
      <w:r>
        <w:rPr>
          <w:rStyle w:val="kursiv"/>
          <w:sz w:val="21"/>
          <w:szCs w:val="21"/>
        </w:rPr>
        <w:t>Samisk språk, kultur og samfunnsliv</w:t>
      </w:r>
      <w:r>
        <w:t>.</w:t>
      </w:r>
    </w:p>
    <w:p w:rsidR="00557A6F" w:rsidRDefault="00557A6F" w:rsidP="00557A6F">
      <w:r>
        <w:t>Posten ble fra 2019 innlemmet i bevilgningen til Sametinget på kap. 560, post 50.</w:t>
      </w:r>
    </w:p>
    <w:p w:rsidR="00557A6F" w:rsidRDefault="00557A6F" w:rsidP="00557A6F">
      <w:pPr>
        <w:pStyle w:val="b-post"/>
      </w:pPr>
      <w:r>
        <w:t>Post 55 Samisk høgskole</w:t>
      </w:r>
    </w:p>
    <w:p w:rsidR="00557A6F" w:rsidRDefault="00557A6F" w:rsidP="00557A6F">
      <w:r>
        <w:t>Bevilgningen går til drift av Faglig analysegruppe for samisk statistikk og av ordningen Samiske veivisere.</w:t>
      </w:r>
    </w:p>
    <w:p w:rsidR="00557A6F" w:rsidRDefault="00557A6F" w:rsidP="00557A6F">
      <w:r>
        <w:t>På oppdrag fra Kommunal- og moderniseringsdepartementet har Samisk høgskole fungert som se</w:t>
      </w:r>
      <w:r>
        <w:t>k</w:t>
      </w:r>
      <w:r>
        <w:t>retariat for Faglig analysegruppe for samisk statistikk og for ordningen Samiske veivisere. De samiske veiviserne inngår i regjeringens strategi mot hatefulle ytringer 2016–2020.</w:t>
      </w:r>
    </w:p>
    <w:p w:rsidR="00557A6F" w:rsidRDefault="00557A6F" w:rsidP="00557A6F">
      <w:r>
        <w:t>For å supplere foredragene som gjennomføres av Samiske veivisere, utarbeides det egne nettsider med informasjon om samisk språk, kultur og samfunnsliv, spesielt rettet mot ungdom. Samisk høgskole lanserer nettsidene høsten 2019. Sidene vil inkludere materiale fra tidligere Gáldus i</w:t>
      </w:r>
      <w:r>
        <w:t>n</w:t>
      </w:r>
      <w:r>
        <w:t>formasjonsside om urfolks- og menneskere</w:t>
      </w:r>
      <w:r>
        <w:t>t</w:t>
      </w:r>
      <w:r>
        <w:t>tigheter.</w:t>
      </w:r>
    </w:p>
    <w:p w:rsidR="00557A6F" w:rsidRDefault="00557A6F" w:rsidP="00557A6F">
      <w:r>
        <w:t>Samlet foreslås det en bevilgning til Samisk høgskole på 5,4 mill. kroner i 2020 til dekning av u</w:t>
      </w:r>
      <w:r>
        <w:t>t</w:t>
      </w:r>
      <w:r>
        <w:t>gifter til Faglig analysegruppe og Samiske veivisere, herunder en nettside med informasjon om samisk språk, kultur og sa</w:t>
      </w:r>
      <w:r>
        <w:t>m</w:t>
      </w:r>
      <w:r>
        <w:t>funnsliv spesielt rettet mot ungdom.</w:t>
      </w:r>
    </w:p>
    <w:p w:rsidR="00557A6F" w:rsidRDefault="00557A6F" w:rsidP="00557A6F">
      <w:pPr>
        <w:pStyle w:val="b-budkaptit"/>
      </w:pPr>
      <w:r>
        <w:t>Kap. 561 Tilskudd til samiske formål</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7A6F" w:rsidTr="00557A6F">
        <w:trPr>
          <w:trHeight w:val="640"/>
        </w:trPr>
        <w:tc>
          <w:tcPr>
            <w:tcW w:w="1140" w:type="dxa"/>
            <w:shd w:val="clear" w:color="auto" w:fill="FFFFFF"/>
          </w:tcPr>
          <w:p w:rsidR="00557A6F" w:rsidRDefault="00557A6F" w:rsidP="00557A6F">
            <w:pPr>
              <w:pStyle w:val="Tabellnavn"/>
            </w:pPr>
            <w:r>
              <w:t>KPAL</w:t>
            </w:r>
          </w:p>
        </w:tc>
        <w:tc>
          <w:tcPr>
            <w:tcW w:w="4560" w:type="dxa"/>
          </w:tcPr>
          <w:p w:rsidR="00557A6F" w:rsidRDefault="00557A6F" w:rsidP="00557A6F"/>
        </w:tc>
        <w:tc>
          <w:tcPr>
            <w:tcW w:w="1140" w:type="dxa"/>
          </w:tcPr>
          <w:p w:rsidR="00557A6F" w:rsidRDefault="00557A6F" w:rsidP="00557A6F">
            <w:pPr>
              <w:pStyle w:val="Tabellnavn"/>
              <w:jc w:val="right"/>
            </w:pPr>
          </w:p>
        </w:tc>
        <w:tc>
          <w:tcPr>
            <w:tcW w:w="1140" w:type="dxa"/>
          </w:tcPr>
          <w:p w:rsidR="00557A6F" w:rsidRDefault="00557A6F" w:rsidP="00557A6F">
            <w:pPr>
              <w:pStyle w:val="Tabellnavn"/>
              <w:jc w:val="right"/>
            </w:pPr>
          </w:p>
        </w:tc>
        <w:tc>
          <w:tcPr>
            <w:tcW w:w="1140" w:type="dxa"/>
          </w:tcPr>
          <w:p w:rsidR="00557A6F" w:rsidRDefault="00557A6F" w:rsidP="00557A6F">
            <w:pPr>
              <w:jc w:val="right"/>
            </w:pPr>
            <w:r>
              <w:t>(i 1 000 kr)</w:t>
            </w:r>
          </w:p>
        </w:tc>
      </w:tr>
      <w:tr w:rsidR="00557A6F" w:rsidTr="00557A6F">
        <w:trPr>
          <w:trHeight w:val="600"/>
        </w:trPr>
        <w:tc>
          <w:tcPr>
            <w:tcW w:w="1140" w:type="dxa"/>
          </w:tcPr>
          <w:p w:rsidR="00557A6F" w:rsidRDefault="00557A6F" w:rsidP="00557A6F">
            <w:r>
              <w:t>Post</w:t>
            </w:r>
          </w:p>
        </w:tc>
        <w:tc>
          <w:tcPr>
            <w:tcW w:w="4560" w:type="dxa"/>
          </w:tcPr>
          <w:p w:rsidR="00557A6F" w:rsidRDefault="00557A6F" w:rsidP="00557A6F">
            <w:r>
              <w:t>Betegnelse</w:t>
            </w:r>
          </w:p>
        </w:tc>
        <w:tc>
          <w:tcPr>
            <w:tcW w:w="1140" w:type="dxa"/>
          </w:tcPr>
          <w:p w:rsidR="00557A6F" w:rsidRDefault="00557A6F" w:rsidP="00557A6F">
            <w:pPr>
              <w:jc w:val="right"/>
            </w:pPr>
            <w:r>
              <w:t>Regnskap 2018</w:t>
            </w:r>
          </w:p>
        </w:tc>
        <w:tc>
          <w:tcPr>
            <w:tcW w:w="1140" w:type="dxa"/>
          </w:tcPr>
          <w:p w:rsidR="00557A6F" w:rsidRDefault="00557A6F" w:rsidP="00557A6F">
            <w:pPr>
              <w:jc w:val="right"/>
            </w:pPr>
            <w:r>
              <w:t xml:space="preserve">Saldert </w:t>
            </w:r>
            <w:r>
              <w:br/>
              <w:t>budsjett 2019</w:t>
            </w:r>
          </w:p>
        </w:tc>
        <w:tc>
          <w:tcPr>
            <w:tcW w:w="1140" w:type="dxa"/>
          </w:tcPr>
          <w:p w:rsidR="00557A6F" w:rsidRDefault="00557A6F" w:rsidP="00557A6F">
            <w:pPr>
              <w:jc w:val="right"/>
            </w:pPr>
            <w:r>
              <w:t xml:space="preserve">Forslag </w:t>
            </w:r>
            <w:r>
              <w:br/>
              <w:t>2020</w:t>
            </w:r>
          </w:p>
        </w:tc>
      </w:tr>
      <w:tr w:rsidR="00557A6F" w:rsidTr="00557A6F">
        <w:trPr>
          <w:trHeight w:val="380"/>
        </w:trPr>
        <w:tc>
          <w:tcPr>
            <w:tcW w:w="1140" w:type="dxa"/>
          </w:tcPr>
          <w:p w:rsidR="00557A6F" w:rsidRDefault="00557A6F" w:rsidP="00557A6F">
            <w:r>
              <w:t>50</w:t>
            </w:r>
          </w:p>
        </w:tc>
        <w:tc>
          <w:tcPr>
            <w:tcW w:w="4560" w:type="dxa"/>
          </w:tcPr>
          <w:p w:rsidR="00557A6F" w:rsidRDefault="00557A6F" w:rsidP="00557A6F">
            <w:r>
              <w:t xml:space="preserve">Samisk høgskole </w:t>
            </w:r>
          </w:p>
        </w:tc>
        <w:tc>
          <w:tcPr>
            <w:tcW w:w="1140" w:type="dxa"/>
          </w:tcPr>
          <w:p w:rsidR="00557A6F" w:rsidRDefault="00557A6F" w:rsidP="00557A6F">
            <w:pPr>
              <w:jc w:val="right"/>
            </w:pPr>
            <w:r>
              <w:t>5 101</w:t>
            </w:r>
          </w:p>
        </w:tc>
        <w:tc>
          <w:tcPr>
            <w:tcW w:w="1140" w:type="dxa"/>
          </w:tcPr>
          <w:p w:rsidR="00557A6F" w:rsidRDefault="00557A6F" w:rsidP="00557A6F">
            <w:pPr>
              <w:jc w:val="right"/>
            </w:pPr>
          </w:p>
        </w:tc>
        <w:tc>
          <w:tcPr>
            <w:tcW w:w="1140" w:type="dxa"/>
          </w:tcPr>
          <w:p w:rsidR="00557A6F" w:rsidRDefault="00557A6F" w:rsidP="00557A6F">
            <w:pPr>
              <w:jc w:val="right"/>
            </w:pPr>
          </w:p>
        </w:tc>
      </w:tr>
      <w:tr w:rsidR="00557A6F" w:rsidTr="00557A6F">
        <w:trPr>
          <w:trHeight w:val="380"/>
        </w:trPr>
        <w:tc>
          <w:tcPr>
            <w:tcW w:w="1140" w:type="dxa"/>
          </w:tcPr>
          <w:p w:rsidR="00557A6F" w:rsidRDefault="00557A6F" w:rsidP="00557A6F">
            <w:r>
              <w:t>51</w:t>
            </w:r>
          </w:p>
        </w:tc>
        <w:tc>
          <w:tcPr>
            <w:tcW w:w="4560" w:type="dxa"/>
          </w:tcPr>
          <w:p w:rsidR="00557A6F" w:rsidRDefault="00557A6F" w:rsidP="00557A6F">
            <w:r>
              <w:t xml:space="preserve">Divvun </w:t>
            </w:r>
          </w:p>
        </w:tc>
        <w:tc>
          <w:tcPr>
            <w:tcW w:w="1140" w:type="dxa"/>
          </w:tcPr>
          <w:p w:rsidR="00557A6F" w:rsidRDefault="00557A6F" w:rsidP="00557A6F">
            <w:pPr>
              <w:jc w:val="right"/>
            </w:pPr>
            <w:r>
              <w:t>7 065</w:t>
            </w:r>
          </w:p>
        </w:tc>
        <w:tc>
          <w:tcPr>
            <w:tcW w:w="1140" w:type="dxa"/>
          </w:tcPr>
          <w:p w:rsidR="00557A6F" w:rsidRDefault="00557A6F" w:rsidP="00557A6F">
            <w:pPr>
              <w:jc w:val="right"/>
            </w:pPr>
          </w:p>
        </w:tc>
        <w:tc>
          <w:tcPr>
            <w:tcW w:w="1140" w:type="dxa"/>
          </w:tcPr>
          <w:p w:rsidR="00557A6F" w:rsidRDefault="00557A6F" w:rsidP="00557A6F">
            <w:pPr>
              <w:jc w:val="right"/>
            </w:pPr>
          </w:p>
        </w:tc>
      </w:tr>
      <w:tr w:rsidR="00557A6F" w:rsidTr="00557A6F">
        <w:trPr>
          <w:trHeight w:val="380"/>
        </w:trPr>
        <w:tc>
          <w:tcPr>
            <w:tcW w:w="1140" w:type="dxa"/>
          </w:tcPr>
          <w:p w:rsidR="00557A6F" w:rsidRDefault="00557A6F" w:rsidP="00557A6F"/>
        </w:tc>
        <w:tc>
          <w:tcPr>
            <w:tcW w:w="4560" w:type="dxa"/>
          </w:tcPr>
          <w:p w:rsidR="00557A6F" w:rsidRDefault="00557A6F" w:rsidP="00557A6F">
            <w:r>
              <w:t>Sum kap. 0561</w:t>
            </w:r>
          </w:p>
        </w:tc>
        <w:tc>
          <w:tcPr>
            <w:tcW w:w="1140" w:type="dxa"/>
          </w:tcPr>
          <w:p w:rsidR="00557A6F" w:rsidRDefault="00557A6F" w:rsidP="00557A6F">
            <w:pPr>
              <w:jc w:val="right"/>
            </w:pPr>
            <w:r>
              <w:t>12 166</w:t>
            </w:r>
          </w:p>
        </w:tc>
        <w:tc>
          <w:tcPr>
            <w:tcW w:w="1140" w:type="dxa"/>
          </w:tcPr>
          <w:p w:rsidR="00557A6F" w:rsidRDefault="00557A6F" w:rsidP="00557A6F">
            <w:pPr>
              <w:jc w:val="right"/>
            </w:pPr>
          </w:p>
        </w:tc>
        <w:tc>
          <w:tcPr>
            <w:tcW w:w="1140" w:type="dxa"/>
          </w:tcPr>
          <w:p w:rsidR="00557A6F" w:rsidRDefault="00557A6F" w:rsidP="00557A6F">
            <w:pPr>
              <w:jc w:val="right"/>
            </w:pPr>
          </w:p>
        </w:tc>
      </w:tr>
    </w:tbl>
    <w:p w:rsidR="00557A6F" w:rsidRDefault="00557A6F" w:rsidP="00557A6F">
      <w:pPr>
        <w:pStyle w:val="b-post"/>
      </w:pPr>
      <w:r>
        <w:t>Post 50 Samisk høgskole</w:t>
      </w:r>
    </w:p>
    <w:p w:rsidR="00557A6F" w:rsidRDefault="00557A6F" w:rsidP="00557A6F">
      <w:r>
        <w:t>Posten ble i 2019 flyttet til kap. 560, post 55 Samisk høgskole.</w:t>
      </w:r>
    </w:p>
    <w:p w:rsidR="00557A6F" w:rsidRDefault="00557A6F" w:rsidP="00557A6F">
      <w:pPr>
        <w:pStyle w:val="b-post"/>
      </w:pPr>
      <w:r>
        <w:t>Post 51 Divvun</w:t>
      </w:r>
    </w:p>
    <w:p w:rsidR="00557A6F" w:rsidRDefault="00557A6F" w:rsidP="00557A6F">
      <w:r>
        <w:t>Posten ble i 2019 flyttet til kap. 560, post 51 Divvun.</w:t>
      </w:r>
    </w:p>
    <w:p w:rsidR="00557A6F" w:rsidRDefault="00557A6F" w:rsidP="00557A6F">
      <w:pPr>
        <w:pStyle w:val="b-budkaptit"/>
      </w:pPr>
      <w:r>
        <w:t>Kap. 563 Internasjonalt reindriftssenter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7A6F" w:rsidTr="00557A6F">
        <w:trPr>
          <w:trHeight w:val="640"/>
        </w:trPr>
        <w:tc>
          <w:tcPr>
            <w:tcW w:w="1140" w:type="dxa"/>
            <w:shd w:val="clear" w:color="auto" w:fill="FFFFFF"/>
          </w:tcPr>
          <w:p w:rsidR="00557A6F" w:rsidRDefault="00557A6F" w:rsidP="00557A6F">
            <w:pPr>
              <w:pStyle w:val="Tabellnavn"/>
            </w:pPr>
            <w:r>
              <w:t>KPAL</w:t>
            </w:r>
          </w:p>
        </w:tc>
        <w:tc>
          <w:tcPr>
            <w:tcW w:w="4560" w:type="dxa"/>
          </w:tcPr>
          <w:p w:rsidR="00557A6F" w:rsidRDefault="00557A6F" w:rsidP="00557A6F"/>
        </w:tc>
        <w:tc>
          <w:tcPr>
            <w:tcW w:w="1140" w:type="dxa"/>
          </w:tcPr>
          <w:p w:rsidR="00557A6F" w:rsidRDefault="00557A6F" w:rsidP="00557A6F">
            <w:pPr>
              <w:pStyle w:val="Tabellnavn"/>
              <w:jc w:val="right"/>
            </w:pPr>
          </w:p>
        </w:tc>
        <w:tc>
          <w:tcPr>
            <w:tcW w:w="1140" w:type="dxa"/>
          </w:tcPr>
          <w:p w:rsidR="00557A6F" w:rsidRDefault="00557A6F" w:rsidP="00557A6F">
            <w:pPr>
              <w:pStyle w:val="Tabellnavn"/>
              <w:jc w:val="right"/>
            </w:pPr>
          </w:p>
        </w:tc>
        <w:tc>
          <w:tcPr>
            <w:tcW w:w="1140" w:type="dxa"/>
          </w:tcPr>
          <w:p w:rsidR="00557A6F" w:rsidRDefault="00557A6F" w:rsidP="00557A6F">
            <w:pPr>
              <w:jc w:val="right"/>
            </w:pPr>
            <w:r>
              <w:t>(i 1 000 kr)</w:t>
            </w:r>
          </w:p>
        </w:tc>
      </w:tr>
      <w:tr w:rsidR="00557A6F" w:rsidTr="00557A6F">
        <w:trPr>
          <w:trHeight w:val="600"/>
        </w:trPr>
        <w:tc>
          <w:tcPr>
            <w:tcW w:w="1140" w:type="dxa"/>
          </w:tcPr>
          <w:p w:rsidR="00557A6F" w:rsidRDefault="00557A6F" w:rsidP="00557A6F">
            <w:r>
              <w:t>Post</w:t>
            </w:r>
          </w:p>
        </w:tc>
        <w:tc>
          <w:tcPr>
            <w:tcW w:w="4560" w:type="dxa"/>
          </w:tcPr>
          <w:p w:rsidR="00557A6F" w:rsidRDefault="00557A6F" w:rsidP="00557A6F">
            <w:r>
              <w:t>Betegnelse</w:t>
            </w:r>
          </w:p>
        </w:tc>
        <w:tc>
          <w:tcPr>
            <w:tcW w:w="1140" w:type="dxa"/>
          </w:tcPr>
          <w:p w:rsidR="00557A6F" w:rsidRDefault="00557A6F" w:rsidP="00557A6F">
            <w:pPr>
              <w:jc w:val="right"/>
            </w:pPr>
            <w:r>
              <w:t>Regnskap 2018</w:t>
            </w:r>
          </w:p>
        </w:tc>
        <w:tc>
          <w:tcPr>
            <w:tcW w:w="1140" w:type="dxa"/>
          </w:tcPr>
          <w:p w:rsidR="00557A6F" w:rsidRDefault="00557A6F" w:rsidP="00557A6F">
            <w:pPr>
              <w:jc w:val="right"/>
            </w:pPr>
            <w:r>
              <w:t xml:space="preserve">Saldert </w:t>
            </w:r>
            <w:r>
              <w:br/>
              <w:t>budsjett 2019</w:t>
            </w:r>
          </w:p>
        </w:tc>
        <w:tc>
          <w:tcPr>
            <w:tcW w:w="1140" w:type="dxa"/>
          </w:tcPr>
          <w:p w:rsidR="00557A6F" w:rsidRDefault="00557A6F" w:rsidP="00557A6F">
            <w:pPr>
              <w:jc w:val="right"/>
            </w:pPr>
            <w:r>
              <w:t xml:space="preserve">Forslag </w:t>
            </w:r>
            <w:r>
              <w:br/>
              <w:t>2020</w:t>
            </w:r>
          </w:p>
        </w:tc>
      </w:tr>
      <w:tr w:rsidR="00557A6F" w:rsidTr="00557A6F">
        <w:trPr>
          <w:trHeight w:val="380"/>
        </w:trPr>
        <w:tc>
          <w:tcPr>
            <w:tcW w:w="1140" w:type="dxa"/>
          </w:tcPr>
          <w:p w:rsidR="00557A6F" w:rsidRDefault="00557A6F" w:rsidP="00557A6F">
            <w:r>
              <w:t>01</w:t>
            </w:r>
          </w:p>
        </w:tc>
        <w:tc>
          <w:tcPr>
            <w:tcW w:w="4560" w:type="dxa"/>
          </w:tcPr>
          <w:p w:rsidR="00557A6F" w:rsidRDefault="00557A6F" w:rsidP="00557A6F">
            <w:r>
              <w:t xml:space="preserve">Driftsutgifter </w:t>
            </w:r>
          </w:p>
        </w:tc>
        <w:tc>
          <w:tcPr>
            <w:tcW w:w="1140" w:type="dxa"/>
          </w:tcPr>
          <w:p w:rsidR="00557A6F" w:rsidRDefault="00557A6F" w:rsidP="00557A6F">
            <w:pPr>
              <w:jc w:val="right"/>
            </w:pPr>
            <w:r>
              <w:t>6 394</w:t>
            </w:r>
          </w:p>
        </w:tc>
        <w:tc>
          <w:tcPr>
            <w:tcW w:w="1140" w:type="dxa"/>
          </w:tcPr>
          <w:p w:rsidR="00557A6F" w:rsidRDefault="00557A6F" w:rsidP="00557A6F">
            <w:pPr>
              <w:jc w:val="right"/>
            </w:pPr>
            <w:r>
              <w:t>6 393</w:t>
            </w:r>
          </w:p>
        </w:tc>
        <w:tc>
          <w:tcPr>
            <w:tcW w:w="1140" w:type="dxa"/>
          </w:tcPr>
          <w:p w:rsidR="00557A6F" w:rsidRDefault="00557A6F" w:rsidP="00557A6F">
            <w:pPr>
              <w:jc w:val="right"/>
            </w:pPr>
            <w:r>
              <w:t>6 508</w:t>
            </w:r>
          </w:p>
        </w:tc>
      </w:tr>
      <w:tr w:rsidR="00557A6F" w:rsidTr="00557A6F">
        <w:trPr>
          <w:trHeight w:val="380"/>
        </w:trPr>
        <w:tc>
          <w:tcPr>
            <w:tcW w:w="1140" w:type="dxa"/>
          </w:tcPr>
          <w:p w:rsidR="00557A6F" w:rsidRDefault="00557A6F" w:rsidP="00557A6F">
            <w:r>
              <w:t>21</w:t>
            </w:r>
          </w:p>
        </w:tc>
        <w:tc>
          <w:tcPr>
            <w:tcW w:w="4560" w:type="dxa"/>
          </w:tcPr>
          <w:p w:rsidR="00557A6F" w:rsidRDefault="00557A6F" w:rsidP="00557A6F">
            <w:r>
              <w:t>Spesielle driftsutgifter</w:t>
            </w:r>
            <w:r>
              <w:rPr>
                <w:rStyle w:val="kursiv"/>
                <w:sz w:val="21"/>
                <w:szCs w:val="21"/>
              </w:rPr>
              <w:t xml:space="preserve">, kan overføres </w:t>
            </w:r>
          </w:p>
        </w:tc>
        <w:tc>
          <w:tcPr>
            <w:tcW w:w="1140" w:type="dxa"/>
          </w:tcPr>
          <w:p w:rsidR="00557A6F" w:rsidRDefault="00557A6F" w:rsidP="00557A6F">
            <w:pPr>
              <w:jc w:val="right"/>
            </w:pPr>
            <w:r>
              <w:t>1 887</w:t>
            </w:r>
          </w:p>
        </w:tc>
        <w:tc>
          <w:tcPr>
            <w:tcW w:w="1140" w:type="dxa"/>
          </w:tcPr>
          <w:p w:rsidR="00557A6F" w:rsidRDefault="00557A6F" w:rsidP="00557A6F">
            <w:pPr>
              <w:jc w:val="right"/>
            </w:pPr>
            <w:r>
              <w:t>2 717</w:t>
            </w:r>
          </w:p>
        </w:tc>
        <w:tc>
          <w:tcPr>
            <w:tcW w:w="1140" w:type="dxa"/>
          </w:tcPr>
          <w:p w:rsidR="00557A6F" w:rsidRDefault="00557A6F" w:rsidP="00557A6F">
            <w:pPr>
              <w:jc w:val="right"/>
            </w:pPr>
            <w:r>
              <w:t>2 789</w:t>
            </w:r>
          </w:p>
        </w:tc>
      </w:tr>
      <w:tr w:rsidR="00557A6F" w:rsidTr="00557A6F">
        <w:trPr>
          <w:trHeight w:val="380"/>
        </w:trPr>
        <w:tc>
          <w:tcPr>
            <w:tcW w:w="1140" w:type="dxa"/>
          </w:tcPr>
          <w:p w:rsidR="00557A6F" w:rsidRDefault="00557A6F" w:rsidP="00557A6F"/>
        </w:tc>
        <w:tc>
          <w:tcPr>
            <w:tcW w:w="4560" w:type="dxa"/>
          </w:tcPr>
          <w:p w:rsidR="00557A6F" w:rsidRDefault="00557A6F" w:rsidP="00557A6F">
            <w:r>
              <w:t>Sum kap. 0563</w:t>
            </w:r>
          </w:p>
        </w:tc>
        <w:tc>
          <w:tcPr>
            <w:tcW w:w="1140" w:type="dxa"/>
          </w:tcPr>
          <w:p w:rsidR="00557A6F" w:rsidRDefault="00557A6F" w:rsidP="00557A6F">
            <w:pPr>
              <w:jc w:val="right"/>
            </w:pPr>
            <w:r>
              <w:t>8 281</w:t>
            </w:r>
          </w:p>
        </w:tc>
        <w:tc>
          <w:tcPr>
            <w:tcW w:w="1140" w:type="dxa"/>
          </w:tcPr>
          <w:p w:rsidR="00557A6F" w:rsidRDefault="00557A6F" w:rsidP="00557A6F">
            <w:pPr>
              <w:jc w:val="right"/>
            </w:pPr>
            <w:r>
              <w:t>9 110</w:t>
            </w:r>
          </w:p>
        </w:tc>
        <w:tc>
          <w:tcPr>
            <w:tcW w:w="1140" w:type="dxa"/>
          </w:tcPr>
          <w:p w:rsidR="00557A6F" w:rsidRDefault="00557A6F" w:rsidP="00557A6F">
            <w:pPr>
              <w:jc w:val="right"/>
            </w:pPr>
            <w:r>
              <w:t>9 297</w:t>
            </w:r>
          </w:p>
        </w:tc>
      </w:tr>
    </w:tbl>
    <w:p w:rsidR="00557A6F" w:rsidRDefault="00557A6F" w:rsidP="00557A6F">
      <w:pPr>
        <w:pStyle w:val="b-post"/>
      </w:pPr>
      <w:r>
        <w:t>Post 01 Driftsutgifter</w:t>
      </w:r>
    </w:p>
    <w:p w:rsidR="00557A6F" w:rsidRDefault="00557A6F" w:rsidP="00557A6F">
      <w:r>
        <w:t>Internasjonalt reindriftssenter i Kautokeino er en faglig selvstendig institusjon som vedtar egne mål og resultatkrav innenfor de rammene som Kommunal- og moderniseringsdepartementet fastsetter. Arbe</w:t>
      </w:r>
      <w:r>
        <w:t>i</w:t>
      </w:r>
      <w:r>
        <w:t>det skal være rettet mot næringsutøvere, offentlige myndigheter, forskningsmiljøer, andre fagmiljøer, internasjonale organisasjoner og samarbeidsorganer. Styret er senterets øverste organ.</w:t>
      </w:r>
    </w:p>
    <w:p w:rsidR="00557A6F" w:rsidRDefault="00557A6F" w:rsidP="00557A6F">
      <w:r>
        <w:t>Internasjonalt reindriftssenter videreutviklet i 2018 sitt urfolkssamarbeid med institusjoner, organ</w:t>
      </w:r>
      <w:r>
        <w:t>i</w:t>
      </w:r>
      <w:r>
        <w:t>sasjoner og reindriftsfolk i Russland, Kina, Mongolia, Nord-Amerika og Norden. Gjennom folk-til-folk-samarbeid i nordområdene har senteret sammen med Verdensforbundet for reindrift</w:t>
      </w:r>
      <w:r>
        <w:t>s</w:t>
      </w:r>
      <w:r>
        <w:t>folk initiert prosjekter som vektlegger lokal kompetansebygging.</w:t>
      </w:r>
    </w:p>
    <w:p w:rsidR="00557A6F" w:rsidRDefault="00557A6F" w:rsidP="00557A6F">
      <w:r>
        <w:t>Senteret jobber med nye kunnskapsstrategier for urfolkssamarbeid i nordområdene. Senteret ra</w:t>
      </w:r>
      <w:r>
        <w:t>p</w:t>
      </w:r>
      <w:r>
        <w:t>porterer om store endringer i urfolkssamfunn i Arktis på grunn av klimaendringer, globalisering og industr</w:t>
      </w:r>
      <w:r>
        <w:t>i</w:t>
      </w:r>
      <w:r>
        <w:t>ell utbygging.</w:t>
      </w:r>
    </w:p>
    <w:p w:rsidR="00557A6F" w:rsidRDefault="00557A6F" w:rsidP="00557A6F">
      <w:r>
        <w:t>Det foreslås en bevilgning på 6,5 mill. kroner i 2020.</w:t>
      </w:r>
    </w:p>
    <w:p w:rsidR="00557A6F" w:rsidRDefault="00557A6F" w:rsidP="00557A6F">
      <w:r>
        <w:t>Det foreslås at bevilgningen på posten kan overskrides mot tilsvarende merinntekter under kap. 3563, post 03, jf. forslag til romertallsvedtak.</w:t>
      </w:r>
    </w:p>
    <w:p w:rsidR="00557A6F" w:rsidRDefault="00557A6F" w:rsidP="00557A6F">
      <w:pPr>
        <w:pStyle w:val="b-post"/>
      </w:pPr>
      <w:r>
        <w:t>Post 21 Spesielle driftsutgifter, kan overføres</w:t>
      </w:r>
    </w:p>
    <w:p w:rsidR="00557A6F" w:rsidRDefault="00557A6F" w:rsidP="00557A6F">
      <w:r>
        <w:t>Posten dekker utgifter knyttet til eksternt finansierte prosjekter. Bevilgningen foreslås på samme nivå som inntektsbevilgningen under kap. 3563, post 02.</w:t>
      </w:r>
    </w:p>
    <w:p w:rsidR="00557A6F" w:rsidRDefault="00557A6F" w:rsidP="00557A6F">
      <w:r>
        <w:t>Internasjonalt reindriftssenter har i 2018 igangsatt og gjennomført flere internasjonale urfolkspr</w:t>
      </w:r>
      <w:r>
        <w:t>o</w:t>
      </w:r>
      <w:r>
        <w:t>sjekter i nor</w:t>
      </w:r>
      <w:r>
        <w:t>d</w:t>
      </w:r>
      <w:r>
        <w:t>områdene. Sentrale prosjekter har vært forankret i Arktisk råd og FNs matprogram (FAO), i nært samarbeid med Verdensforbundet for reindriftsfolk, nasjonale og internasjonale partnere og akad</w:t>
      </w:r>
      <w:r>
        <w:t>e</w:t>
      </w:r>
      <w:r>
        <w:t>mia. Prosjektene har hatt fokus på tilpasning til endring i arktiske og pastorale urfolkssamfunn, gjennom engasjement av urfolksungdom og lokal kompetanseoppbygging, og har vært gjenstand for internasjonal oppmerksomhet.</w:t>
      </w:r>
    </w:p>
    <w:p w:rsidR="00557A6F" w:rsidRDefault="00557A6F" w:rsidP="00557A6F">
      <w:r>
        <w:t>Det foreslås en bevilgning på 2,8 mill. kroner i 2020.</w:t>
      </w:r>
    </w:p>
    <w:p w:rsidR="00557A6F" w:rsidRDefault="00557A6F" w:rsidP="00557A6F">
      <w:r>
        <w:t>Det foreslås at bevilgningen på posten kan overskrides mot tilsvarende merinntekter under kap. 3563, post 02, jf. forslag til romertallsvedtak.</w:t>
      </w:r>
    </w:p>
    <w:p w:rsidR="00557A6F" w:rsidRDefault="00557A6F" w:rsidP="00557A6F">
      <w:pPr>
        <w:pStyle w:val="b-budkaptit"/>
      </w:pPr>
      <w:r>
        <w:lastRenderedPageBreak/>
        <w:t>Kap. 3563 Internasjonalt reindriftssenter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7A6F" w:rsidTr="00557A6F">
        <w:trPr>
          <w:trHeight w:val="640"/>
        </w:trPr>
        <w:tc>
          <w:tcPr>
            <w:tcW w:w="1140" w:type="dxa"/>
            <w:shd w:val="clear" w:color="auto" w:fill="FFFFFF"/>
          </w:tcPr>
          <w:p w:rsidR="00557A6F" w:rsidRDefault="00557A6F" w:rsidP="00557A6F">
            <w:pPr>
              <w:pStyle w:val="Tabellnavn"/>
            </w:pPr>
            <w:r>
              <w:t>KPAL</w:t>
            </w:r>
          </w:p>
        </w:tc>
        <w:tc>
          <w:tcPr>
            <w:tcW w:w="4560" w:type="dxa"/>
          </w:tcPr>
          <w:p w:rsidR="00557A6F" w:rsidRDefault="00557A6F" w:rsidP="00557A6F"/>
        </w:tc>
        <w:tc>
          <w:tcPr>
            <w:tcW w:w="1140" w:type="dxa"/>
          </w:tcPr>
          <w:p w:rsidR="00557A6F" w:rsidRDefault="00557A6F" w:rsidP="00557A6F">
            <w:pPr>
              <w:pStyle w:val="Tabellnavn"/>
              <w:jc w:val="right"/>
            </w:pPr>
          </w:p>
        </w:tc>
        <w:tc>
          <w:tcPr>
            <w:tcW w:w="1140" w:type="dxa"/>
          </w:tcPr>
          <w:p w:rsidR="00557A6F" w:rsidRDefault="00557A6F" w:rsidP="00557A6F">
            <w:pPr>
              <w:pStyle w:val="Tabellnavn"/>
              <w:jc w:val="right"/>
            </w:pPr>
          </w:p>
        </w:tc>
        <w:tc>
          <w:tcPr>
            <w:tcW w:w="1140" w:type="dxa"/>
          </w:tcPr>
          <w:p w:rsidR="00557A6F" w:rsidRDefault="00557A6F" w:rsidP="00557A6F">
            <w:pPr>
              <w:jc w:val="right"/>
            </w:pPr>
            <w:r>
              <w:t>(i 1 000 kr)</w:t>
            </w:r>
          </w:p>
        </w:tc>
      </w:tr>
      <w:tr w:rsidR="00557A6F" w:rsidTr="00557A6F">
        <w:trPr>
          <w:trHeight w:val="600"/>
        </w:trPr>
        <w:tc>
          <w:tcPr>
            <w:tcW w:w="1140" w:type="dxa"/>
          </w:tcPr>
          <w:p w:rsidR="00557A6F" w:rsidRDefault="00557A6F" w:rsidP="00557A6F">
            <w:r>
              <w:t>Post</w:t>
            </w:r>
          </w:p>
        </w:tc>
        <w:tc>
          <w:tcPr>
            <w:tcW w:w="4560" w:type="dxa"/>
          </w:tcPr>
          <w:p w:rsidR="00557A6F" w:rsidRDefault="00557A6F" w:rsidP="00557A6F">
            <w:r>
              <w:t>Betegnelse</w:t>
            </w:r>
          </w:p>
        </w:tc>
        <w:tc>
          <w:tcPr>
            <w:tcW w:w="1140" w:type="dxa"/>
          </w:tcPr>
          <w:p w:rsidR="00557A6F" w:rsidRDefault="00557A6F" w:rsidP="00557A6F">
            <w:pPr>
              <w:jc w:val="right"/>
            </w:pPr>
            <w:r>
              <w:t>Regnskap 2018</w:t>
            </w:r>
          </w:p>
        </w:tc>
        <w:tc>
          <w:tcPr>
            <w:tcW w:w="1140" w:type="dxa"/>
          </w:tcPr>
          <w:p w:rsidR="00557A6F" w:rsidRDefault="00557A6F" w:rsidP="00557A6F">
            <w:pPr>
              <w:jc w:val="right"/>
            </w:pPr>
            <w:r>
              <w:t xml:space="preserve">Saldert </w:t>
            </w:r>
            <w:r>
              <w:br/>
              <w:t>budsjett 2019</w:t>
            </w:r>
          </w:p>
        </w:tc>
        <w:tc>
          <w:tcPr>
            <w:tcW w:w="1140" w:type="dxa"/>
          </w:tcPr>
          <w:p w:rsidR="00557A6F" w:rsidRDefault="00557A6F" w:rsidP="00557A6F">
            <w:pPr>
              <w:jc w:val="right"/>
            </w:pPr>
            <w:r>
              <w:t xml:space="preserve">Forslag </w:t>
            </w:r>
            <w:r>
              <w:br/>
              <w:t>2020</w:t>
            </w:r>
          </w:p>
        </w:tc>
      </w:tr>
      <w:tr w:rsidR="00557A6F" w:rsidTr="00557A6F">
        <w:trPr>
          <w:trHeight w:val="380"/>
        </w:trPr>
        <w:tc>
          <w:tcPr>
            <w:tcW w:w="1140" w:type="dxa"/>
          </w:tcPr>
          <w:p w:rsidR="00557A6F" w:rsidRDefault="00557A6F" w:rsidP="00557A6F">
            <w:r>
              <w:t>02</w:t>
            </w:r>
          </w:p>
        </w:tc>
        <w:tc>
          <w:tcPr>
            <w:tcW w:w="4560" w:type="dxa"/>
          </w:tcPr>
          <w:p w:rsidR="00557A6F" w:rsidRDefault="00557A6F" w:rsidP="00557A6F">
            <w:r>
              <w:t xml:space="preserve">Diverse inntekter </w:t>
            </w:r>
          </w:p>
        </w:tc>
        <w:tc>
          <w:tcPr>
            <w:tcW w:w="1140" w:type="dxa"/>
          </w:tcPr>
          <w:p w:rsidR="00557A6F" w:rsidRDefault="00557A6F" w:rsidP="00557A6F">
            <w:pPr>
              <w:jc w:val="right"/>
            </w:pPr>
            <w:r>
              <w:t>2 797</w:t>
            </w:r>
          </w:p>
        </w:tc>
        <w:tc>
          <w:tcPr>
            <w:tcW w:w="1140" w:type="dxa"/>
          </w:tcPr>
          <w:p w:rsidR="00557A6F" w:rsidRDefault="00557A6F" w:rsidP="00557A6F">
            <w:pPr>
              <w:jc w:val="right"/>
            </w:pPr>
            <w:r>
              <w:t>2 717</w:t>
            </w:r>
          </w:p>
        </w:tc>
        <w:tc>
          <w:tcPr>
            <w:tcW w:w="1140" w:type="dxa"/>
          </w:tcPr>
          <w:p w:rsidR="00557A6F" w:rsidRDefault="00557A6F" w:rsidP="00557A6F">
            <w:pPr>
              <w:jc w:val="right"/>
            </w:pPr>
            <w:r>
              <w:t>2 789</w:t>
            </w:r>
          </w:p>
        </w:tc>
      </w:tr>
      <w:tr w:rsidR="00557A6F" w:rsidTr="00557A6F">
        <w:trPr>
          <w:trHeight w:val="380"/>
        </w:trPr>
        <w:tc>
          <w:tcPr>
            <w:tcW w:w="1140" w:type="dxa"/>
          </w:tcPr>
          <w:p w:rsidR="00557A6F" w:rsidRDefault="00557A6F" w:rsidP="00557A6F">
            <w:r>
              <w:t>03</w:t>
            </w:r>
          </w:p>
        </w:tc>
        <w:tc>
          <w:tcPr>
            <w:tcW w:w="4560" w:type="dxa"/>
          </w:tcPr>
          <w:p w:rsidR="00557A6F" w:rsidRDefault="00557A6F" w:rsidP="00557A6F">
            <w:r>
              <w:t xml:space="preserve">Leieinntekter </w:t>
            </w:r>
          </w:p>
        </w:tc>
        <w:tc>
          <w:tcPr>
            <w:tcW w:w="1140" w:type="dxa"/>
          </w:tcPr>
          <w:p w:rsidR="00557A6F" w:rsidRDefault="00557A6F" w:rsidP="00557A6F">
            <w:pPr>
              <w:jc w:val="right"/>
            </w:pPr>
            <w:r>
              <w:t>329</w:t>
            </w:r>
          </w:p>
        </w:tc>
        <w:tc>
          <w:tcPr>
            <w:tcW w:w="1140" w:type="dxa"/>
          </w:tcPr>
          <w:p w:rsidR="00557A6F" w:rsidRDefault="00557A6F" w:rsidP="00557A6F">
            <w:pPr>
              <w:jc w:val="right"/>
            </w:pPr>
            <w:r>
              <w:t>271</w:t>
            </w:r>
          </w:p>
        </w:tc>
        <w:tc>
          <w:tcPr>
            <w:tcW w:w="1140" w:type="dxa"/>
          </w:tcPr>
          <w:p w:rsidR="00557A6F" w:rsidRDefault="00557A6F" w:rsidP="00557A6F">
            <w:pPr>
              <w:jc w:val="right"/>
            </w:pPr>
            <w:r>
              <w:t>279</w:t>
            </w:r>
          </w:p>
        </w:tc>
      </w:tr>
      <w:tr w:rsidR="00557A6F" w:rsidTr="00557A6F">
        <w:trPr>
          <w:trHeight w:val="380"/>
        </w:trPr>
        <w:tc>
          <w:tcPr>
            <w:tcW w:w="1140" w:type="dxa"/>
          </w:tcPr>
          <w:p w:rsidR="00557A6F" w:rsidRDefault="00557A6F" w:rsidP="00557A6F"/>
        </w:tc>
        <w:tc>
          <w:tcPr>
            <w:tcW w:w="4560" w:type="dxa"/>
          </w:tcPr>
          <w:p w:rsidR="00557A6F" w:rsidRDefault="00557A6F" w:rsidP="00557A6F">
            <w:r>
              <w:t>Sum kap. 3563</w:t>
            </w:r>
          </w:p>
        </w:tc>
        <w:tc>
          <w:tcPr>
            <w:tcW w:w="1140" w:type="dxa"/>
          </w:tcPr>
          <w:p w:rsidR="00557A6F" w:rsidRDefault="00557A6F" w:rsidP="00557A6F">
            <w:pPr>
              <w:jc w:val="right"/>
            </w:pPr>
            <w:r>
              <w:t>3 126</w:t>
            </w:r>
          </w:p>
        </w:tc>
        <w:tc>
          <w:tcPr>
            <w:tcW w:w="1140" w:type="dxa"/>
          </w:tcPr>
          <w:p w:rsidR="00557A6F" w:rsidRDefault="00557A6F" w:rsidP="00557A6F">
            <w:pPr>
              <w:jc w:val="right"/>
            </w:pPr>
            <w:r>
              <w:t>2 988</w:t>
            </w:r>
          </w:p>
        </w:tc>
        <w:tc>
          <w:tcPr>
            <w:tcW w:w="1140" w:type="dxa"/>
          </w:tcPr>
          <w:p w:rsidR="00557A6F" w:rsidRDefault="00557A6F" w:rsidP="00557A6F">
            <w:pPr>
              <w:jc w:val="right"/>
            </w:pPr>
            <w:r>
              <w:t>3 068</w:t>
            </w:r>
          </w:p>
        </w:tc>
      </w:tr>
    </w:tbl>
    <w:p w:rsidR="00557A6F" w:rsidRDefault="00557A6F" w:rsidP="00557A6F">
      <w:pPr>
        <w:pStyle w:val="b-post"/>
      </w:pPr>
      <w:r>
        <w:t>Post 02 Diverse inntekter</w:t>
      </w:r>
    </w:p>
    <w:p w:rsidR="00557A6F" w:rsidRDefault="00557A6F" w:rsidP="00557A6F">
      <w:r>
        <w:t>På posten føres inntekter knyttet til eksternt finansierte prosjekter i regi av Internasjonalt rei</w:t>
      </w:r>
      <w:r>
        <w:t>n</w:t>
      </w:r>
      <w:r>
        <w:t>driftssenter. Tilhørende utgifter føres på kap. 563, post 21.</w:t>
      </w:r>
    </w:p>
    <w:p w:rsidR="00557A6F" w:rsidRDefault="00557A6F" w:rsidP="00557A6F">
      <w:r>
        <w:t>Det foreslås en bevilgning på 2,8 mill. kroner i 2020.</w:t>
      </w:r>
    </w:p>
    <w:p w:rsidR="00557A6F" w:rsidRDefault="00557A6F" w:rsidP="00557A6F">
      <w:pPr>
        <w:pStyle w:val="b-post"/>
      </w:pPr>
      <w:r>
        <w:t>Post 03 Leieinntekter</w:t>
      </w:r>
    </w:p>
    <w:p w:rsidR="00557A6F" w:rsidRDefault="00557A6F" w:rsidP="00557A6F">
      <w:r>
        <w:t>På posten føres leieinntekter fra Internasjonalt reindriftssenters utleie av ledige kontorarealer ved det samiske vitenskapsbygget Diehtosiida i Kautokeino.</w:t>
      </w:r>
    </w:p>
    <w:p w:rsidR="00557A6F" w:rsidRDefault="00557A6F" w:rsidP="00557A6F">
      <w:r>
        <w:t>Det foreslås en bevilgning på 279 000 kroner i 2020.</w:t>
      </w:r>
    </w:p>
    <w:p w:rsidR="00557A6F" w:rsidRDefault="00557A6F" w:rsidP="00557A6F">
      <w:pPr>
        <w:pStyle w:val="b-progkat"/>
      </w:pPr>
      <w:r>
        <w:lastRenderedPageBreak/>
        <w:t>Programkategori 13.67 Nasjonale minoriteter</w:t>
      </w:r>
    </w:p>
    <w:p w:rsidR="00557A6F" w:rsidRDefault="00557A6F" w:rsidP="00557A6F">
      <w:pPr>
        <w:pStyle w:val="avsnitt-tittel"/>
      </w:pPr>
      <w:r>
        <w:t>Utgifter under programkategori 13.67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557A6F" w:rsidTr="00557A6F">
        <w:trPr>
          <w:trHeight w:val="640"/>
        </w:trPr>
        <w:tc>
          <w:tcPr>
            <w:tcW w:w="1020" w:type="dxa"/>
            <w:shd w:val="clear" w:color="auto" w:fill="FFFFFF"/>
          </w:tcPr>
          <w:p w:rsidR="00557A6F" w:rsidRDefault="00557A6F" w:rsidP="00557A6F">
            <w:pPr>
              <w:pStyle w:val="Tabellnavn"/>
            </w:pPr>
            <w:r>
              <w:t>PIKL</w:t>
            </w:r>
          </w:p>
        </w:tc>
        <w:tc>
          <w:tcPr>
            <w:tcW w:w="4080" w:type="dxa"/>
          </w:tcPr>
          <w:p w:rsidR="00557A6F" w:rsidRDefault="00557A6F" w:rsidP="00557A6F"/>
        </w:tc>
        <w:tc>
          <w:tcPr>
            <w:tcW w:w="1020" w:type="dxa"/>
          </w:tcPr>
          <w:p w:rsidR="00557A6F" w:rsidRDefault="00557A6F" w:rsidP="00557A6F">
            <w:pPr>
              <w:pStyle w:val="Tabellnavn"/>
              <w:jc w:val="right"/>
            </w:pPr>
          </w:p>
        </w:tc>
        <w:tc>
          <w:tcPr>
            <w:tcW w:w="1020" w:type="dxa"/>
          </w:tcPr>
          <w:p w:rsidR="00557A6F" w:rsidRDefault="00557A6F" w:rsidP="00557A6F">
            <w:pPr>
              <w:pStyle w:val="Tabellnavn"/>
              <w:jc w:val="right"/>
            </w:pPr>
          </w:p>
        </w:tc>
        <w:tc>
          <w:tcPr>
            <w:tcW w:w="1020" w:type="dxa"/>
          </w:tcPr>
          <w:p w:rsidR="00557A6F" w:rsidRDefault="00557A6F" w:rsidP="00557A6F">
            <w:pPr>
              <w:pStyle w:val="Tabellnavn"/>
              <w:jc w:val="right"/>
            </w:pPr>
          </w:p>
        </w:tc>
        <w:tc>
          <w:tcPr>
            <w:tcW w:w="1020" w:type="dxa"/>
          </w:tcPr>
          <w:p w:rsidR="00557A6F" w:rsidRDefault="00557A6F" w:rsidP="00557A6F">
            <w:pPr>
              <w:jc w:val="right"/>
            </w:pPr>
            <w:r>
              <w:t>(i 1 000 kr)</w:t>
            </w:r>
          </w:p>
        </w:tc>
      </w:tr>
      <w:tr w:rsidR="00557A6F" w:rsidTr="00557A6F">
        <w:trPr>
          <w:trHeight w:val="600"/>
        </w:trPr>
        <w:tc>
          <w:tcPr>
            <w:tcW w:w="1020" w:type="dxa"/>
          </w:tcPr>
          <w:p w:rsidR="00557A6F" w:rsidRDefault="00557A6F" w:rsidP="00557A6F">
            <w:r>
              <w:t>Kap.</w:t>
            </w:r>
          </w:p>
        </w:tc>
        <w:tc>
          <w:tcPr>
            <w:tcW w:w="4080" w:type="dxa"/>
          </w:tcPr>
          <w:p w:rsidR="00557A6F" w:rsidRDefault="00557A6F" w:rsidP="00557A6F">
            <w:r>
              <w:t>Betegnelse</w:t>
            </w:r>
          </w:p>
        </w:tc>
        <w:tc>
          <w:tcPr>
            <w:tcW w:w="1020" w:type="dxa"/>
          </w:tcPr>
          <w:p w:rsidR="00557A6F" w:rsidRDefault="00557A6F" w:rsidP="00557A6F">
            <w:pPr>
              <w:jc w:val="right"/>
            </w:pPr>
            <w:r>
              <w:t>Reg</w:t>
            </w:r>
            <w:r>
              <w:t>n</w:t>
            </w:r>
            <w:r>
              <w:t>skap 2018</w:t>
            </w:r>
          </w:p>
        </w:tc>
        <w:tc>
          <w:tcPr>
            <w:tcW w:w="1020" w:type="dxa"/>
          </w:tcPr>
          <w:p w:rsidR="00557A6F" w:rsidRDefault="00557A6F" w:rsidP="00557A6F">
            <w:pPr>
              <w:jc w:val="right"/>
            </w:pPr>
            <w:r>
              <w:t xml:space="preserve">Saldert </w:t>
            </w:r>
            <w:r>
              <w:br/>
              <w:t>budsjett 2019</w:t>
            </w:r>
          </w:p>
        </w:tc>
        <w:tc>
          <w:tcPr>
            <w:tcW w:w="1020" w:type="dxa"/>
          </w:tcPr>
          <w:p w:rsidR="00557A6F" w:rsidRDefault="00557A6F" w:rsidP="00557A6F">
            <w:pPr>
              <w:jc w:val="right"/>
            </w:pPr>
            <w:r>
              <w:t xml:space="preserve">Forslag </w:t>
            </w:r>
            <w:r>
              <w:br/>
              <w:t>2020</w:t>
            </w:r>
          </w:p>
        </w:tc>
        <w:tc>
          <w:tcPr>
            <w:tcW w:w="1020" w:type="dxa"/>
          </w:tcPr>
          <w:p w:rsidR="00557A6F" w:rsidRDefault="00557A6F" w:rsidP="00557A6F">
            <w:pPr>
              <w:jc w:val="right"/>
            </w:pPr>
            <w:r>
              <w:t xml:space="preserve">Pst. endr. </w:t>
            </w:r>
            <w:r>
              <w:br/>
              <w:t>19/20</w:t>
            </w:r>
          </w:p>
        </w:tc>
      </w:tr>
      <w:tr w:rsidR="00557A6F" w:rsidTr="00557A6F">
        <w:trPr>
          <w:trHeight w:val="380"/>
        </w:trPr>
        <w:tc>
          <w:tcPr>
            <w:tcW w:w="1020" w:type="dxa"/>
          </w:tcPr>
          <w:p w:rsidR="00557A6F" w:rsidRDefault="00557A6F" w:rsidP="00557A6F">
            <w:r>
              <w:t>567</w:t>
            </w:r>
          </w:p>
        </w:tc>
        <w:tc>
          <w:tcPr>
            <w:tcW w:w="4080" w:type="dxa"/>
          </w:tcPr>
          <w:p w:rsidR="00557A6F" w:rsidRDefault="00557A6F" w:rsidP="00557A6F">
            <w:r>
              <w:t>Nasjonale minoriteter</w:t>
            </w:r>
          </w:p>
        </w:tc>
        <w:tc>
          <w:tcPr>
            <w:tcW w:w="1020" w:type="dxa"/>
          </w:tcPr>
          <w:p w:rsidR="00557A6F" w:rsidRDefault="00557A6F" w:rsidP="00557A6F">
            <w:pPr>
              <w:jc w:val="right"/>
            </w:pPr>
            <w:r>
              <w:t>36 690</w:t>
            </w:r>
          </w:p>
        </w:tc>
        <w:tc>
          <w:tcPr>
            <w:tcW w:w="1020" w:type="dxa"/>
          </w:tcPr>
          <w:p w:rsidR="00557A6F" w:rsidRDefault="00557A6F" w:rsidP="00557A6F">
            <w:pPr>
              <w:jc w:val="right"/>
            </w:pPr>
            <w:r>
              <w:t>48 516</w:t>
            </w:r>
          </w:p>
        </w:tc>
        <w:tc>
          <w:tcPr>
            <w:tcW w:w="1020" w:type="dxa"/>
          </w:tcPr>
          <w:p w:rsidR="00557A6F" w:rsidRDefault="00557A6F" w:rsidP="00557A6F">
            <w:pPr>
              <w:jc w:val="right"/>
            </w:pPr>
            <w:r>
              <w:t>48 718</w:t>
            </w:r>
          </w:p>
        </w:tc>
        <w:tc>
          <w:tcPr>
            <w:tcW w:w="1020" w:type="dxa"/>
          </w:tcPr>
          <w:p w:rsidR="00557A6F" w:rsidRDefault="00557A6F" w:rsidP="00557A6F">
            <w:pPr>
              <w:jc w:val="right"/>
            </w:pPr>
            <w:r>
              <w:t>0,4</w:t>
            </w:r>
          </w:p>
        </w:tc>
      </w:tr>
      <w:tr w:rsidR="00557A6F" w:rsidTr="00557A6F">
        <w:trPr>
          <w:trHeight w:val="380"/>
        </w:trPr>
        <w:tc>
          <w:tcPr>
            <w:tcW w:w="1020" w:type="dxa"/>
          </w:tcPr>
          <w:p w:rsidR="00557A6F" w:rsidRDefault="00557A6F" w:rsidP="00557A6F"/>
        </w:tc>
        <w:tc>
          <w:tcPr>
            <w:tcW w:w="4080" w:type="dxa"/>
          </w:tcPr>
          <w:p w:rsidR="00557A6F" w:rsidRDefault="00557A6F" w:rsidP="00557A6F">
            <w:r>
              <w:t>Sum kategori 13.67</w:t>
            </w:r>
          </w:p>
        </w:tc>
        <w:tc>
          <w:tcPr>
            <w:tcW w:w="1020" w:type="dxa"/>
          </w:tcPr>
          <w:p w:rsidR="00557A6F" w:rsidRDefault="00557A6F" w:rsidP="00557A6F">
            <w:pPr>
              <w:jc w:val="right"/>
            </w:pPr>
            <w:r>
              <w:t>36 690</w:t>
            </w:r>
          </w:p>
        </w:tc>
        <w:tc>
          <w:tcPr>
            <w:tcW w:w="1020" w:type="dxa"/>
          </w:tcPr>
          <w:p w:rsidR="00557A6F" w:rsidRDefault="00557A6F" w:rsidP="00557A6F">
            <w:pPr>
              <w:jc w:val="right"/>
            </w:pPr>
            <w:r>
              <w:t>48 516</w:t>
            </w:r>
          </w:p>
        </w:tc>
        <w:tc>
          <w:tcPr>
            <w:tcW w:w="1020" w:type="dxa"/>
          </w:tcPr>
          <w:p w:rsidR="00557A6F" w:rsidRDefault="00557A6F" w:rsidP="00557A6F">
            <w:pPr>
              <w:jc w:val="right"/>
            </w:pPr>
            <w:r>
              <w:t>48 718</w:t>
            </w:r>
          </w:p>
        </w:tc>
        <w:tc>
          <w:tcPr>
            <w:tcW w:w="1020" w:type="dxa"/>
          </w:tcPr>
          <w:p w:rsidR="00557A6F" w:rsidRDefault="00557A6F" w:rsidP="00557A6F">
            <w:pPr>
              <w:jc w:val="right"/>
            </w:pPr>
            <w:r>
              <w:t>0,4</w:t>
            </w:r>
          </w:p>
        </w:tc>
      </w:tr>
    </w:tbl>
    <w:p w:rsidR="00557A6F" w:rsidRDefault="00557A6F" w:rsidP="00557A6F">
      <w:pPr>
        <w:pStyle w:val="Undertittel"/>
      </w:pPr>
      <w:r>
        <w:t>Ansvarsområder</w:t>
      </w:r>
    </w:p>
    <w:p w:rsidR="00557A6F" w:rsidRDefault="00557A6F" w:rsidP="00557A6F">
      <w:r>
        <w:t>Etniske, religiøse og/eller språklige minoriteter med langvarig tilknytning til et land regnes som nasjon</w:t>
      </w:r>
      <w:r>
        <w:t>a</w:t>
      </w:r>
      <w:r>
        <w:t>le minoriteter. Jøder, kvener/norskfinner, rom, romanifolk/tatere og skogfinner er anerkjent som nasj</w:t>
      </w:r>
      <w:r>
        <w:t>o</w:t>
      </w:r>
      <w:r>
        <w:t>nale minoriteter i Norge. Kommunal- og moderniseringsdepartementet legger vekt på den enkeltes selvidentifisering når det gjelder spørsmålet om hvem som tilhører en nasjonal min</w:t>
      </w:r>
      <w:r>
        <w:t>o</w:t>
      </w:r>
      <w:r>
        <w:t>ritet.</w:t>
      </w:r>
    </w:p>
    <w:p w:rsidR="00557A6F" w:rsidRDefault="00557A6F" w:rsidP="00557A6F">
      <w:r>
        <w:t>Norges politikk overfor nasjonale minoriteter bygger på prinsippet om likeverd og i</w:t>
      </w:r>
      <w:r>
        <w:t>k</w:t>
      </w:r>
      <w:r>
        <w:t>ke-diskriminering og er forankret i internasjonale menneskerettighetskonvensjoner, som Europar</w:t>
      </w:r>
      <w:r>
        <w:t>å</w:t>
      </w:r>
      <w:r>
        <w:t>dets rammekonvensjon om beskyttelse av nasjonale minoriteter, den europeiske pakten om regions- eller minoritetsspråk og FN-konvensjonen om sivile og politiske rettigheter.</w:t>
      </w:r>
    </w:p>
    <w:p w:rsidR="00557A6F" w:rsidRDefault="00557A6F" w:rsidP="00557A6F">
      <w:r>
        <w:t>Kommunal- og moderniseringsdepartementet har ansvar for å samordne statlig politikk som berører nasjonale minoriteter, og skal arbeide for helhet og sammenheng i politikken, på tvers av sektorer og forvaltningsnivåer. Hvert departement har ansvar for å følge opp den statlige politikken innenfor sin se</w:t>
      </w:r>
      <w:r>
        <w:t>k</w:t>
      </w:r>
      <w:r>
        <w:t>tor. Det er statens ansvar å sikre at hensynet til nasjonale minoriteter blir ivaretatt. Staten legger til grunn at kommuner og fylkeskommuner også følger opp aktuelle forpliktelser.</w:t>
      </w:r>
    </w:p>
    <w:p w:rsidR="00557A6F" w:rsidRDefault="00557A6F" w:rsidP="00557A6F">
      <w:pPr>
        <w:pStyle w:val="Undertittel"/>
      </w:pPr>
      <w:r>
        <w:t>Utviklingstrekk og utfordringer</w:t>
      </w:r>
    </w:p>
    <w:p w:rsidR="00557A6F" w:rsidRDefault="00557A6F" w:rsidP="00557A6F">
      <w:r>
        <w:t>Det er positivt at flere blant de nasjonale minoritetene taler sin sak, både i offentligheten og overfor my</w:t>
      </w:r>
      <w:r>
        <w:t>n</w:t>
      </w:r>
      <w:r>
        <w:t xml:space="preserve">dighetene. De nasjonale minoritetsgruppene har ulike saker de er opptatt av og forskjellige ønsker, behov og interesser. </w:t>
      </w:r>
    </w:p>
    <w:p w:rsidR="00557A6F" w:rsidRDefault="00557A6F" w:rsidP="00557A6F">
      <w:r>
        <w:t>De nasjonale minoritetene har ulike historier i Norge. Flere har opplevd statlige overgrep og ne</w:t>
      </w:r>
      <w:r>
        <w:t>d</w:t>
      </w:r>
      <w:r>
        <w:t>brytende pol</w:t>
      </w:r>
      <w:r>
        <w:t>i</w:t>
      </w:r>
      <w:r>
        <w:t xml:space="preserve">tikk, noe som fremdeles kan påvirke forholdet gruppene har til myndighetene. Noen opplever også diskriminering og hatytringer i dag. Det er en utfordring at det er lavt kunnskapsnivå i befolkningen om nasjonale minoriteters historie og deres situasjon. </w:t>
      </w:r>
    </w:p>
    <w:p w:rsidR="00557A6F" w:rsidRDefault="00557A6F" w:rsidP="00557A6F">
      <w:r>
        <w:t>Kommunal- og moderniseringsdepartementet har startet arbeidet med en ny stortingsmelding om politikk og tiltak overfor nasjonale minoriteter i samarbeid med berørte departementer. Arbeidet gjøres i kontakt med de nasjonale minoritetene. I forbindelse med meldingsarbeidet vil tilskudd</w:t>
      </w:r>
      <w:r>
        <w:t>s</w:t>
      </w:r>
      <w:r>
        <w:t>ordningene for de nasjonale minorit</w:t>
      </w:r>
      <w:r>
        <w:t>e</w:t>
      </w:r>
      <w:r>
        <w:t>tene være ett av virkemidlene som blir evaluert. Meldingen skal etter planen legges fram innen utgangen av 2020.</w:t>
      </w:r>
    </w:p>
    <w:p w:rsidR="00557A6F" w:rsidRDefault="00557A6F" w:rsidP="00557A6F">
      <w:pPr>
        <w:pStyle w:val="Undertittel"/>
      </w:pPr>
      <w:r>
        <w:t>Mål og rapportering, strategier og tiltak</w:t>
      </w:r>
    </w:p>
    <w:p w:rsidR="009017E2" w:rsidRPr="009017E2" w:rsidRDefault="009017E2" w:rsidP="009017E2">
      <w:pPr>
        <w:pStyle w:val="tabell-tittel"/>
      </w:pPr>
      <w:r>
        <w:t>Mål for programkategori 13.67 Nasjonale minoriteter</w:t>
      </w:r>
    </w:p>
    <w:p w:rsidR="00557A6F" w:rsidRDefault="00557A6F" w:rsidP="00557A6F">
      <w:pPr>
        <w:pStyle w:val="Tabellnavn"/>
      </w:pPr>
      <w:r>
        <w:t>02J0xx2</w:t>
      </w:r>
    </w:p>
    <w:tbl>
      <w:tblPr>
        <w:tblStyle w:val="StandardTabell"/>
        <w:tblW w:w="0" w:type="auto"/>
        <w:tblLayout w:type="fixed"/>
        <w:tblLook w:val="04A0" w:firstRow="1" w:lastRow="0" w:firstColumn="1" w:lastColumn="0" w:noHBand="0" w:noVBand="1"/>
      </w:tblPr>
      <w:tblGrid>
        <w:gridCol w:w="9200"/>
      </w:tblGrid>
      <w:tr w:rsidR="00557A6F" w:rsidTr="00557A6F">
        <w:trPr>
          <w:trHeight w:val="620"/>
        </w:trPr>
        <w:tc>
          <w:tcPr>
            <w:tcW w:w="9200" w:type="dxa"/>
          </w:tcPr>
          <w:p w:rsidR="00557A6F" w:rsidRDefault="00557A6F" w:rsidP="009017E2">
            <w:r>
              <w:t>1.</w:t>
            </w:r>
            <w:r>
              <w:tab/>
              <w:t>Nasjonale minoriteter deltar aktivt i samfunnet og kan uttrykke og videreutvikle sine språk og sin kultur</w:t>
            </w:r>
          </w:p>
        </w:tc>
      </w:tr>
      <w:tr w:rsidR="00557A6F" w:rsidTr="00557A6F">
        <w:trPr>
          <w:trHeight w:val="360"/>
        </w:trPr>
        <w:tc>
          <w:tcPr>
            <w:tcW w:w="9200" w:type="dxa"/>
          </w:tcPr>
          <w:p w:rsidR="00557A6F" w:rsidRDefault="00557A6F" w:rsidP="00557A6F">
            <w:r>
              <w:lastRenderedPageBreak/>
              <w:t>2.</w:t>
            </w:r>
            <w:r>
              <w:tab/>
              <w:t>Nasjonale minoriteter deltar i offentlige beslutningsprosesser</w:t>
            </w:r>
          </w:p>
        </w:tc>
      </w:tr>
      <w:tr w:rsidR="00557A6F" w:rsidTr="00557A6F">
        <w:trPr>
          <w:trHeight w:val="360"/>
        </w:trPr>
        <w:tc>
          <w:tcPr>
            <w:tcW w:w="9200" w:type="dxa"/>
          </w:tcPr>
          <w:p w:rsidR="00557A6F" w:rsidRDefault="00557A6F" w:rsidP="00557A6F">
            <w:r>
              <w:t>3.</w:t>
            </w:r>
            <w:r>
              <w:tab/>
              <w:t>Nasjonale minoriteter får gode og likeverdige tjenester</w:t>
            </w:r>
          </w:p>
        </w:tc>
      </w:tr>
    </w:tbl>
    <w:p w:rsidR="00557A6F" w:rsidRDefault="00557A6F" w:rsidP="00557A6F">
      <w:pPr>
        <w:pStyle w:val="avsnitt-tittel"/>
      </w:pPr>
      <w:r>
        <w:t>Mål 1 Nasjonale minoriteter deltar aktivt i samfunnet og kan uttrykke og vider</w:t>
      </w:r>
      <w:r>
        <w:t>e</w:t>
      </w:r>
      <w:r>
        <w:t>utvikle sine språk og sin kultur</w:t>
      </w:r>
    </w:p>
    <w:p w:rsidR="00557A6F" w:rsidRDefault="00557A6F" w:rsidP="00557A6F">
      <w:r>
        <w:t>Det er et mål at de nasjonale minoritetene skal delta aktivt i arbeidet med å bevare og utvikle sine språk og sin kultur. Økt kunnskap om nasjonale minoriteter og deres kulturuttrykk kan motvirke diskrimin</w:t>
      </w:r>
      <w:r>
        <w:t>e</w:t>
      </w:r>
      <w:r>
        <w:t>ring, stereotypier og negative holdninger. Kommunal- og moderniseringsdepartementet støtter derfor tiltak som kan gi større innsikt i nasjonale minoriteters situasjon.</w:t>
      </w:r>
    </w:p>
    <w:p w:rsidR="00557A6F" w:rsidRDefault="00557A6F" w:rsidP="00557A6F">
      <w:pPr>
        <w:pStyle w:val="avsnitt-undertittel"/>
      </w:pPr>
      <w:r>
        <w:t>Rapport, strategier og tiltak</w:t>
      </w:r>
    </w:p>
    <w:p w:rsidR="00557A6F" w:rsidRDefault="00557A6F" w:rsidP="00557A6F">
      <w:r>
        <w:t>Regjeringen la i oktober 2016 fram en handlingsplan mot antisemittisme for perioden 2016–2020. Tiltak</w:t>
      </w:r>
      <w:r>
        <w:t>e</w:t>
      </w:r>
      <w:r>
        <w:t>ne i handlingsplanen er iverksatt og pågår. Målet er at de elleve tiltakene i planen samlet skal bidra til å redusere antisemittisme i Norge.</w:t>
      </w:r>
    </w:p>
    <w:p w:rsidR="00557A6F" w:rsidRDefault="00557A6F" w:rsidP="00557A6F">
      <w:r>
        <w:t>Kirkens Bymisjon mottar tilskudd fra Kommunal- og moderniseringsdepartementet til drift av R</w:t>
      </w:r>
      <w:r>
        <w:t>o</w:t>
      </w:r>
      <w:r>
        <w:t>mano Kher – romsk kultur- og ressurssenter. Senteret er et resultat av statens kollektive opprei</w:t>
      </w:r>
      <w:r>
        <w:t>s</w:t>
      </w:r>
      <w:r>
        <w:t>ning til norske rom.</w:t>
      </w:r>
    </w:p>
    <w:p w:rsidR="00557A6F" w:rsidRDefault="00557A6F" w:rsidP="00557A6F">
      <w:r>
        <w:t>Regjeringen la i januar 2018 fram en målrettet plan for kvensk språk for perioden fram til 2021. Planen inneholder ulike tiltak og innsatsområder for å styrke kvensk språk. Som oppfølging av planen er det bevilget midler til etablering av tre nye språksentre for kvensk i Kvænangen, Po</w:t>
      </w:r>
      <w:r>
        <w:t>r</w:t>
      </w:r>
      <w:r>
        <w:t>sanger og Vadsø. I tillegg er det kvenske språk</w:t>
      </w:r>
      <w:r>
        <w:t>s</w:t>
      </w:r>
      <w:r>
        <w:t>entre i Storfjord og Nordreisa.</w:t>
      </w:r>
    </w:p>
    <w:p w:rsidR="00557A6F" w:rsidRDefault="00557A6F" w:rsidP="00557A6F">
      <w:r>
        <w:t xml:space="preserve">I 2015 mottok Kommunal- og moderniseringsdepartementet NOU 2015: 7 </w:t>
      </w:r>
      <w:r>
        <w:rPr>
          <w:rStyle w:val="kursiv"/>
          <w:sz w:val="21"/>
          <w:szCs w:val="21"/>
        </w:rPr>
        <w:t>Assimilering og motstand – Norsk politikk overfor taterne/romanifolket fra 1850 til i dag</w:t>
      </w:r>
      <w:r>
        <w:t>. Departementet arbeider med å følge opp rapporten og innspillene fra høringen av rapporten.</w:t>
      </w:r>
    </w:p>
    <w:p w:rsidR="00557A6F" w:rsidRDefault="00557A6F" w:rsidP="00557A6F">
      <w:pPr>
        <w:pStyle w:val="avsnitt-tittel"/>
      </w:pPr>
      <w:r>
        <w:t>Mål 2 Nasjonale minoriteter deltar i offentlige beslutningsprosesser</w:t>
      </w:r>
    </w:p>
    <w:p w:rsidR="00557A6F" w:rsidRDefault="00557A6F" w:rsidP="00557A6F">
      <w:pPr>
        <w:pStyle w:val="avsnitt-undertittel"/>
      </w:pPr>
      <w:r>
        <w:t>Rapport, strategier og tiltak</w:t>
      </w:r>
    </w:p>
    <w:p w:rsidR="00557A6F" w:rsidRDefault="00557A6F" w:rsidP="00557A6F">
      <w:r>
        <w:t>Kommunal- og moderniseringsdepartementet arrangerer årlig «kontaktforum», som er en dialo</w:t>
      </w:r>
      <w:r>
        <w:t>g</w:t>
      </w:r>
      <w:r>
        <w:t>arena mellom nasjonale minoritetsorganisasjoner og myndighetene. I tillegg har departementet kontakt med representanter for nasjonale minoriteter i ulike saker og prosesser, for eksempel i a</w:t>
      </w:r>
      <w:r>
        <w:t>r</w:t>
      </w:r>
      <w:r>
        <w:t>beidet med å følge opp Handlingsplan mot antisemittisme og Målrettet plan for kvensk språk. Di</w:t>
      </w:r>
      <w:r>
        <w:t>a</w:t>
      </w:r>
      <w:r>
        <w:t>log med med de berørte gruppene er også et viktig grunnlag for arbeidet med den kommende sto</w:t>
      </w:r>
      <w:r>
        <w:t>r</w:t>
      </w:r>
      <w:r>
        <w:t>tingsmeldingen om nasjonale minoriteter.</w:t>
      </w:r>
    </w:p>
    <w:p w:rsidR="00557A6F" w:rsidRDefault="00557A6F" w:rsidP="00557A6F">
      <w:r>
        <w:t xml:space="preserve">I oppfølgingen av NOU 2015: 7 </w:t>
      </w:r>
      <w:r>
        <w:rPr>
          <w:rStyle w:val="kursiv"/>
          <w:spacing w:val="3"/>
          <w:sz w:val="21"/>
          <w:szCs w:val="21"/>
        </w:rPr>
        <w:t xml:space="preserve">Assimilering og motstand </w:t>
      </w:r>
      <w:r>
        <w:t>har departementet etablert en referans</w:t>
      </w:r>
      <w:r>
        <w:t>e</w:t>
      </w:r>
      <w:r>
        <w:t>gruppe med representanter fra romanifolket/taterne, hvor blant annet videre forvaltning av den ko</w:t>
      </w:r>
      <w:r>
        <w:t>l</w:t>
      </w:r>
      <w:r>
        <w:t xml:space="preserve">lektive oppreisningen til romanifolket/taterne har vært tatt opp. </w:t>
      </w:r>
    </w:p>
    <w:p w:rsidR="00557A6F" w:rsidRDefault="00557A6F" w:rsidP="00557A6F">
      <w:r>
        <w:t xml:space="preserve">Kommunal- og moderniseringsdepartementets dialog med representanter for norske rom har vært viktig i utredningen av Romano Kher. </w:t>
      </w:r>
    </w:p>
    <w:p w:rsidR="00557A6F" w:rsidRDefault="00557A6F" w:rsidP="00557A6F">
      <w:pPr>
        <w:pStyle w:val="avsnitt-tittel"/>
      </w:pPr>
      <w:r>
        <w:t>Mål 3 Nasjonale minoriteter får gode og likeverdige tjenester</w:t>
      </w:r>
    </w:p>
    <w:p w:rsidR="00557A6F" w:rsidRDefault="00557A6F" w:rsidP="00557A6F">
      <w:pPr>
        <w:pStyle w:val="avsnitt-undertittel"/>
      </w:pPr>
      <w:r>
        <w:t>Rapport, strategier og tiltak</w:t>
      </w:r>
    </w:p>
    <w:p w:rsidR="00557A6F" w:rsidRDefault="00557A6F" w:rsidP="00557A6F">
      <w:r>
        <w:t>Minoriteter kan være i en utsatt situasjon når beslutninger tas gjennom flertallsvedtak. For å fre</w:t>
      </w:r>
      <w:r>
        <w:t>m</w:t>
      </w:r>
      <w:r>
        <w:t>me reell likestilling og gode demokratiske prosesser, og styrke minoriteters stilling på ulike sa</w:t>
      </w:r>
      <w:r>
        <w:t>m</w:t>
      </w:r>
      <w:r>
        <w:t>funnsområder, kan det i noen tilfeller være nødvendig med særskilte tiltak.</w:t>
      </w:r>
    </w:p>
    <w:p w:rsidR="00557A6F" w:rsidRDefault="00557A6F" w:rsidP="00557A6F">
      <w:r>
        <w:t>Kommunal- og moderniseringsdepartementet har tildelt Oslo kommune midler til en skolelosor</w:t>
      </w:r>
      <w:r>
        <w:t>d</w:t>
      </w:r>
      <w:r>
        <w:t>ning for r</w:t>
      </w:r>
      <w:r>
        <w:t>o</w:t>
      </w:r>
      <w:r>
        <w:t>melever. Skolelostjenesten har arbeidet for å styrke romelevers læringsutbytte, redusere fravær og øke antallet elever som fullfører grunnopplæringen. Videre har Kommunal- og modern</w:t>
      </w:r>
      <w:r>
        <w:t>i</w:t>
      </w:r>
      <w:r>
        <w:t xml:space="preserve">seringsdepartementet tildelt Kirkens Bymisjon midler til drift av brobyggertjenesten i Romano Kher. </w:t>
      </w:r>
      <w:r>
        <w:lastRenderedPageBreak/>
        <w:t>Brobyggertjenesten bistår blant a</w:t>
      </w:r>
      <w:r>
        <w:t>n</w:t>
      </w:r>
      <w:r>
        <w:t xml:space="preserve">net rom i kontakt med det offentlige, og holder kurs og foredrag for offentlige etater. </w:t>
      </w:r>
    </w:p>
    <w:p w:rsidR="00557A6F" w:rsidRDefault="00557A6F" w:rsidP="00557A6F">
      <w:pPr>
        <w:pStyle w:val="b-budkaptit"/>
      </w:pPr>
      <w:r>
        <w:t>Kap. 567 Nasjonale minoriteter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7A6F" w:rsidTr="00557A6F">
        <w:trPr>
          <w:trHeight w:val="640"/>
        </w:trPr>
        <w:tc>
          <w:tcPr>
            <w:tcW w:w="1140" w:type="dxa"/>
            <w:shd w:val="clear" w:color="auto" w:fill="FFFFFF"/>
          </w:tcPr>
          <w:p w:rsidR="00557A6F" w:rsidRDefault="00557A6F" w:rsidP="00557A6F">
            <w:pPr>
              <w:pStyle w:val="Tabellnavn"/>
            </w:pPr>
            <w:r>
              <w:t>KPAL</w:t>
            </w:r>
          </w:p>
        </w:tc>
        <w:tc>
          <w:tcPr>
            <w:tcW w:w="4560" w:type="dxa"/>
          </w:tcPr>
          <w:p w:rsidR="00557A6F" w:rsidRDefault="00557A6F" w:rsidP="00557A6F"/>
        </w:tc>
        <w:tc>
          <w:tcPr>
            <w:tcW w:w="1140" w:type="dxa"/>
          </w:tcPr>
          <w:p w:rsidR="00557A6F" w:rsidRDefault="00557A6F" w:rsidP="00557A6F">
            <w:pPr>
              <w:pStyle w:val="Tabellnavn"/>
              <w:jc w:val="right"/>
            </w:pPr>
          </w:p>
        </w:tc>
        <w:tc>
          <w:tcPr>
            <w:tcW w:w="1140" w:type="dxa"/>
          </w:tcPr>
          <w:p w:rsidR="00557A6F" w:rsidRDefault="00557A6F" w:rsidP="00557A6F">
            <w:pPr>
              <w:pStyle w:val="Tabellnavn"/>
              <w:jc w:val="right"/>
            </w:pPr>
          </w:p>
        </w:tc>
        <w:tc>
          <w:tcPr>
            <w:tcW w:w="1140" w:type="dxa"/>
          </w:tcPr>
          <w:p w:rsidR="00557A6F" w:rsidRDefault="00557A6F" w:rsidP="00557A6F">
            <w:pPr>
              <w:jc w:val="right"/>
            </w:pPr>
            <w:r>
              <w:t>(i 1 000 kr)</w:t>
            </w:r>
          </w:p>
        </w:tc>
      </w:tr>
      <w:tr w:rsidR="00557A6F" w:rsidTr="00557A6F">
        <w:trPr>
          <w:trHeight w:val="600"/>
        </w:trPr>
        <w:tc>
          <w:tcPr>
            <w:tcW w:w="1140" w:type="dxa"/>
          </w:tcPr>
          <w:p w:rsidR="00557A6F" w:rsidRDefault="00557A6F" w:rsidP="00557A6F">
            <w:r>
              <w:t>Post</w:t>
            </w:r>
          </w:p>
        </w:tc>
        <w:tc>
          <w:tcPr>
            <w:tcW w:w="4560" w:type="dxa"/>
          </w:tcPr>
          <w:p w:rsidR="00557A6F" w:rsidRDefault="00557A6F" w:rsidP="00557A6F">
            <w:r>
              <w:t>Betegnelse</w:t>
            </w:r>
          </w:p>
        </w:tc>
        <w:tc>
          <w:tcPr>
            <w:tcW w:w="1140" w:type="dxa"/>
          </w:tcPr>
          <w:p w:rsidR="00557A6F" w:rsidRDefault="00557A6F" w:rsidP="00557A6F">
            <w:pPr>
              <w:jc w:val="right"/>
            </w:pPr>
            <w:r>
              <w:t>Regnskap 2018</w:t>
            </w:r>
          </w:p>
        </w:tc>
        <w:tc>
          <w:tcPr>
            <w:tcW w:w="1140" w:type="dxa"/>
          </w:tcPr>
          <w:p w:rsidR="00557A6F" w:rsidRDefault="00557A6F" w:rsidP="00557A6F">
            <w:pPr>
              <w:jc w:val="right"/>
            </w:pPr>
            <w:r>
              <w:t xml:space="preserve">Saldert </w:t>
            </w:r>
            <w:r>
              <w:br/>
              <w:t>budsjett 2019</w:t>
            </w:r>
          </w:p>
        </w:tc>
        <w:tc>
          <w:tcPr>
            <w:tcW w:w="1140" w:type="dxa"/>
          </w:tcPr>
          <w:p w:rsidR="00557A6F" w:rsidRDefault="00557A6F" w:rsidP="00557A6F">
            <w:pPr>
              <w:jc w:val="right"/>
            </w:pPr>
            <w:r>
              <w:t xml:space="preserve">Forslag </w:t>
            </w:r>
            <w:r>
              <w:br/>
              <w:t>2020</w:t>
            </w:r>
          </w:p>
        </w:tc>
      </w:tr>
      <w:tr w:rsidR="00557A6F" w:rsidTr="00557A6F">
        <w:trPr>
          <w:trHeight w:val="380"/>
        </w:trPr>
        <w:tc>
          <w:tcPr>
            <w:tcW w:w="1140" w:type="dxa"/>
          </w:tcPr>
          <w:p w:rsidR="00557A6F" w:rsidRDefault="00557A6F" w:rsidP="00557A6F">
            <w:r>
              <w:t>22</w:t>
            </w:r>
          </w:p>
        </w:tc>
        <w:tc>
          <w:tcPr>
            <w:tcW w:w="4560" w:type="dxa"/>
          </w:tcPr>
          <w:p w:rsidR="00557A6F" w:rsidRDefault="00557A6F" w:rsidP="00557A6F">
            <w:r>
              <w:t xml:space="preserve">Kollektiv oppreisning til norske rom mv. </w:t>
            </w:r>
          </w:p>
        </w:tc>
        <w:tc>
          <w:tcPr>
            <w:tcW w:w="1140" w:type="dxa"/>
          </w:tcPr>
          <w:p w:rsidR="00557A6F" w:rsidRDefault="00557A6F" w:rsidP="00557A6F">
            <w:pPr>
              <w:jc w:val="right"/>
            </w:pPr>
            <w:r>
              <w:t>34</w:t>
            </w:r>
          </w:p>
        </w:tc>
        <w:tc>
          <w:tcPr>
            <w:tcW w:w="1140" w:type="dxa"/>
          </w:tcPr>
          <w:p w:rsidR="00557A6F" w:rsidRDefault="00557A6F" w:rsidP="00557A6F">
            <w:pPr>
              <w:jc w:val="right"/>
            </w:pPr>
          </w:p>
        </w:tc>
        <w:tc>
          <w:tcPr>
            <w:tcW w:w="1140" w:type="dxa"/>
          </w:tcPr>
          <w:p w:rsidR="00557A6F" w:rsidRDefault="00557A6F" w:rsidP="00557A6F">
            <w:pPr>
              <w:jc w:val="right"/>
            </w:pPr>
            <w:r>
              <w:t>1 107</w:t>
            </w:r>
          </w:p>
        </w:tc>
      </w:tr>
      <w:tr w:rsidR="00557A6F" w:rsidTr="00557A6F">
        <w:trPr>
          <w:trHeight w:val="640"/>
        </w:trPr>
        <w:tc>
          <w:tcPr>
            <w:tcW w:w="1140" w:type="dxa"/>
          </w:tcPr>
          <w:p w:rsidR="00557A6F" w:rsidRDefault="00557A6F" w:rsidP="00557A6F">
            <w:r>
              <w:t>25</w:t>
            </w:r>
          </w:p>
        </w:tc>
        <w:tc>
          <w:tcPr>
            <w:tcW w:w="4560" w:type="dxa"/>
          </w:tcPr>
          <w:p w:rsidR="00557A6F" w:rsidRDefault="00557A6F" w:rsidP="00557A6F">
            <w:r>
              <w:t>Romanifolket/taterne</w:t>
            </w:r>
            <w:r>
              <w:rPr>
                <w:rStyle w:val="kursiv"/>
                <w:sz w:val="21"/>
                <w:szCs w:val="21"/>
              </w:rPr>
              <w:t>, kan overføres, kan nyttes u</w:t>
            </w:r>
            <w:r>
              <w:rPr>
                <w:rStyle w:val="kursiv"/>
                <w:sz w:val="21"/>
                <w:szCs w:val="21"/>
              </w:rPr>
              <w:t>n</w:t>
            </w:r>
            <w:r>
              <w:rPr>
                <w:rStyle w:val="kursiv"/>
                <w:sz w:val="21"/>
                <w:szCs w:val="21"/>
              </w:rPr>
              <w:t xml:space="preserve">der post 75 </w:t>
            </w:r>
          </w:p>
        </w:tc>
        <w:tc>
          <w:tcPr>
            <w:tcW w:w="1140" w:type="dxa"/>
          </w:tcPr>
          <w:p w:rsidR="00557A6F" w:rsidRDefault="00557A6F" w:rsidP="00557A6F">
            <w:pPr>
              <w:jc w:val="right"/>
            </w:pPr>
            <w:r>
              <w:t>91</w:t>
            </w:r>
          </w:p>
        </w:tc>
        <w:tc>
          <w:tcPr>
            <w:tcW w:w="1140" w:type="dxa"/>
          </w:tcPr>
          <w:p w:rsidR="00557A6F" w:rsidRDefault="00557A6F" w:rsidP="00557A6F">
            <w:pPr>
              <w:jc w:val="right"/>
            </w:pPr>
            <w:r>
              <w:t>1 015</w:t>
            </w:r>
          </w:p>
        </w:tc>
        <w:tc>
          <w:tcPr>
            <w:tcW w:w="1140" w:type="dxa"/>
          </w:tcPr>
          <w:p w:rsidR="00557A6F" w:rsidRDefault="00557A6F" w:rsidP="00557A6F">
            <w:pPr>
              <w:jc w:val="right"/>
            </w:pPr>
          </w:p>
        </w:tc>
      </w:tr>
      <w:tr w:rsidR="00557A6F" w:rsidTr="00557A6F">
        <w:trPr>
          <w:trHeight w:val="380"/>
        </w:trPr>
        <w:tc>
          <w:tcPr>
            <w:tcW w:w="1140" w:type="dxa"/>
          </w:tcPr>
          <w:p w:rsidR="00557A6F" w:rsidRDefault="00557A6F" w:rsidP="00557A6F">
            <w:r>
              <w:t>60</w:t>
            </w:r>
          </w:p>
        </w:tc>
        <w:tc>
          <w:tcPr>
            <w:tcW w:w="4560" w:type="dxa"/>
          </w:tcPr>
          <w:p w:rsidR="00557A6F" w:rsidRDefault="00557A6F" w:rsidP="00557A6F">
            <w:r>
              <w:t>Rom</w:t>
            </w:r>
            <w:r>
              <w:rPr>
                <w:rStyle w:val="kursiv"/>
                <w:sz w:val="21"/>
                <w:szCs w:val="21"/>
              </w:rPr>
              <w:t xml:space="preserve">, kan overføres </w:t>
            </w:r>
          </w:p>
        </w:tc>
        <w:tc>
          <w:tcPr>
            <w:tcW w:w="1140" w:type="dxa"/>
          </w:tcPr>
          <w:p w:rsidR="00557A6F" w:rsidRDefault="00557A6F" w:rsidP="00557A6F">
            <w:pPr>
              <w:jc w:val="right"/>
            </w:pPr>
            <w:r>
              <w:t>3 260</w:t>
            </w:r>
          </w:p>
        </w:tc>
        <w:tc>
          <w:tcPr>
            <w:tcW w:w="1140" w:type="dxa"/>
          </w:tcPr>
          <w:p w:rsidR="00557A6F" w:rsidRDefault="00557A6F" w:rsidP="00557A6F">
            <w:pPr>
              <w:jc w:val="right"/>
            </w:pPr>
            <w:r>
              <w:t>3 505</w:t>
            </w:r>
          </w:p>
        </w:tc>
        <w:tc>
          <w:tcPr>
            <w:tcW w:w="1140" w:type="dxa"/>
          </w:tcPr>
          <w:p w:rsidR="00557A6F" w:rsidRDefault="00557A6F" w:rsidP="00557A6F">
            <w:pPr>
              <w:jc w:val="right"/>
            </w:pPr>
            <w:r>
              <w:t>3 617</w:t>
            </w:r>
          </w:p>
        </w:tc>
      </w:tr>
      <w:tr w:rsidR="00557A6F" w:rsidTr="00557A6F">
        <w:trPr>
          <w:trHeight w:val="380"/>
        </w:trPr>
        <w:tc>
          <w:tcPr>
            <w:tcW w:w="1140" w:type="dxa"/>
          </w:tcPr>
          <w:p w:rsidR="00557A6F" w:rsidRDefault="00557A6F" w:rsidP="00557A6F">
            <w:r>
              <w:t>70</w:t>
            </w:r>
          </w:p>
        </w:tc>
        <w:tc>
          <w:tcPr>
            <w:tcW w:w="4560" w:type="dxa"/>
          </w:tcPr>
          <w:p w:rsidR="00557A6F" w:rsidRDefault="00557A6F" w:rsidP="00557A6F">
            <w:r>
              <w:t xml:space="preserve">Nasjonale minoriteter </w:t>
            </w:r>
          </w:p>
        </w:tc>
        <w:tc>
          <w:tcPr>
            <w:tcW w:w="1140" w:type="dxa"/>
          </w:tcPr>
          <w:p w:rsidR="00557A6F" w:rsidRDefault="00557A6F" w:rsidP="00557A6F">
            <w:pPr>
              <w:jc w:val="right"/>
            </w:pPr>
            <w:r>
              <w:t>7 393</w:t>
            </w:r>
          </w:p>
        </w:tc>
        <w:tc>
          <w:tcPr>
            <w:tcW w:w="1140" w:type="dxa"/>
          </w:tcPr>
          <w:p w:rsidR="00557A6F" w:rsidRDefault="00557A6F" w:rsidP="00557A6F">
            <w:pPr>
              <w:jc w:val="right"/>
            </w:pPr>
            <w:r>
              <w:t>7 293</w:t>
            </w:r>
          </w:p>
        </w:tc>
        <w:tc>
          <w:tcPr>
            <w:tcW w:w="1140" w:type="dxa"/>
          </w:tcPr>
          <w:p w:rsidR="00557A6F" w:rsidRDefault="00557A6F" w:rsidP="00557A6F">
            <w:pPr>
              <w:jc w:val="right"/>
            </w:pPr>
            <w:r>
              <w:t>7 257</w:t>
            </w:r>
          </w:p>
        </w:tc>
      </w:tr>
      <w:tr w:rsidR="00557A6F" w:rsidTr="00557A6F">
        <w:trPr>
          <w:trHeight w:val="380"/>
        </w:trPr>
        <w:tc>
          <w:tcPr>
            <w:tcW w:w="1140" w:type="dxa"/>
          </w:tcPr>
          <w:p w:rsidR="00557A6F" w:rsidRDefault="00557A6F" w:rsidP="00557A6F">
            <w:r>
              <w:t>72</w:t>
            </w:r>
          </w:p>
        </w:tc>
        <w:tc>
          <w:tcPr>
            <w:tcW w:w="4560" w:type="dxa"/>
          </w:tcPr>
          <w:p w:rsidR="00557A6F" w:rsidRDefault="00557A6F" w:rsidP="00557A6F">
            <w:r>
              <w:t xml:space="preserve">Det Mosaiske Trossamfund </w:t>
            </w:r>
          </w:p>
        </w:tc>
        <w:tc>
          <w:tcPr>
            <w:tcW w:w="1140" w:type="dxa"/>
          </w:tcPr>
          <w:p w:rsidR="00557A6F" w:rsidRDefault="00557A6F" w:rsidP="00557A6F">
            <w:pPr>
              <w:jc w:val="right"/>
            </w:pPr>
            <w:r>
              <w:t>7 222</w:t>
            </w:r>
          </w:p>
        </w:tc>
        <w:tc>
          <w:tcPr>
            <w:tcW w:w="1140" w:type="dxa"/>
          </w:tcPr>
          <w:p w:rsidR="00557A6F" w:rsidRDefault="00557A6F" w:rsidP="00557A6F">
            <w:pPr>
              <w:jc w:val="right"/>
            </w:pPr>
            <w:r>
              <w:t>7 222</w:t>
            </w:r>
          </w:p>
        </w:tc>
        <w:tc>
          <w:tcPr>
            <w:tcW w:w="1140" w:type="dxa"/>
          </w:tcPr>
          <w:p w:rsidR="00557A6F" w:rsidRDefault="00557A6F" w:rsidP="00557A6F">
            <w:pPr>
              <w:jc w:val="right"/>
            </w:pPr>
            <w:r>
              <w:t>7 186</w:t>
            </w:r>
          </w:p>
        </w:tc>
      </w:tr>
      <w:tr w:rsidR="00557A6F" w:rsidTr="00557A6F">
        <w:trPr>
          <w:trHeight w:val="380"/>
        </w:trPr>
        <w:tc>
          <w:tcPr>
            <w:tcW w:w="1140" w:type="dxa"/>
          </w:tcPr>
          <w:p w:rsidR="00557A6F" w:rsidRDefault="00557A6F" w:rsidP="00557A6F">
            <w:r>
              <w:t>73</w:t>
            </w:r>
          </w:p>
        </w:tc>
        <w:tc>
          <w:tcPr>
            <w:tcW w:w="4560" w:type="dxa"/>
          </w:tcPr>
          <w:p w:rsidR="00557A6F" w:rsidRDefault="00557A6F" w:rsidP="00557A6F">
            <w:r>
              <w:t xml:space="preserve">Kvensk språk og kultur </w:t>
            </w:r>
          </w:p>
        </w:tc>
        <w:tc>
          <w:tcPr>
            <w:tcW w:w="1140" w:type="dxa"/>
          </w:tcPr>
          <w:p w:rsidR="00557A6F" w:rsidRDefault="00557A6F" w:rsidP="00557A6F">
            <w:pPr>
              <w:jc w:val="right"/>
            </w:pPr>
            <w:r>
              <w:t>6 962</w:t>
            </w:r>
          </w:p>
        </w:tc>
        <w:tc>
          <w:tcPr>
            <w:tcW w:w="1140" w:type="dxa"/>
          </w:tcPr>
          <w:p w:rsidR="00557A6F" w:rsidRDefault="00557A6F" w:rsidP="00557A6F">
            <w:pPr>
              <w:jc w:val="right"/>
            </w:pPr>
            <w:r>
              <w:t>9 962</w:t>
            </w:r>
          </w:p>
        </w:tc>
        <w:tc>
          <w:tcPr>
            <w:tcW w:w="1140" w:type="dxa"/>
          </w:tcPr>
          <w:p w:rsidR="00557A6F" w:rsidRDefault="00557A6F" w:rsidP="00557A6F">
            <w:pPr>
              <w:jc w:val="right"/>
            </w:pPr>
            <w:r>
              <w:t>10 500</w:t>
            </w:r>
          </w:p>
        </w:tc>
      </w:tr>
      <w:tr w:rsidR="00557A6F" w:rsidTr="00557A6F">
        <w:trPr>
          <w:trHeight w:val="380"/>
        </w:trPr>
        <w:tc>
          <w:tcPr>
            <w:tcW w:w="1140" w:type="dxa"/>
          </w:tcPr>
          <w:p w:rsidR="00557A6F" w:rsidRDefault="00557A6F" w:rsidP="00557A6F">
            <w:r>
              <w:t>74</w:t>
            </w:r>
          </w:p>
        </w:tc>
        <w:tc>
          <w:tcPr>
            <w:tcW w:w="4560" w:type="dxa"/>
          </w:tcPr>
          <w:p w:rsidR="00557A6F" w:rsidRDefault="00557A6F" w:rsidP="00557A6F">
            <w:r>
              <w:t xml:space="preserve">Kultur- og ressurssenter for norske rom </w:t>
            </w:r>
          </w:p>
        </w:tc>
        <w:tc>
          <w:tcPr>
            <w:tcW w:w="1140" w:type="dxa"/>
          </w:tcPr>
          <w:p w:rsidR="00557A6F" w:rsidRDefault="00557A6F" w:rsidP="00557A6F">
            <w:pPr>
              <w:jc w:val="right"/>
            </w:pPr>
            <w:r>
              <w:t>9 138</w:t>
            </w:r>
          </w:p>
        </w:tc>
        <w:tc>
          <w:tcPr>
            <w:tcW w:w="1140" w:type="dxa"/>
          </w:tcPr>
          <w:p w:rsidR="00557A6F" w:rsidRDefault="00557A6F" w:rsidP="00557A6F">
            <w:pPr>
              <w:jc w:val="right"/>
            </w:pPr>
            <w:r>
              <w:t>15 100</w:t>
            </w:r>
          </w:p>
        </w:tc>
        <w:tc>
          <w:tcPr>
            <w:tcW w:w="1140" w:type="dxa"/>
          </w:tcPr>
          <w:p w:rsidR="00557A6F" w:rsidRDefault="00557A6F" w:rsidP="00557A6F">
            <w:pPr>
              <w:jc w:val="right"/>
            </w:pPr>
            <w:r>
              <w:t>14 024</w:t>
            </w:r>
          </w:p>
        </w:tc>
      </w:tr>
      <w:tr w:rsidR="00557A6F" w:rsidTr="00557A6F">
        <w:trPr>
          <w:trHeight w:val="640"/>
        </w:trPr>
        <w:tc>
          <w:tcPr>
            <w:tcW w:w="1140" w:type="dxa"/>
          </w:tcPr>
          <w:p w:rsidR="00557A6F" w:rsidRDefault="00557A6F" w:rsidP="00557A6F">
            <w:r>
              <w:t>75</w:t>
            </w:r>
          </w:p>
        </w:tc>
        <w:tc>
          <w:tcPr>
            <w:tcW w:w="4560" w:type="dxa"/>
          </w:tcPr>
          <w:p w:rsidR="00557A6F" w:rsidRDefault="00557A6F" w:rsidP="00557A6F">
            <w:r>
              <w:t>Romanifolket/taterne</w:t>
            </w:r>
            <w:r>
              <w:rPr>
                <w:rStyle w:val="kursiv"/>
                <w:sz w:val="21"/>
                <w:szCs w:val="21"/>
              </w:rPr>
              <w:t>, kan overføres, kan nyttes u</w:t>
            </w:r>
            <w:r>
              <w:rPr>
                <w:rStyle w:val="kursiv"/>
                <w:sz w:val="21"/>
                <w:szCs w:val="21"/>
              </w:rPr>
              <w:t>n</w:t>
            </w:r>
            <w:r>
              <w:rPr>
                <w:rStyle w:val="kursiv"/>
                <w:sz w:val="21"/>
                <w:szCs w:val="21"/>
              </w:rPr>
              <w:t xml:space="preserve">der post 25 </w:t>
            </w:r>
          </w:p>
        </w:tc>
        <w:tc>
          <w:tcPr>
            <w:tcW w:w="1140" w:type="dxa"/>
          </w:tcPr>
          <w:p w:rsidR="00557A6F" w:rsidRDefault="00557A6F" w:rsidP="00557A6F">
            <w:pPr>
              <w:jc w:val="right"/>
            </w:pPr>
            <w:r>
              <w:t>2 590</w:t>
            </w:r>
          </w:p>
        </w:tc>
        <w:tc>
          <w:tcPr>
            <w:tcW w:w="1140" w:type="dxa"/>
          </w:tcPr>
          <w:p w:rsidR="00557A6F" w:rsidRDefault="00557A6F" w:rsidP="00557A6F">
            <w:pPr>
              <w:jc w:val="right"/>
            </w:pPr>
            <w:r>
              <w:t>4 419</w:t>
            </w:r>
          </w:p>
        </w:tc>
        <w:tc>
          <w:tcPr>
            <w:tcW w:w="1140" w:type="dxa"/>
          </w:tcPr>
          <w:p w:rsidR="00557A6F" w:rsidRDefault="00557A6F" w:rsidP="00557A6F">
            <w:pPr>
              <w:jc w:val="right"/>
            </w:pPr>
            <w:r>
              <w:t>5 027</w:t>
            </w:r>
          </w:p>
        </w:tc>
      </w:tr>
      <w:tr w:rsidR="00557A6F" w:rsidTr="00557A6F">
        <w:trPr>
          <w:trHeight w:val="380"/>
        </w:trPr>
        <w:tc>
          <w:tcPr>
            <w:tcW w:w="1140" w:type="dxa"/>
          </w:tcPr>
          <w:p w:rsidR="00557A6F" w:rsidRDefault="00557A6F" w:rsidP="00557A6F"/>
        </w:tc>
        <w:tc>
          <w:tcPr>
            <w:tcW w:w="4560" w:type="dxa"/>
          </w:tcPr>
          <w:p w:rsidR="00557A6F" w:rsidRDefault="00557A6F" w:rsidP="00557A6F">
            <w:r>
              <w:t>Sum kap. 0567</w:t>
            </w:r>
          </w:p>
        </w:tc>
        <w:tc>
          <w:tcPr>
            <w:tcW w:w="1140" w:type="dxa"/>
          </w:tcPr>
          <w:p w:rsidR="00557A6F" w:rsidRDefault="00557A6F" w:rsidP="00557A6F">
            <w:pPr>
              <w:jc w:val="right"/>
            </w:pPr>
            <w:r>
              <w:t>36 690</w:t>
            </w:r>
          </w:p>
        </w:tc>
        <w:tc>
          <w:tcPr>
            <w:tcW w:w="1140" w:type="dxa"/>
          </w:tcPr>
          <w:p w:rsidR="00557A6F" w:rsidRDefault="00557A6F" w:rsidP="00557A6F">
            <w:pPr>
              <w:jc w:val="right"/>
            </w:pPr>
            <w:r>
              <w:t>48 516</w:t>
            </w:r>
          </w:p>
        </w:tc>
        <w:tc>
          <w:tcPr>
            <w:tcW w:w="1140" w:type="dxa"/>
          </w:tcPr>
          <w:p w:rsidR="00557A6F" w:rsidRDefault="00557A6F" w:rsidP="00557A6F">
            <w:pPr>
              <w:jc w:val="right"/>
            </w:pPr>
            <w:r>
              <w:t>48 718</w:t>
            </w:r>
          </w:p>
        </w:tc>
      </w:tr>
    </w:tbl>
    <w:p w:rsidR="00557A6F" w:rsidRDefault="00557A6F" w:rsidP="00557A6F">
      <w:pPr>
        <w:pStyle w:val="b-post"/>
      </w:pPr>
      <w:r>
        <w:t>Post 22 Kollektiv oppreisning til norske rom mv.</w:t>
      </w:r>
    </w:p>
    <w:p w:rsidR="00557A6F" w:rsidRDefault="00557A6F" w:rsidP="00557A6F">
      <w:r>
        <w:t>Bevilgningen på posten dekker utgifter knyttet til kollektiv oppreisning til norske rom. Regjeringen har utformet oppreisningen i dialog med representanter for rom, og 1. mars 2018 ble Romano Kher åpnet, jf. kap. 567, post 74 Kultur- og ressurssenter for norske rom.</w:t>
      </w:r>
    </w:p>
    <w:p w:rsidR="00557A6F" w:rsidRDefault="00557A6F" w:rsidP="00557A6F">
      <w:r>
        <w:t xml:space="preserve">Bevilgningen har i 2018 og 2019 dekket kostnader for å finne nye, permanente lokaler til Romano Kher. Arbeidet har vært utført av Statsbygg. </w:t>
      </w:r>
    </w:p>
    <w:p w:rsidR="00557A6F" w:rsidRDefault="00557A6F" w:rsidP="00557A6F">
      <w:r>
        <w:t>Bevilgningen skal dekke kostnader knyttet til arbeidet med å etablere permanente lokaler for R</w:t>
      </w:r>
      <w:r>
        <w:t>o</w:t>
      </w:r>
      <w:r>
        <w:t>mano Kher i 2020 og eventuelt andre kostnader knyttet til arbeidet med den kollektive opprei</w:t>
      </w:r>
      <w:r>
        <w:t>s</w:t>
      </w:r>
      <w:r>
        <w:t xml:space="preserve">ningen. </w:t>
      </w:r>
    </w:p>
    <w:p w:rsidR="00557A6F" w:rsidRDefault="00557A6F" w:rsidP="00557A6F">
      <w:r>
        <w:t xml:space="preserve">Det foreslås en bevilgning på 1,1 mill. kroner i 2020. </w:t>
      </w:r>
    </w:p>
    <w:p w:rsidR="00557A6F" w:rsidRDefault="00557A6F" w:rsidP="00557A6F">
      <w:pPr>
        <w:pStyle w:val="b-post"/>
      </w:pPr>
      <w:r>
        <w:t>Post 25 Romanifolket/taterne, kan overføres, kan nyttes under post 75</w:t>
      </w:r>
    </w:p>
    <w:p w:rsidR="00557A6F" w:rsidRDefault="00557A6F" w:rsidP="00557A6F">
      <w:r>
        <w:t>Bevilgningen dekker driftsutgifter knyttet til forvaltning av tilskuddsordningen for romanifo</w:t>
      </w:r>
      <w:r>
        <w:t>l</w:t>
      </w:r>
      <w:r>
        <w:t>ket/taterne, jf. omtale under post 75.</w:t>
      </w:r>
    </w:p>
    <w:p w:rsidR="00557A6F" w:rsidRDefault="00557A6F" w:rsidP="00557A6F">
      <w:r>
        <w:t xml:space="preserve">I påvente av overføring av tilskuddsordningen til Kulturrådet, ble deler av bevilgningen i 2018 brukt til kostnader knyttet til utlysning av en midlertidig tilskuddsordning, jf. omtale under post 75. </w:t>
      </w:r>
    </w:p>
    <w:p w:rsidR="00557A6F" w:rsidRDefault="00557A6F" w:rsidP="00557A6F">
      <w:r>
        <w:t>Kulturrådet overtok i 2019 forvaltningen av tilskuddsordningen. Til dekning av Kulturrådets adm</w:t>
      </w:r>
      <w:r>
        <w:t>i</w:t>
      </w:r>
      <w:r>
        <w:t>nistrasjonsutgifter foreslås det å redusere bevilgningen på posten med 400 000 kroner mot en ti</w:t>
      </w:r>
      <w:r>
        <w:t>l</w:t>
      </w:r>
      <w:r>
        <w:t>svarende økning under Ku</w:t>
      </w:r>
      <w:r>
        <w:t>l</w:t>
      </w:r>
      <w:r>
        <w:t xml:space="preserve">turdepartementets kap. 320 Norsk kulturråd, post 01 Driftsutgifter. </w:t>
      </w:r>
    </w:p>
    <w:p w:rsidR="00557A6F" w:rsidRDefault="00557A6F" w:rsidP="00557A6F">
      <w:r>
        <w:lastRenderedPageBreak/>
        <w:t>Det foreslås videre at gjenværende bevilgning på 630 000 kroner flyttes til post 75 for å sikre at størst mulig a</w:t>
      </w:r>
      <w:r>
        <w:t>n</w:t>
      </w:r>
      <w:r>
        <w:t>del av den kollektive oppreisningen til romanifolket/taterne blir fordelt som tilskudd til tiltak innenfor målgru</w:t>
      </w:r>
      <w:r>
        <w:t>p</w:t>
      </w:r>
      <w:r>
        <w:t>pen.</w:t>
      </w:r>
    </w:p>
    <w:p w:rsidR="00557A6F" w:rsidRDefault="00557A6F" w:rsidP="00557A6F">
      <w:pPr>
        <w:pStyle w:val="b-post"/>
      </w:pPr>
      <w:r>
        <w:t>Post 60 Rom, kan overføres</w:t>
      </w:r>
    </w:p>
    <w:p w:rsidR="00557A6F" w:rsidRDefault="00557A6F" w:rsidP="00557A6F">
      <w:r>
        <w:t>Målet for ordningen er å bedre levekårene til norske rom, særlig gjennom tiltak i skolen. Midlene på po</w:t>
      </w:r>
      <w:r>
        <w:t>s</w:t>
      </w:r>
      <w:r>
        <w:t>ten går i sin helhet til Oslo kommune, som har ansvar for gjennomføringen.</w:t>
      </w:r>
    </w:p>
    <w:p w:rsidR="00557A6F" w:rsidRDefault="00557A6F" w:rsidP="00557A6F">
      <w:r>
        <w:t>Kriterier for måloppnåelse er at rom deltar i tiltaket, og gis mulighet til å bidra i utformingen av det.</w:t>
      </w:r>
    </w:p>
    <w:p w:rsidR="00557A6F" w:rsidRDefault="00557A6F" w:rsidP="00557A6F">
      <w:r>
        <w:t>Departementet følger opp rapporteringen for bruken av tilskuddsmidlene etter de krav og vilkår som er satt i r</w:t>
      </w:r>
      <w:r>
        <w:t>e</w:t>
      </w:r>
      <w:r>
        <w:t>gelverk og i tilskuddsbrev.</w:t>
      </w:r>
    </w:p>
    <w:p w:rsidR="00557A6F" w:rsidRDefault="00557A6F" w:rsidP="00557A6F">
      <w:r>
        <w:t>Oslo kommune driver en skolelosordning for romelever. Ved utgangen av 2018 var ordningen til stede på 11 ulike skoler i Oslo. Skolelosene har arbeidet med å styrke læringsutbyttet til elever med romba</w:t>
      </w:r>
      <w:r>
        <w:t>k</w:t>
      </w:r>
      <w:r>
        <w:t>grunn, redusere fravær og øke andelen elever som fullfører grunnopplæringen.</w:t>
      </w:r>
    </w:p>
    <w:p w:rsidR="00557A6F" w:rsidRDefault="00557A6F" w:rsidP="00557A6F">
      <w:r>
        <w:t>Det foreslås en bevilgning på 3,6 mill. kroner i 2020.</w:t>
      </w:r>
    </w:p>
    <w:p w:rsidR="00557A6F" w:rsidRDefault="00557A6F" w:rsidP="00557A6F">
      <w:pPr>
        <w:pStyle w:val="b-post"/>
      </w:pPr>
      <w:r>
        <w:t>Post 70 Nasjonale minoriteter</w:t>
      </w:r>
    </w:p>
    <w:p w:rsidR="00557A6F" w:rsidRDefault="00557A6F" w:rsidP="00557A6F">
      <w:r>
        <w:t>Målet med ordningen er å styrke nasjonale minoriteters kultur, språk og egenorganisering. Det er et særlig mål at nasjonale minoriteters egne organisasjoner kan fremme sine interesser overfor ulike myndi</w:t>
      </w:r>
      <w:r>
        <w:t>g</w:t>
      </w:r>
      <w:r>
        <w:t>heter.</w:t>
      </w:r>
    </w:p>
    <w:p w:rsidR="00557A6F" w:rsidRDefault="00557A6F" w:rsidP="00557A6F">
      <w:r>
        <w:t>Kriterier for måloppnåelse for driftstilskuddet er graden av egenorganisering hos de nasjonale m</w:t>
      </w:r>
      <w:r>
        <w:t>i</w:t>
      </w:r>
      <w:r>
        <w:t>noritetene, om språk og/eller kultur styrkes og graden av deltakelse i offentlige beslutningsprose</w:t>
      </w:r>
      <w:r>
        <w:t>s</w:t>
      </w:r>
      <w:r>
        <w:t>ser.</w:t>
      </w:r>
    </w:p>
    <w:p w:rsidR="00557A6F" w:rsidRDefault="00557A6F" w:rsidP="00557A6F">
      <w:r>
        <w:t>Kriterier for måloppnåelse for prosjekttilskuddet er antall arrangerte prosjekter, kurs og aktiviteter som fremmer formålet, antall personer som deltar eller blir nådd gjennom prosjekter, grad av ko</w:t>
      </w:r>
      <w:r>
        <w:t>n</w:t>
      </w:r>
      <w:r>
        <w:t>takt mellom organisasjonene og antall barn og unge som blir nådd.</w:t>
      </w:r>
    </w:p>
    <w:p w:rsidR="00557A6F" w:rsidRDefault="00557A6F" w:rsidP="00557A6F">
      <w:r>
        <w:t>Tilskudd over ordningen kan gis både som driftstilskudd til organisasjonene som representerer de nasjonale m</w:t>
      </w:r>
      <w:r>
        <w:t>i</w:t>
      </w:r>
      <w:r>
        <w:t>noritetene, og som prosjekttilskudd.</w:t>
      </w:r>
    </w:p>
    <w:p w:rsidR="00557A6F" w:rsidRDefault="00557A6F" w:rsidP="00557A6F">
      <w:r>
        <w:t>For å motta driftstilskudd er det krav om at organisasjonen blant annet har som formål å fremme interessene og ivareta rettighetene til nasjonale minoriteter i Norge. Organisasjonen må ha sitt medlemsgrunnlag i en nasjonal minoritet. Tilskudd blir gitt ut fra en samlet skjønnsmessig vurd</w:t>
      </w:r>
      <w:r>
        <w:t>e</w:t>
      </w:r>
      <w:r>
        <w:t>ring, basert blant annet på antall medlemmer, antall lokallag og aktiviteter i organisasjonen.</w:t>
      </w:r>
    </w:p>
    <w:p w:rsidR="00557A6F" w:rsidRDefault="00557A6F" w:rsidP="00557A6F">
      <w:r>
        <w:t>Prosjekttilskudd blir gitt til frivillige organisasjoner, kommuner, institusjoner og foretak som har virksomhet i tilknytning til nasjonale minoriteter. Tilskudd gis til tiltak som bidrar til formidling av kunnskap om situasjonen for minoritetsgruppene, styrking av minoritetenes språk, identitetssk</w:t>
      </w:r>
      <w:r>
        <w:t>a</w:t>
      </w:r>
      <w:r>
        <w:t>pende arbeid rettet mot barn og unge, d</w:t>
      </w:r>
      <w:r>
        <w:t>o</w:t>
      </w:r>
      <w:r>
        <w:t>kumentasjon av diskriminering, holdningsskapende arbeid, selvhjelpsvirksomhet og kontakt og samarbeid me</w:t>
      </w:r>
      <w:r>
        <w:t>l</w:t>
      </w:r>
      <w:r>
        <w:t xml:space="preserve">lom de nasjonale minoritetene. </w:t>
      </w:r>
    </w:p>
    <w:p w:rsidR="00557A6F" w:rsidRDefault="00557A6F" w:rsidP="00557A6F">
      <w:r>
        <w:t>I forbindelse med at Kulturrådet overtok forvaltningen av ordningen i 2019, blir det utarbeidet ny forskrift om tilskudd til nasjonale minoriteter. Forskriften sendes på høring høsten 2019. Tild</w:t>
      </w:r>
      <w:r>
        <w:t>e</w:t>
      </w:r>
      <w:r>
        <w:t>lingskriteriene kan bli justert som følge av høringen.</w:t>
      </w:r>
    </w:p>
    <w:p w:rsidR="00557A6F" w:rsidRDefault="00557A6F" w:rsidP="00557A6F">
      <w:r>
        <w:t>Kulturrådet følger opp rapporteringen for bruken av tilskuddsmidlene etter de krav og vilkår som er satt i regelverk og i tilskuddsbrev. Kommunal- og moderniseringsdepartementet er klageinstans. Kultu</w:t>
      </w:r>
      <w:r>
        <w:t>r</w:t>
      </w:r>
      <w:r>
        <w:t xml:space="preserve">rådet har ansvar for å evaluere ordningen. </w:t>
      </w:r>
    </w:p>
    <w:p w:rsidR="00557A6F" w:rsidRDefault="00557A6F" w:rsidP="00557A6F">
      <w:r>
        <w:t>Av en total ramme på 7,5 mill. kroner i 2018 ga departementet 5,2 mill. kroner i driftsstøtte til sju organis</w:t>
      </w:r>
      <w:r>
        <w:t>a</w:t>
      </w:r>
      <w:r>
        <w:t>sjoner og 2,2 mill. kroner i prosjektstøtte. Driftsmidlene bidro til at organisasjonene kunne gjennomføre faste møter og arrangementer, og delta i offentlige beslutningsprosesser. Prosjektti</w:t>
      </w:r>
      <w:r>
        <w:t>l</w:t>
      </w:r>
      <w:r>
        <w:t>skuddet bidro til å styrke minoritetenes språk og kultur, og til økt barne- og ungdomsarbeid blant minorit</w:t>
      </w:r>
      <w:r>
        <w:t>e</w:t>
      </w:r>
      <w:r>
        <w:t>tene.</w:t>
      </w:r>
    </w:p>
    <w:p w:rsidR="00557A6F" w:rsidRDefault="00557A6F" w:rsidP="00557A6F">
      <w:r>
        <w:t>Det foreslås en bevilgning på 7,3 mill. kroner i 2020.</w:t>
      </w:r>
    </w:p>
    <w:p w:rsidR="00557A6F" w:rsidRDefault="00557A6F" w:rsidP="00557A6F">
      <w:pPr>
        <w:pStyle w:val="b-post"/>
      </w:pPr>
      <w:r>
        <w:t>Post 72 Det Mosaiske Trossamfund</w:t>
      </w:r>
    </w:p>
    <w:p w:rsidR="00557A6F" w:rsidRDefault="00557A6F" w:rsidP="00557A6F">
      <w:r>
        <w:t>Målet for tilskuddet er både å sørge for sikkerhet rundt lokalene til Det Mosaiske Trossamfund (DMT) i Oslo, og å bidra til å motvirke antisemittisme. Tilskuddet tildeles DMT.</w:t>
      </w:r>
    </w:p>
    <w:p w:rsidR="00557A6F" w:rsidRDefault="00557A6F" w:rsidP="00557A6F">
      <w:r>
        <w:lastRenderedPageBreak/>
        <w:t>Måloppnåelseskriteriet for sikkerhetstiltaket er at en høy andel av medlemmene i DMT opplever at deres sikke</w:t>
      </w:r>
      <w:r>
        <w:t>r</w:t>
      </w:r>
      <w:r>
        <w:t>het er ivaretatt, i og rundt lokalene til DMT.</w:t>
      </w:r>
    </w:p>
    <w:p w:rsidR="00557A6F" w:rsidRDefault="00557A6F" w:rsidP="00557A6F">
      <w:r>
        <w:t>For informasjonstiltakene om jødedom og jøder i Norge er kriteriet for måloppnåelse at personer som får info</w:t>
      </w:r>
      <w:r>
        <w:t>r</w:t>
      </w:r>
      <w:r>
        <w:t>masjon gjennom tiltakene, opplever å ha fått økt bevissthet og kunnskap om jøder, jødedom og antisemittisme.</w:t>
      </w:r>
    </w:p>
    <w:p w:rsidR="00557A6F" w:rsidRDefault="00557A6F" w:rsidP="00557A6F">
      <w:r>
        <w:t>Departementet følger opp rapporteringen for bruken av tilskuddsmidlene etter de krav og vilkår som er satt i r</w:t>
      </w:r>
      <w:r>
        <w:t>e</w:t>
      </w:r>
      <w:r>
        <w:t>gelverk og i tilskuddsbrev.</w:t>
      </w:r>
    </w:p>
    <w:p w:rsidR="00557A6F" w:rsidRDefault="00557A6F" w:rsidP="00557A6F">
      <w:r>
        <w:t>I 2018 fikk DMT tildelt 3,4 mill. kroner til sikkerhetstiltak og 3,8 mill. kroner til informasjonsti</w:t>
      </w:r>
      <w:r>
        <w:t>l</w:t>
      </w:r>
      <w:r>
        <w:t>tak. Store deler av midlene til informasjonstiltak finansierer prosjektet Jødiske veivisere. Jødiske veivisere inngår som et tiltak i regjeringens handlingsplan mot antisemittisme (2016–2020).</w:t>
      </w:r>
    </w:p>
    <w:p w:rsidR="00557A6F" w:rsidRDefault="00557A6F" w:rsidP="00557A6F">
      <w:r>
        <w:t>Det foreslås en bevilgning på 7,2 mill. kroner i 2020, hvorav 3,4 mill. kroner benyttes til sikkerhe</w:t>
      </w:r>
      <w:r>
        <w:t>t</w:t>
      </w:r>
      <w:r>
        <w:t>stiltak og 3,8 mill. kroner til informasjonstiltak.</w:t>
      </w:r>
    </w:p>
    <w:p w:rsidR="00557A6F" w:rsidRDefault="00557A6F" w:rsidP="00557A6F">
      <w:pPr>
        <w:pStyle w:val="b-post"/>
      </w:pPr>
      <w:r>
        <w:t>Post 73 Kvensk språk og kultur</w:t>
      </w:r>
    </w:p>
    <w:p w:rsidR="00557A6F" w:rsidRDefault="00557A6F" w:rsidP="00557A6F">
      <w:r>
        <w:t>Tilskuddsordningen skal bidra til å revitalisere kvensk språk og til å fremme kvensk/norskfinsk kultur.</w:t>
      </w:r>
    </w:p>
    <w:p w:rsidR="00557A6F" w:rsidRDefault="00557A6F" w:rsidP="00557A6F">
      <w:r>
        <w:t>Kriterier for måloppnåelse er antall arrangerte prosjekter, kurs og aktiviteter som fremmer form</w:t>
      </w:r>
      <w:r>
        <w:t>å</w:t>
      </w:r>
      <w:r>
        <w:t>let, og antall deltakere på de ulike tiltakene.</w:t>
      </w:r>
    </w:p>
    <w:p w:rsidR="00557A6F" w:rsidRDefault="00557A6F" w:rsidP="00557A6F">
      <w:r>
        <w:t>Det vil etter søknad bli gitt prosjektstøtte til kulturformål og tiltak som bidrar til å styrke kvensk språk og ident</w:t>
      </w:r>
      <w:r>
        <w:t>i</w:t>
      </w:r>
      <w:r>
        <w:t>tet, herunder etablering og drift av kvenske språksentre. Tiltak som retter seg mot barn og unge, vil bli prioritert. Nærmere tildelingskriterier vil bli fastsatt i forskrift.</w:t>
      </w:r>
    </w:p>
    <w:p w:rsidR="00557A6F" w:rsidRDefault="00557A6F" w:rsidP="00557A6F">
      <w:r>
        <w:t>Forvaltningen av tilskuddsordningen overtas av Troms og Finnmark fylkeskommune i 2020. Fo</w:t>
      </w:r>
      <w:r>
        <w:t>r</w:t>
      </w:r>
      <w:r>
        <w:t>skrift for or</w:t>
      </w:r>
      <w:r>
        <w:t>d</w:t>
      </w:r>
      <w:r>
        <w:t xml:space="preserve">ningen sendes på høring høsten 2019, og vil etter planen tre i kraft 1. </w:t>
      </w:r>
      <w:proofErr w:type="gramStart"/>
      <w:r>
        <w:t>januar</w:t>
      </w:r>
      <w:proofErr w:type="gramEnd"/>
      <w:r>
        <w:t xml:space="preserve"> 2020. </w:t>
      </w:r>
    </w:p>
    <w:p w:rsidR="00557A6F" w:rsidRDefault="00557A6F" w:rsidP="00557A6F">
      <w:r>
        <w:t>Ordningen blir kunngjort via Troms og Finnmark fylkeskommunes nettsider og andre relevante kanaler. Troms og Finnmark fylkeskommune følger opp rapporteringen for bruken av tilskudd</w:t>
      </w:r>
      <w:r>
        <w:t>s</w:t>
      </w:r>
      <w:r>
        <w:t>midlene etter de krav og vilkår som blir satt i forskrift og i tilskuddsbrev.</w:t>
      </w:r>
    </w:p>
    <w:p w:rsidR="00557A6F" w:rsidRDefault="00557A6F" w:rsidP="00557A6F">
      <w:r>
        <w:t>Av en total ramme på 7 mill. kroner i 2018 ble det tildelt 750 000 kroner til drift av Storfjord språksenter, 750 000 kroner til drift av Halti kvenkultursenter og 800 000 kroner i støtte til avisen Ruijan Kaiku. Det ble i tillegg tildelt 2,6 mill. kroner til etablering av nye språksentre i Porsanger, Vadsø og Kvænangen. Det ble også tildelt totalt 2,1 mill. kroner til ulike språk- og kulturprosjekter. Tilskuddene til drift av språksentrene har bidratt til at det er gjennomført en rekke språkkurs og kulturaktiviteter for kvenske barn og unge. Prosjekttilskuddene har bidratt til språk- og kulturutvi</w:t>
      </w:r>
      <w:r>
        <w:t>k</w:t>
      </w:r>
      <w:r>
        <w:t>ling på ulike nivåer.</w:t>
      </w:r>
    </w:p>
    <w:p w:rsidR="00557A6F" w:rsidRDefault="00557A6F" w:rsidP="00557A6F">
      <w:r>
        <w:t xml:space="preserve">Det foreslås en bevilgning på 10,5 mill. kroner i 2020. Det vil bli gitt driftstilskudd over posten til Storfjord språksenter, Halti kvenkultursenter og den kvenske avisen Ruijan Kaiku. </w:t>
      </w:r>
    </w:p>
    <w:p w:rsidR="00557A6F" w:rsidRDefault="00557A6F" w:rsidP="00557A6F">
      <w:pPr>
        <w:pStyle w:val="b-post"/>
      </w:pPr>
      <w:r>
        <w:t>Post 74 Kultur- og ressurssenter for norske rom</w:t>
      </w:r>
    </w:p>
    <w:p w:rsidR="00557A6F" w:rsidRDefault="00557A6F" w:rsidP="00557A6F">
      <w:r>
        <w:t>Bevilgningen på posten dekker tilskudd til etablering, drift og aktiviteter tilknyttet Romano Kher. Senteret er et resultat av statens kollektive oppreisning til norske rom.</w:t>
      </w:r>
    </w:p>
    <w:p w:rsidR="00557A6F" w:rsidRDefault="00557A6F" w:rsidP="00557A6F">
      <w:r>
        <w:t>Formålet med tilskuddet er å etablere og drifte et kultur- og ressurssenter for rom, blant annet for kultur- og kunnskapsformidling. Senteret skal fungere som et sted hvor rom og majoritetsbefol</w:t>
      </w:r>
      <w:r>
        <w:t>k</w:t>
      </w:r>
      <w:r>
        <w:t>ningen kan møtes. Ti</w:t>
      </w:r>
      <w:r>
        <w:t>l</w:t>
      </w:r>
      <w:r>
        <w:t>skuddsmottaker er Kirkens Bymisjon, som driver senteret i tett samarbeid med norske rom.</w:t>
      </w:r>
    </w:p>
    <w:p w:rsidR="00557A6F" w:rsidRDefault="00557A6F" w:rsidP="00557A6F">
      <w:r>
        <w:t>Måloppnåelsen måles i første omgang i deltakelse. Norske rom skal både delta i og kunne påvirke beslutning</w:t>
      </w:r>
      <w:r>
        <w:t>s</w:t>
      </w:r>
      <w:r>
        <w:t>prosesser som angår innhold og drift av senteret. På sikt skal senteret og tiltakene der evalueres.</w:t>
      </w:r>
    </w:p>
    <w:p w:rsidR="00557A6F" w:rsidRDefault="00557A6F" w:rsidP="00557A6F">
      <w:r>
        <w:t>Departementet følger opp rapporteringen for bruken av tilskuddsmidlene etter de krav og vilkår som er satt i r</w:t>
      </w:r>
      <w:r>
        <w:t>e</w:t>
      </w:r>
      <w:r>
        <w:t>gelverk og i tilskuddsbrev.</w:t>
      </w:r>
    </w:p>
    <w:p w:rsidR="00557A6F" w:rsidRDefault="00557A6F" w:rsidP="00557A6F">
      <w:r>
        <w:t>Kirkens Bymisjon har etablert Romano Kher, som også inkluderer en brobyggertjeneste. Senteret u</w:t>
      </w:r>
      <w:r>
        <w:t>t</w:t>
      </w:r>
      <w:r>
        <w:t>vikles etter planen etappevis med kulturarbeid, kafé, åpen barnehage, tiltak rettet mot barn og ungdom, inkludering av rommenigheten og enkelte arbeidsrettede tiltak. Senteret åpnet i midlert</w:t>
      </w:r>
      <w:r>
        <w:t>i</w:t>
      </w:r>
      <w:r>
        <w:t>dige lokaler 1. mars 2018.</w:t>
      </w:r>
    </w:p>
    <w:p w:rsidR="00557A6F" w:rsidRDefault="00557A6F" w:rsidP="00557A6F">
      <w:r>
        <w:t xml:space="preserve">Arbeidet med å etablere Romano Kher i permanente lokaler vil fortsette i 2020, jf. omtale under kap. 567, post 22. </w:t>
      </w:r>
    </w:p>
    <w:p w:rsidR="00557A6F" w:rsidRDefault="00557A6F" w:rsidP="00557A6F">
      <w:r>
        <w:lastRenderedPageBreak/>
        <w:t>Det foreslås en bevilgning på 14 mill. kroner i 2020. I bevilgningen inngår midler til Kirkens B</w:t>
      </w:r>
      <w:r>
        <w:t>y</w:t>
      </w:r>
      <w:r>
        <w:t>misjons arbeid med brobyggertjenesten for norske rom.</w:t>
      </w:r>
    </w:p>
    <w:p w:rsidR="00557A6F" w:rsidRDefault="00557A6F" w:rsidP="00557A6F">
      <w:r>
        <w:t>Det foreslås videre en tilsagnsfullmakt på 4,1 mill. kroner, jf. forslag til romertallsvedtak.</w:t>
      </w:r>
    </w:p>
    <w:p w:rsidR="00557A6F" w:rsidRDefault="00557A6F" w:rsidP="00557A6F">
      <w:pPr>
        <w:pStyle w:val="b-post"/>
      </w:pPr>
      <w:r>
        <w:t>Post 75 Romanifolket/taterne, kan overføres, kan nyttes under post 25</w:t>
      </w:r>
    </w:p>
    <w:p w:rsidR="00557A6F" w:rsidRDefault="00557A6F" w:rsidP="00557A6F">
      <w:r>
        <w:t>Formålet med tilskuddsordningen er å bidra til å gjenreise, utvikle og synliggjøre romanifo</w:t>
      </w:r>
      <w:r>
        <w:t>l</w:t>
      </w:r>
      <w:r>
        <w:t>ket/taternes kultur og historie. Det kan også være aktuelt å vurdere andre tiltak som kan komme romanifolket/taterne til gode.</w:t>
      </w:r>
    </w:p>
    <w:p w:rsidR="00557A6F" w:rsidRDefault="00557A6F" w:rsidP="00557A6F">
      <w:r>
        <w:t>Gjennom prosjektrapporteringen skal det vurderes i hvilken grad prosjektet har oppnådd de målene som er satt i søknaden, om prosjektet har nådd målgruppen og hvilket resultat prosjektet har ført til i form av aktiviteter eller tiltak.</w:t>
      </w:r>
    </w:p>
    <w:p w:rsidR="00557A6F" w:rsidRDefault="00557A6F" w:rsidP="00557A6F">
      <w:r>
        <w:t>Det vil bli gitt tilskudd til prosjekter som bidrar til å synliggjøre, styrke og videreføre romanifo</w:t>
      </w:r>
      <w:r>
        <w:t>l</w:t>
      </w:r>
      <w:r>
        <w:t>kets/taternes kultur, språk og historie, til dokumentasjon og formidling av kunnskap om roman</w:t>
      </w:r>
      <w:r>
        <w:t>i</w:t>
      </w:r>
      <w:r>
        <w:t xml:space="preserve">folkets/taternes situasjon og til holdningsskapende arbeid. </w:t>
      </w:r>
    </w:p>
    <w:p w:rsidR="00557A6F" w:rsidRDefault="00557A6F" w:rsidP="00557A6F">
      <w:r>
        <w:t>Fra 2019 blir den kollektive oppreisningen til romanifolket/taterne forvaltet av Kulturrådet som en tilskuddsordning. Representanter for romanifolket/taterne vil bli involvert i arbeidet med ti</w:t>
      </w:r>
      <w:r>
        <w:t>l</w:t>
      </w:r>
      <w:r>
        <w:t>skuddsordningen. Hvordan invo</w:t>
      </w:r>
      <w:r>
        <w:t>l</w:t>
      </w:r>
      <w:r>
        <w:t>veringen skal foregå vil bli bestemt i dialog mellom Kulturrådet og representanter fra romanifolket/taterne. Det er utarbeidet en forskrift for tilskuddsordningen som har vært ute på bred høring. Kommunal- og moderniseringsdepartementet er klageinstans. Kultu</w:t>
      </w:r>
      <w:r>
        <w:t>r</w:t>
      </w:r>
      <w:r>
        <w:t>rådet har ansvar for å eval</w:t>
      </w:r>
      <w:r>
        <w:t>u</w:t>
      </w:r>
      <w:r>
        <w:t>ere ordningen.</w:t>
      </w:r>
    </w:p>
    <w:p w:rsidR="00557A6F" w:rsidRDefault="00557A6F" w:rsidP="00557A6F">
      <w:r>
        <w:t>Kommunal- og moderniseringsdepartementet lyste ut en midlertidig tilskuddsordning på 3 mill. kroner til romanifolket/taterne i 2018, med søknadsfrist 11. juni og 15. september 2018. Depart</w:t>
      </w:r>
      <w:r>
        <w:t>e</w:t>
      </w:r>
      <w:r>
        <w:t>mentet ga tilskudd til 17 pr</w:t>
      </w:r>
      <w:r>
        <w:t>o</w:t>
      </w:r>
      <w:r>
        <w:t>sjekter innenfor formålet med tilskuddsordningen. Prosjekter av ulikt omfang, med ulike formål og med forskje</w:t>
      </w:r>
      <w:r>
        <w:t>l</w:t>
      </w:r>
      <w:r>
        <w:t>lige målgrupper mottok støtte, blant annet til konserter, filmprosjekt, bøker, samlingssted og ulike arrangementer.</w:t>
      </w:r>
    </w:p>
    <w:p w:rsidR="00557A6F" w:rsidRDefault="00557A6F" w:rsidP="00557A6F">
      <w:r>
        <w:t>Det foreslås at 630 000 kroner flyttes fra post 25 til denne posten for å sikre at størst mulig andel av den kollektive oppreisningen til romanifolket/taterne blir fordelt som tilskudd til tiltak innenfor målgru</w:t>
      </w:r>
      <w:r>
        <w:t>p</w:t>
      </w:r>
      <w:r>
        <w:t>pen, jf. omtale under post 25.</w:t>
      </w:r>
    </w:p>
    <w:p w:rsidR="00557A6F" w:rsidRDefault="00557A6F" w:rsidP="00557A6F">
      <w:r>
        <w:t>Det foreslås en bevilgning på 5 mill. kroner i 2020.</w:t>
      </w:r>
    </w:p>
    <w:p w:rsidR="00557A6F" w:rsidRDefault="00557A6F" w:rsidP="00557A6F">
      <w:r>
        <w:t>For at ubrukt bevilgning fra tidligere år skal gå til det tiltenkte formålet, foreslås det at Kommunal- og modern</w:t>
      </w:r>
      <w:r>
        <w:t>i</w:t>
      </w:r>
      <w:r>
        <w:t xml:space="preserve">seringsdepartementet gis fullmakt til å overføre udisponert beløp på kap. 567, post 75 fra 2020 til 2021, jf. forslag til romertallsvedtak. </w:t>
      </w:r>
    </w:p>
    <w:p w:rsidR="00557A6F" w:rsidRDefault="00557A6F" w:rsidP="00557A6F">
      <w:pPr>
        <w:pStyle w:val="b-progkat"/>
      </w:pPr>
      <w:r>
        <w:lastRenderedPageBreak/>
        <w:t>Programkategori 13.70 Kommunesektoren mv.</w:t>
      </w:r>
    </w:p>
    <w:p w:rsidR="00557A6F" w:rsidRDefault="00557A6F" w:rsidP="00557A6F">
      <w:pPr>
        <w:pStyle w:val="avsnitt-tittel"/>
      </w:pPr>
      <w:r>
        <w:t>Utgifter under programkategori 13.70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557A6F" w:rsidTr="00557A6F">
        <w:trPr>
          <w:trHeight w:val="640"/>
        </w:trPr>
        <w:tc>
          <w:tcPr>
            <w:tcW w:w="1020" w:type="dxa"/>
            <w:shd w:val="clear" w:color="auto" w:fill="FFFFFF"/>
          </w:tcPr>
          <w:p w:rsidR="00557A6F" w:rsidRDefault="00557A6F" w:rsidP="00557A6F">
            <w:pPr>
              <w:pStyle w:val="Tabellnavn"/>
            </w:pPr>
            <w:r>
              <w:t>PIKL</w:t>
            </w:r>
          </w:p>
        </w:tc>
        <w:tc>
          <w:tcPr>
            <w:tcW w:w="4080" w:type="dxa"/>
          </w:tcPr>
          <w:p w:rsidR="00557A6F" w:rsidRDefault="00557A6F" w:rsidP="00557A6F"/>
        </w:tc>
        <w:tc>
          <w:tcPr>
            <w:tcW w:w="1020" w:type="dxa"/>
          </w:tcPr>
          <w:p w:rsidR="00557A6F" w:rsidRDefault="00557A6F" w:rsidP="00557A6F">
            <w:pPr>
              <w:pStyle w:val="Tabellnavn"/>
              <w:jc w:val="right"/>
            </w:pPr>
          </w:p>
        </w:tc>
        <w:tc>
          <w:tcPr>
            <w:tcW w:w="1020" w:type="dxa"/>
          </w:tcPr>
          <w:p w:rsidR="00557A6F" w:rsidRDefault="00557A6F" w:rsidP="00557A6F">
            <w:pPr>
              <w:pStyle w:val="Tabellnavn"/>
              <w:jc w:val="right"/>
            </w:pPr>
          </w:p>
        </w:tc>
        <w:tc>
          <w:tcPr>
            <w:tcW w:w="1020" w:type="dxa"/>
          </w:tcPr>
          <w:p w:rsidR="00557A6F" w:rsidRDefault="00557A6F" w:rsidP="00557A6F">
            <w:pPr>
              <w:pStyle w:val="Tabellnavn"/>
              <w:jc w:val="right"/>
            </w:pPr>
          </w:p>
        </w:tc>
        <w:tc>
          <w:tcPr>
            <w:tcW w:w="1020" w:type="dxa"/>
          </w:tcPr>
          <w:p w:rsidR="00557A6F" w:rsidRDefault="00557A6F" w:rsidP="00557A6F">
            <w:pPr>
              <w:jc w:val="right"/>
            </w:pPr>
            <w:r>
              <w:t>(i 1 000 kr)</w:t>
            </w:r>
          </w:p>
        </w:tc>
      </w:tr>
      <w:tr w:rsidR="00557A6F" w:rsidTr="00557A6F">
        <w:trPr>
          <w:trHeight w:val="600"/>
        </w:trPr>
        <w:tc>
          <w:tcPr>
            <w:tcW w:w="1020" w:type="dxa"/>
          </w:tcPr>
          <w:p w:rsidR="00557A6F" w:rsidRDefault="00557A6F" w:rsidP="00557A6F">
            <w:r>
              <w:t>Kap.</w:t>
            </w:r>
          </w:p>
        </w:tc>
        <w:tc>
          <w:tcPr>
            <w:tcW w:w="4080" w:type="dxa"/>
          </w:tcPr>
          <w:p w:rsidR="00557A6F" w:rsidRDefault="00557A6F" w:rsidP="00557A6F">
            <w:r>
              <w:t>Betegnelse</w:t>
            </w:r>
          </w:p>
        </w:tc>
        <w:tc>
          <w:tcPr>
            <w:tcW w:w="1020" w:type="dxa"/>
          </w:tcPr>
          <w:p w:rsidR="00557A6F" w:rsidRDefault="00557A6F" w:rsidP="00557A6F">
            <w:pPr>
              <w:jc w:val="right"/>
            </w:pPr>
            <w:r>
              <w:t>Reg</w:t>
            </w:r>
            <w:r>
              <w:t>n</w:t>
            </w:r>
            <w:r>
              <w:t>skap 2018</w:t>
            </w:r>
          </w:p>
        </w:tc>
        <w:tc>
          <w:tcPr>
            <w:tcW w:w="1020" w:type="dxa"/>
          </w:tcPr>
          <w:p w:rsidR="00557A6F" w:rsidRDefault="00557A6F" w:rsidP="00557A6F">
            <w:pPr>
              <w:jc w:val="right"/>
            </w:pPr>
            <w:r>
              <w:t xml:space="preserve">Saldert </w:t>
            </w:r>
            <w:r>
              <w:br/>
              <w:t>budsjett 2019</w:t>
            </w:r>
          </w:p>
        </w:tc>
        <w:tc>
          <w:tcPr>
            <w:tcW w:w="1020" w:type="dxa"/>
          </w:tcPr>
          <w:p w:rsidR="00557A6F" w:rsidRDefault="00557A6F" w:rsidP="00557A6F">
            <w:pPr>
              <w:jc w:val="right"/>
            </w:pPr>
            <w:r>
              <w:t xml:space="preserve">Forslag </w:t>
            </w:r>
            <w:r>
              <w:br/>
              <w:t>2020</w:t>
            </w:r>
          </w:p>
        </w:tc>
        <w:tc>
          <w:tcPr>
            <w:tcW w:w="1020" w:type="dxa"/>
          </w:tcPr>
          <w:p w:rsidR="00557A6F" w:rsidRDefault="00557A6F" w:rsidP="00557A6F">
            <w:pPr>
              <w:jc w:val="right"/>
            </w:pPr>
            <w:r>
              <w:t xml:space="preserve">Pst. endr. </w:t>
            </w:r>
            <w:r>
              <w:br/>
              <w:t>19/20</w:t>
            </w:r>
          </w:p>
        </w:tc>
      </w:tr>
      <w:tr w:rsidR="00557A6F" w:rsidTr="00557A6F">
        <w:trPr>
          <w:trHeight w:val="380"/>
        </w:trPr>
        <w:tc>
          <w:tcPr>
            <w:tcW w:w="1020" w:type="dxa"/>
          </w:tcPr>
          <w:p w:rsidR="00557A6F" w:rsidRDefault="00557A6F" w:rsidP="00557A6F">
            <w:r>
              <w:t>571</w:t>
            </w:r>
          </w:p>
        </w:tc>
        <w:tc>
          <w:tcPr>
            <w:tcW w:w="4080" w:type="dxa"/>
          </w:tcPr>
          <w:p w:rsidR="00557A6F" w:rsidRDefault="00557A6F" w:rsidP="00557A6F">
            <w:r>
              <w:t>Rammetilskudd til kommuner</w:t>
            </w:r>
          </w:p>
        </w:tc>
        <w:tc>
          <w:tcPr>
            <w:tcW w:w="1020" w:type="dxa"/>
          </w:tcPr>
          <w:p w:rsidR="00557A6F" w:rsidRDefault="00557A6F" w:rsidP="00557A6F">
            <w:pPr>
              <w:jc w:val="right"/>
            </w:pPr>
            <w:r>
              <w:t>131 181 922</w:t>
            </w:r>
          </w:p>
        </w:tc>
        <w:tc>
          <w:tcPr>
            <w:tcW w:w="1020" w:type="dxa"/>
          </w:tcPr>
          <w:p w:rsidR="00557A6F" w:rsidRDefault="00557A6F" w:rsidP="00557A6F">
            <w:pPr>
              <w:jc w:val="right"/>
            </w:pPr>
            <w:r>
              <w:t>136 790 889</w:t>
            </w:r>
          </w:p>
        </w:tc>
        <w:tc>
          <w:tcPr>
            <w:tcW w:w="1020" w:type="dxa"/>
          </w:tcPr>
          <w:p w:rsidR="00557A6F" w:rsidRDefault="00557A6F" w:rsidP="00557A6F">
            <w:pPr>
              <w:jc w:val="right"/>
            </w:pPr>
            <w:r>
              <w:t>142 141 331</w:t>
            </w:r>
          </w:p>
        </w:tc>
        <w:tc>
          <w:tcPr>
            <w:tcW w:w="1020" w:type="dxa"/>
          </w:tcPr>
          <w:p w:rsidR="00557A6F" w:rsidRDefault="00557A6F" w:rsidP="00557A6F">
            <w:pPr>
              <w:jc w:val="right"/>
            </w:pPr>
            <w:r>
              <w:t>3,9</w:t>
            </w:r>
          </w:p>
        </w:tc>
      </w:tr>
      <w:tr w:rsidR="00557A6F" w:rsidTr="00557A6F">
        <w:trPr>
          <w:trHeight w:val="380"/>
        </w:trPr>
        <w:tc>
          <w:tcPr>
            <w:tcW w:w="1020" w:type="dxa"/>
          </w:tcPr>
          <w:p w:rsidR="00557A6F" w:rsidRDefault="00557A6F" w:rsidP="00557A6F">
            <w:r>
              <w:t>572</w:t>
            </w:r>
          </w:p>
        </w:tc>
        <w:tc>
          <w:tcPr>
            <w:tcW w:w="4080" w:type="dxa"/>
          </w:tcPr>
          <w:p w:rsidR="00557A6F" w:rsidRDefault="00557A6F" w:rsidP="00557A6F">
            <w:r>
              <w:t>Rammetilskudd til fylkeskomm</w:t>
            </w:r>
            <w:r>
              <w:t>u</w:t>
            </w:r>
            <w:r>
              <w:t>ner</w:t>
            </w:r>
          </w:p>
        </w:tc>
        <w:tc>
          <w:tcPr>
            <w:tcW w:w="1020" w:type="dxa"/>
          </w:tcPr>
          <w:p w:rsidR="00557A6F" w:rsidRDefault="00557A6F" w:rsidP="00557A6F">
            <w:pPr>
              <w:jc w:val="right"/>
            </w:pPr>
            <w:r>
              <w:t>33 724 368</w:t>
            </w:r>
          </w:p>
        </w:tc>
        <w:tc>
          <w:tcPr>
            <w:tcW w:w="1020" w:type="dxa"/>
          </w:tcPr>
          <w:p w:rsidR="00557A6F" w:rsidRDefault="00557A6F" w:rsidP="00557A6F">
            <w:pPr>
              <w:jc w:val="right"/>
            </w:pPr>
            <w:r>
              <w:t>34 621 331</w:t>
            </w:r>
          </w:p>
        </w:tc>
        <w:tc>
          <w:tcPr>
            <w:tcW w:w="1020" w:type="dxa"/>
          </w:tcPr>
          <w:p w:rsidR="00557A6F" w:rsidRDefault="00557A6F" w:rsidP="00557A6F">
            <w:pPr>
              <w:jc w:val="right"/>
            </w:pPr>
            <w:r>
              <w:t>36 841 410</w:t>
            </w:r>
          </w:p>
        </w:tc>
        <w:tc>
          <w:tcPr>
            <w:tcW w:w="1020" w:type="dxa"/>
          </w:tcPr>
          <w:p w:rsidR="00557A6F" w:rsidRDefault="00557A6F" w:rsidP="00557A6F">
            <w:pPr>
              <w:jc w:val="right"/>
            </w:pPr>
            <w:r>
              <w:t>6,4</w:t>
            </w:r>
          </w:p>
        </w:tc>
      </w:tr>
      <w:tr w:rsidR="00557A6F" w:rsidTr="00557A6F">
        <w:trPr>
          <w:trHeight w:val="380"/>
        </w:trPr>
        <w:tc>
          <w:tcPr>
            <w:tcW w:w="1020" w:type="dxa"/>
          </w:tcPr>
          <w:p w:rsidR="00557A6F" w:rsidRDefault="00557A6F" w:rsidP="00557A6F">
            <w:r>
              <w:t>573</w:t>
            </w:r>
          </w:p>
        </w:tc>
        <w:tc>
          <w:tcPr>
            <w:tcW w:w="4080" w:type="dxa"/>
          </w:tcPr>
          <w:p w:rsidR="00557A6F" w:rsidRDefault="00557A6F" w:rsidP="00557A6F">
            <w:r>
              <w:t>Kommunereform</w:t>
            </w:r>
          </w:p>
        </w:tc>
        <w:tc>
          <w:tcPr>
            <w:tcW w:w="1020" w:type="dxa"/>
          </w:tcPr>
          <w:p w:rsidR="00557A6F" w:rsidRDefault="00557A6F" w:rsidP="00557A6F">
            <w:pPr>
              <w:jc w:val="right"/>
            </w:pPr>
            <w:r>
              <w:t>57 764</w:t>
            </w:r>
          </w:p>
        </w:tc>
        <w:tc>
          <w:tcPr>
            <w:tcW w:w="1020" w:type="dxa"/>
          </w:tcPr>
          <w:p w:rsidR="00557A6F" w:rsidRDefault="00557A6F" w:rsidP="00557A6F">
            <w:pPr>
              <w:jc w:val="right"/>
            </w:pPr>
            <w:r>
              <w:t>50 000</w:t>
            </w:r>
          </w:p>
        </w:tc>
        <w:tc>
          <w:tcPr>
            <w:tcW w:w="1020" w:type="dxa"/>
          </w:tcPr>
          <w:p w:rsidR="00557A6F" w:rsidRDefault="00557A6F" w:rsidP="00557A6F">
            <w:pPr>
              <w:jc w:val="right"/>
            </w:pPr>
            <w:r>
              <w:t>871 786</w:t>
            </w:r>
          </w:p>
        </w:tc>
        <w:tc>
          <w:tcPr>
            <w:tcW w:w="1020" w:type="dxa"/>
          </w:tcPr>
          <w:p w:rsidR="00557A6F" w:rsidRDefault="00557A6F" w:rsidP="00557A6F">
            <w:pPr>
              <w:jc w:val="right"/>
            </w:pPr>
            <w:r>
              <w:t>1 643,6</w:t>
            </w:r>
          </w:p>
        </w:tc>
      </w:tr>
      <w:tr w:rsidR="00557A6F" w:rsidTr="00557A6F">
        <w:trPr>
          <w:trHeight w:val="380"/>
        </w:trPr>
        <w:tc>
          <w:tcPr>
            <w:tcW w:w="1020" w:type="dxa"/>
          </w:tcPr>
          <w:p w:rsidR="00557A6F" w:rsidRDefault="00557A6F" w:rsidP="00557A6F">
            <w:r>
              <w:t>575</w:t>
            </w:r>
          </w:p>
        </w:tc>
        <w:tc>
          <w:tcPr>
            <w:tcW w:w="4080" w:type="dxa"/>
          </w:tcPr>
          <w:p w:rsidR="00557A6F" w:rsidRDefault="00557A6F" w:rsidP="00557A6F">
            <w:r>
              <w:t>Ressurskrevende tjenester</w:t>
            </w:r>
          </w:p>
        </w:tc>
        <w:tc>
          <w:tcPr>
            <w:tcW w:w="1020" w:type="dxa"/>
          </w:tcPr>
          <w:p w:rsidR="00557A6F" w:rsidRDefault="00557A6F" w:rsidP="00557A6F">
            <w:pPr>
              <w:jc w:val="right"/>
            </w:pPr>
            <w:r>
              <w:t>9 325 617</w:t>
            </w:r>
          </w:p>
        </w:tc>
        <w:tc>
          <w:tcPr>
            <w:tcW w:w="1020" w:type="dxa"/>
          </w:tcPr>
          <w:p w:rsidR="00557A6F" w:rsidRDefault="00557A6F" w:rsidP="00557A6F">
            <w:pPr>
              <w:jc w:val="right"/>
            </w:pPr>
            <w:r>
              <w:t>10 222 112</w:t>
            </w:r>
          </w:p>
        </w:tc>
        <w:tc>
          <w:tcPr>
            <w:tcW w:w="1020" w:type="dxa"/>
          </w:tcPr>
          <w:p w:rsidR="00557A6F" w:rsidRDefault="00557A6F" w:rsidP="00557A6F">
            <w:pPr>
              <w:jc w:val="right"/>
            </w:pPr>
            <w:r>
              <w:t>10 767 694</w:t>
            </w:r>
          </w:p>
        </w:tc>
        <w:tc>
          <w:tcPr>
            <w:tcW w:w="1020" w:type="dxa"/>
          </w:tcPr>
          <w:p w:rsidR="00557A6F" w:rsidRDefault="00557A6F" w:rsidP="00557A6F">
            <w:pPr>
              <w:jc w:val="right"/>
            </w:pPr>
            <w:r>
              <w:t>5,3</w:t>
            </w:r>
          </w:p>
        </w:tc>
      </w:tr>
      <w:tr w:rsidR="00557A6F" w:rsidTr="00557A6F">
        <w:trPr>
          <w:trHeight w:val="380"/>
        </w:trPr>
        <w:tc>
          <w:tcPr>
            <w:tcW w:w="1020" w:type="dxa"/>
          </w:tcPr>
          <w:p w:rsidR="00557A6F" w:rsidRDefault="00557A6F" w:rsidP="00557A6F">
            <w:r>
              <w:t>577</w:t>
            </w:r>
          </w:p>
        </w:tc>
        <w:tc>
          <w:tcPr>
            <w:tcW w:w="4080" w:type="dxa"/>
          </w:tcPr>
          <w:p w:rsidR="00557A6F" w:rsidRDefault="00557A6F" w:rsidP="00557A6F">
            <w:r>
              <w:t>Tilskudd til de politiske partier</w:t>
            </w:r>
          </w:p>
        </w:tc>
        <w:tc>
          <w:tcPr>
            <w:tcW w:w="1020" w:type="dxa"/>
          </w:tcPr>
          <w:p w:rsidR="00557A6F" w:rsidRDefault="00557A6F" w:rsidP="00557A6F">
            <w:pPr>
              <w:jc w:val="right"/>
            </w:pPr>
            <w:r>
              <w:t>457 181</w:t>
            </w:r>
          </w:p>
        </w:tc>
        <w:tc>
          <w:tcPr>
            <w:tcW w:w="1020" w:type="dxa"/>
          </w:tcPr>
          <w:p w:rsidR="00557A6F" w:rsidRDefault="00557A6F" w:rsidP="00557A6F">
            <w:pPr>
              <w:jc w:val="right"/>
            </w:pPr>
            <w:r>
              <w:t>470 251</w:t>
            </w:r>
          </w:p>
        </w:tc>
        <w:tc>
          <w:tcPr>
            <w:tcW w:w="1020" w:type="dxa"/>
          </w:tcPr>
          <w:p w:rsidR="00557A6F" w:rsidRDefault="00557A6F" w:rsidP="00557A6F">
            <w:pPr>
              <w:jc w:val="right"/>
            </w:pPr>
            <w:r>
              <w:t>468 074</w:t>
            </w:r>
          </w:p>
        </w:tc>
        <w:tc>
          <w:tcPr>
            <w:tcW w:w="1020" w:type="dxa"/>
          </w:tcPr>
          <w:p w:rsidR="00557A6F" w:rsidRDefault="00557A6F" w:rsidP="00557A6F">
            <w:pPr>
              <w:jc w:val="right"/>
            </w:pPr>
            <w:r>
              <w:t>-0,5</w:t>
            </w:r>
          </w:p>
        </w:tc>
      </w:tr>
      <w:tr w:rsidR="00557A6F" w:rsidTr="00557A6F">
        <w:trPr>
          <w:trHeight w:val="380"/>
        </w:trPr>
        <w:tc>
          <w:tcPr>
            <w:tcW w:w="1020" w:type="dxa"/>
          </w:tcPr>
          <w:p w:rsidR="00557A6F" w:rsidRDefault="00557A6F" w:rsidP="00557A6F">
            <w:r>
              <w:t>578</w:t>
            </w:r>
          </w:p>
        </w:tc>
        <w:tc>
          <w:tcPr>
            <w:tcW w:w="4080" w:type="dxa"/>
          </w:tcPr>
          <w:p w:rsidR="00557A6F" w:rsidRDefault="00557A6F" w:rsidP="00557A6F">
            <w:r>
              <w:t>Valgdirektoratet</w:t>
            </w:r>
          </w:p>
        </w:tc>
        <w:tc>
          <w:tcPr>
            <w:tcW w:w="1020" w:type="dxa"/>
          </w:tcPr>
          <w:p w:rsidR="00557A6F" w:rsidRDefault="00557A6F" w:rsidP="00557A6F">
            <w:pPr>
              <w:jc w:val="right"/>
            </w:pPr>
            <w:r>
              <w:t>46 667</w:t>
            </w:r>
          </w:p>
        </w:tc>
        <w:tc>
          <w:tcPr>
            <w:tcW w:w="1020" w:type="dxa"/>
          </w:tcPr>
          <w:p w:rsidR="00557A6F" w:rsidRDefault="00557A6F" w:rsidP="00557A6F">
            <w:pPr>
              <w:jc w:val="right"/>
            </w:pPr>
            <w:r>
              <w:t>112 945</w:t>
            </w:r>
          </w:p>
        </w:tc>
        <w:tc>
          <w:tcPr>
            <w:tcW w:w="1020" w:type="dxa"/>
          </w:tcPr>
          <w:p w:rsidR="00557A6F" w:rsidRDefault="00557A6F" w:rsidP="00557A6F">
            <w:pPr>
              <w:jc w:val="right"/>
            </w:pPr>
            <w:r>
              <w:t>57 436</w:t>
            </w:r>
          </w:p>
        </w:tc>
        <w:tc>
          <w:tcPr>
            <w:tcW w:w="1020" w:type="dxa"/>
          </w:tcPr>
          <w:p w:rsidR="00557A6F" w:rsidRDefault="00557A6F" w:rsidP="00557A6F">
            <w:pPr>
              <w:jc w:val="right"/>
            </w:pPr>
            <w:r>
              <w:t>-49,1</w:t>
            </w:r>
          </w:p>
        </w:tc>
      </w:tr>
      <w:tr w:rsidR="00557A6F" w:rsidTr="00557A6F">
        <w:trPr>
          <w:trHeight w:val="380"/>
        </w:trPr>
        <w:tc>
          <w:tcPr>
            <w:tcW w:w="1020" w:type="dxa"/>
          </w:tcPr>
          <w:p w:rsidR="00557A6F" w:rsidRDefault="00557A6F" w:rsidP="00557A6F">
            <w:r>
              <w:t>579</w:t>
            </w:r>
          </w:p>
        </w:tc>
        <w:tc>
          <w:tcPr>
            <w:tcW w:w="4080" w:type="dxa"/>
          </w:tcPr>
          <w:p w:rsidR="00557A6F" w:rsidRDefault="00557A6F" w:rsidP="00557A6F">
            <w:r>
              <w:t>Valgutgifter</w:t>
            </w:r>
          </w:p>
        </w:tc>
        <w:tc>
          <w:tcPr>
            <w:tcW w:w="1020" w:type="dxa"/>
          </w:tcPr>
          <w:p w:rsidR="00557A6F" w:rsidRDefault="00557A6F" w:rsidP="00557A6F">
            <w:pPr>
              <w:jc w:val="right"/>
            </w:pPr>
            <w:r>
              <w:t>8 518</w:t>
            </w:r>
          </w:p>
        </w:tc>
        <w:tc>
          <w:tcPr>
            <w:tcW w:w="1020" w:type="dxa"/>
          </w:tcPr>
          <w:p w:rsidR="00557A6F" w:rsidRDefault="00557A6F" w:rsidP="00557A6F">
            <w:pPr>
              <w:jc w:val="right"/>
            </w:pPr>
            <w:r>
              <w:t>11 469</w:t>
            </w:r>
          </w:p>
        </w:tc>
        <w:tc>
          <w:tcPr>
            <w:tcW w:w="1020" w:type="dxa"/>
          </w:tcPr>
          <w:p w:rsidR="00557A6F" w:rsidRDefault="00557A6F" w:rsidP="00557A6F">
            <w:pPr>
              <w:jc w:val="right"/>
            </w:pPr>
            <w:r>
              <w:t>11 662</w:t>
            </w:r>
          </w:p>
        </w:tc>
        <w:tc>
          <w:tcPr>
            <w:tcW w:w="1020" w:type="dxa"/>
          </w:tcPr>
          <w:p w:rsidR="00557A6F" w:rsidRDefault="00557A6F" w:rsidP="00557A6F">
            <w:pPr>
              <w:jc w:val="right"/>
            </w:pPr>
            <w:r>
              <w:t>1,7</w:t>
            </w:r>
          </w:p>
        </w:tc>
      </w:tr>
      <w:tr w:rsidR="00557A6F" w:rsidTr="00557A6F">
        <w:trPr>
          <w:trHeight w:val="380"/>
        </w:trPr>
        <w:tc>
          <w:tcPr>
            <w:tcW w:w="1020" w:type="dxa"/>
          </w:tcPr>
          <w:p w:rsidR="00557A6F" w:rsidRDefault="00557A6F" w:rsidP="00557A6F"/>
        </w:tc>
        <w:tc>
          <w:tcPr>
            <w:tcW w:w="4080" w:type="dxa"/>
          </w:tcPr>
          <w:p w:rsidR="00557A6F" w:rsidRDefault="00557A6F" w:rsidP="00557A6F">
            <w:r>
              <w:t>Sum kategori 13.70</w:t>
            </w:r>
          </w:p>
        </w:tc>
        <w:tc>
          <w:tcPr>
            <w:tcW w:w="1020" w:type="dxa"/>
          </w:tcPr>
          <w:p w:rsidR="00557A6F" w:rsidRDefault="00557A6F" w:rsidP="00557A6F">
            <w:pPr>
              <w:jc w:val="right"/>
            </w:pPr>
            <w:r>
              <w:t>174 802 037</w:t>
            </w:r>
          </w:p>
        </w:tc>
        <w:tc>
          <w:tcPr>
            <w:tcW w:w="1020" w:type="dxa"/>
          </w:tcPr>
          <w:p w:rsidR="00557A6F" w:rsidRDefault="00557A6F" w:rsidP="00557A6F">
            <w:pPr>
              <w:jc w:val="right"/>
            </w:pPr>
            <w:r>
              <w:t>182 278 997</w:t>
            </w:r>
          </w:p>
        </w:tc>
        <w:tc>
          <w:tcPr>
            <w:tcW w:w="1020" w:type="dxa"/>
          </w:tcPr>
          <w:p w:rsidR="00557A6F" w:rsidRDefault="00557A6F" w:rsidP="00557A6F">
            <w:pPr>
              <w:jc w:val="right"/>
            </w:pPr>
            <w:r>
              <w:t>191 159 393</w:t>
            </w:r>
          </w:p>
        </w:tc>
        <w:tc>
          <w:tcPr>
            <w:tcW w:w="1020" w:type="dxa"/>
          </w:tcPr>
          <w:p w:rsidR="00557A6F" w:rsidRDefault="00557A6F" w:rsidP="00557A6F">
            <w:pPr>
              <w:jc w:val="right"/>
            </w:pPr>
            <w:r>
              <w:t>4,9</w:t>
            </w:r>
          </w:p>
        </w:tc>
      </w:tr>
    </w:tbl>
    <w:p w:rsidR="00557A6F" w:rsidRDefault="00557A6F" w:rsidP="00557A6F">
      <w:pPr>
        <w:pStyle w:val="avsnitt-tittel"/>
      </w:pPr>
      <w:r>
        <w:t>Inntekter under programkategori 13.70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557A6F" w:rsidTr="00557A6F">
        <w:trPr>
          <w:trHeight w:val="640"/>
        </w:trPr>
        <w:tc>
          <w:tcPr>
            <w:tcW w:w="1020" w:type="dxa"/>
            <w:shd w:val="clear" w:color="auto" w:fill="FFFFFF"/>
          </w:tcPr>
          <w:p w:rsidR="00557A6F" w:rsidRDefault="00557A6F" w:rsidP="00557A6F">
            <w:pPr>
              <w:pStyle w:val="Tabellnavn"/>
            </w:pPr>
            <w:r>
              <w:t>PIKL</w:t>
            </w:r>
          </w:p>
        </w:tc>
        <w:tc>
          <w:tcPr>
            <w:tcW w:w="4080" w:type="dxa"/>
          </w:tcPr>
          <w:p w:rsidR="00557A6F" w:rsidRDefault="00557A6F" w:rsidP="00557A6F"/>
        </w:tc>
        <w:tc>
          <w:tcPr>
            <w:tcW w:w="1020" w:type="dxa"/>
          </w:tcPr>
          <w:p w:rsidR="00557A6F" w:rsidRDefault="00557A6F" w:rsidP="00557A6F">
            <w:pPr>
              <w:pStyle w:val="Tabellnavn"/>
              <w:jc w:val="right"/>
            </w:pPr>
          </w:p>
        </w:tc>
        <w:tc>
          <w:tcPr>
            <w:tcW w:w="1020" w:type="dxa"/>
          </w:tcPr>
          <w:p w:rsidR="00557A6F" w:rsidRDefault="00557A6F" w:rsidP="00557A6F">
            <w:pPr>
              <w:pStyle w:val="Tabellnavn"/>
              <w:jc w:val="right"/>
            </w:pPr>
          </w:p>
        </w:tc>
        <w:tc>
          <w:tcPr>
            <w:tcW w:w="1020" w:type="dxa"/>
          </w:tcPr>
          <w:p w:rsidR="00557A6F" w:rsidRDefault="00557A6F" w:rsidP="00557A6F">
            <w:pPr>
              <w:pStyle w:val="Tabellnavn"/>
              <w:jc w:val="right"/>
            </w:pPr>
          </w:p>
        </w:tc>
        <w:tc>
          <w:tcPr>
            <w:tcW w:w="1020" w:type="dxa"/>
          </w:tcPr>
          <w:p w:rsidR="00557A6F" w:rsidRDefault="00557A6F" w:rsidP="00557A6F">
            <w:pPr>
              <w:jc w:val="right"/>
            </w:pPr>
            <w:r>
              <w:t>(i 1 000 kr)</w:t>
            </w:r>
          </w:p>
        </w:tc>
      </w:tr>
      <w:tr w:rsidR="00557A6F" w:rsidTr="00557A6F">
        <w:trPr>
          <w:trHeight w:val="600"/>
        </w:trPr>
        <w:tc>
          <w:tcPr>
            <w:tcW w:w="1020" w:type="dxa"/>
          </w:tcPr>
          <w:p w:rsidR="00557A6F" w:rsidRDefault="00557A6F" w:rsidP="00557A6F">
            <w:r>
              <w:t>Kap.</w:t>
            </w:r>
          </w:p>
        </w:tc>
        <w:tc>
          <w:tcPr>
            <w:tcW w:w="4080" w:type="dxa"/>
          </w:tcPr>
          <w:p w:rsidR="00557A6F" w:rsidRDefault="00557A6F" w:rsidP="00557A6F">
            <w:r>
              <w:t>Betegnelse</w:t>
            </w:r>
          </w:p>
        </w:tc>
        <w:tc>
          <w:tcPr>
            <w:tcW w:w="1020" w:type="dxa"/>
          </w:tcPr>
          <w:p w:rsidR="00557A6F" w:rsidRDefault="00557A6F" w:rsidP="00557A6F">
            <w:pPr>
              <w:jc w:val="right"/>
            </w:pPr>
            <w:r>
              <w:t>Reg</w:t>
            </w:r>
            <w:r>
              <w:t>n</w:t>
            </w:r>
            <w:r>
              <w:t>skap 2018</w:t>
            </w:r>
          </w:p>
        </w:tc>
        <w:tc>
          <w:tcPr>
            <w:tcW w:w="1020" w:type="dxa"/>
          </w:tcPr>
          <w:p w:rsidR="00557A6F" w:rsidRDefault="00557A6F" w:rsidP="00557A6F">
            <w:pPr>
              <w:jc w:val="right"/>
            </w:pPr>
            <w:r>
              <w:t xml:space="preserve">Saldert </w:t>
            </w:r>
            <w:r>
              <w:br/>
              <w:t>budsjett 2019</w:t>
            </w:r>
          </w:p>
        </w:tc>
        <w:tc>
          <w:tcPr>
            <w:tcW w:w="1020" w:type="dxa"/>
          </w:tcPr>
          <w:p w:rsidR="00557A6F" w:rsidRDefault="00557A6F" w:rsidP="00557A6F">
            <w:pPr>
              <w:jc w:val="right"/>
            </w:pPr>
            <w:r>
              <w:t xml:space="preserve">Forslag </w:t>
            </w:r>
            <w:r>
              <w:br/>
              <w:t>2020</w:t>
            </w:r>
          </w:p>
        </w:tc>
        <w:tc>
          <w:tcPr>
            <w:tcW w:w="1020" w:type="dxa"/>
          </w:tcPr>
          <w:p w:rsidR="00557A6F" w:rsidRDefault="00557A6F" w:rsidP="00557A6F">
            <w:pPr>
              <w:jc w:val="right"/>
            </w:pPr>
            <w:r>
              <w:t xml:space="preserve">Pst. endr. </w:t>
            </w:r>
            <w:r>
              <w:br/>
              <w:t>19/20</w:t>
            </w:r>
          </w:p>
        </w:tc>
      </w:tr>
      <w:tr w:rsidR="00557A6F" w:rsidTr="00557A6F">
        <w:trPr>
          <w:trHeight w:val="380"/>
        </w:trPr>
        <w:tc>
          <w:tcPr>
            <w:tcW w:w="1020" w:type="dxa"/>
          </w:tcPr>
          <w:p w:rsidR="00557A6F" w:rsidRDefault="00557A6F" w:rsidP="00557A6F">
            <w:r>
              <w:t>3571</w:t>
            </w:r>
          </w:p>
        </w:tc>
        <w:tc>
          <w:tcPr>
            <w:tcW w:w="4080" w:type="dxa"/>
          </w:tcPr>
          <w:p w:rsidR="00557A6F" w:rsidRDefault="00557A6F" w:rsidP="00557A6F">
            <w:r>
              <w:t>Tilbakeføring av forskudd</w:t>
            </w:r>
          </w:p>
        </w:tc>
        <w:tc>
          <w:tcPr>
            <w:tcW w:w="1020" w:type="dxa"/>
          </w:tcPr>
          <w:p w:rsidR="00557A6F" w:rsidRDefault="00557A6F" w:rsidP="00557A6F">
            <w:pPr>
              <w:jc w:val="right"/>
            </w:pPr>
            <w:r>
              <w:t>3 016</w:t>
            </w: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p>
        </w:tc>
      </w:tr>
      <w:tr w:rsidR="00557A6F" w:rsidTr="00557A6F">
        <w:trPr>
          <w:trHeight w:val="380"/>
        </w:trPr>
        <w:tc>
          <w:tcPr>
            <w:tcW w:w="1020" w:type="dxa"/>
          </w:tcPr>
          <w:p w:rsidR="00557A6F" w:rsidRDefault="00557A6F" w:rsidP="00557A6F">
            <w:r>
              <w:t>5616</w:t>
            </w:r>
          </w:p>
        </w:tc>
        <w:tc>
          <w:tcPr>
            <w:tcW w:w="4080" w:type="dxa"/>
          </w:tcPr>
          <w:p w:rsidR="00557A6F" w:rsidRDefault="00557A6F" w:rsidP="00557A6F">
            <w:r>
              <w:t>Kommunalbanken AS</w:t>
            </w:r>
          </w:p>
        </w:tc>
        <w:tc>
          <w:tcPr>
            <w:tcW w:w="1020" w:type="dxa"/>
          </w:tcPr>
          <w:p w:rsidR="00557A6F" w:rsidRDefault="00557A6F" w:rsidP="00557A6F">
            <w:pPr>
              <w:jc w:val="right"/>
            </w:pPr>
            <w:r>
              <w:t>443 000</w:t>
            </w:r>
          </w:p>
        </w:tc>
        <w:tc>
          <w:tcPr>
            <w:tcW w:w="1020" w:type="dxa"/>
          </w:tcPr>
          <w:p w:rsidR="00557A6F" w:rsidRDefault="00557A6F" w:rsidP="00557A6F">
            <w:pPr>
              <w:jc w:val="right"/>
            </w:pPr>
            <w:r>
              <w:t>481 000</w:t>
            </w:r>
          </w:p>
        </w:tc>
        <w:tc>
          <w:tcPr>
            <w:tcW w:w="1020" w:type="dxa"/>
          </w:tcPr>
          <w:p w:rsidR="00557A6F" w:rsidRDefault="00557A6F" w:rsidP="00557A6F">
            <w:pPr>
              <w:jc w:val="right"/>
            </w:pPr>
            <w:r>
              <w:t>510 000</w:t>
            </w:r>
          </w:p>
        </w:tc>
        <w:tc>
          <w:tcPr>
            <w:tcW w:w="1020" w:type="dxa"/>
          </w:tcPr>
          <w:p w:rsidR="00557A6F" w:rsidRDefault="00557A6F" w:rsidP="00557A6F">
            <w:pPr>
              <w:jc w:val="right"/>
            </w:pPr>
            <w:r>
              <w:t>6,0</w:t>
            </w:r>
          </w:p>
        </w:tc>
      </w:tr>
      <w:tr w:rsidR="00557A6F" w:rsidTr="00557A6F">
        <w:trPr>
          <w:trHeight w:val="380"/>
        </w:trPr>
        <w:tc>
          <w:tcPr>
            <w:tcW w:w="1020" w:type="dxa"/>
          </w:tcPr>
          <w:p w:rsidR="00557A6F" w:rsidRDefault="00557A6F" w:rsidP="00557A6F"/>
        </w:tc>
        <w:tc>
          <w:tcPr>
            <w:tcW w:w="4080" w:type="dxa"/>
          </w:tcPr>
          <w:p w:rsidR="00557A6F" w:rsidRDefault="00557A6F" w:rsidP="00557A6F">
            <w:r>
              <w:t>Sum kategori 13.70</w:t>
            </w:r>
          </w:p>
        </w:tc>
        <w:tc>
          <w:tcPr>
            <w:tcW w:w="1020" w:type="dxa"/>
          </w:tcPr>
          <w:p w:rsidR="00557A6F" w:rsidRDefault="00557A6F" w:rsidP="00557A6F">
            <w:pPr>
              <w:jc w:val="right"/>
            </w:pPr>
            <w:r>
              <w:t>446 016</w:t>
            </w:r>
          </w:p>
        </w:tc>
        <w:tc>
          <w:tcPr>
            <w:tcW w:w="1020" w:type="dxa"/>
          </w:tcPr>
          <w:p w:rsidR="00557A6F" w:rsidRDefault="00557A6F" w:rsidP="00557A6F">
            <w:pPr>
              <w:jc w:val="right"/>
            </w:pPr>
            <w:r>
              <w:t>481 000</w:t>
            </w:r>
          </w:p>
        </w:tc>
        <w:tc>
          <w:tcPr>
            <w:tcW w:w="1020" w:type="dxa"/>
          </w:tcPr>
          <w:p w:rsidR="00557A6F" w:rsidRDefault="00557A6F" w:rsidP="00557A6F">
            <w:pPr>
              <w:jc w:val="right"/>
            </w:pPr>
            <w:r>
              <w:t>510 000</w:t>
            </w:r>
          </w:p>
        </w:tc>
        <w:tc>
          <w:tcPr>
            <w:tcW w:w="1020" w:type="dxa"/>
          </w:tcPr>
          <w:p w:rsidR="00557A6F" w:rsidRDefault="00557A6F" w:rsidP="00557A6F">
            <w:pPr>
              <w:jc w:val="right"/>
            </w:pPr>
            <w:r>
              <w:t>6,0</w:t>
            </w:r>
          </w:p>
        </w:tc>
      </w:tr>
    </w:tbl>
    <w:p w:rsidR="00557A6F" w:rsidRDefault="00557A6F" w:rsidP="00557A6F">
      <w:pPr>
        <w:pStyle w:val="Undertittel"/>
      </w:pPr>
      <w:r>
        <w:t>Ansvarsområder</w:t>
      </w:r>
    </w:p>
    <w:p w:rsidR="00557A6F" w:rsidRDefault="00557A6F" w:rsidP="00557A6F">
      <w:r>
        <w:t>Kommuner og fylkeskommuner er selvstendige, folkevalgte forvaltningsnivåer som ivaretar op</w:t>
      </w:r>
      <w:r>
        <w:t>p</w:t>
      </w:r>
      <w:r>
        <w:t>gaver som tjenesteyter, samfunnsutvikler, myndighetsutøver og som en demokratisk arena for in</w:t>
      </w:r>
      <w:r>
        <w:t>n</w:t>
      </w:r>
      <w:r>
        <w:t>byggerne. Kommunene har blant annet ansvaret for barnehage, grunnskole, barnevern, helse-, o</w:t>
      </w:r>
      <w:r>
        <w:t>m</w:t>
      </w:r>
      <w:r>
        <w:t>sorgs- og sosia</w:t>
      </w:r>
      <w:r>
        <w:t>l</w:t>
      </w:r>
      <w:r>
        <w:t>tjenester, tekniske tjenester og kulturoppgaver. Fylkeskommunene har blant annet ansvaret for videregående opplæring, lokal kollektivtransport, fylkesveier, tannhelse, regional u</w:t>
      </w:r>
      <w:r>
        <w:t>t</w:t>
      </w:r>
      <w:r>
        <w:t>vikling og kulturoppgaver. Fra 2020 trer regionreformen i kraft, og det overføres oppgaver til fy</w:t>
      </w:r>
      <w:r>
        <w:t>l</w:t>
      </w:r>
      <w:r>
        <w:t>keskommunene på områdene ko</w:t>
      </w:r>
      <w:r>
        <w:t>m</w:t>
      </w:r>
      <w:r>
        <w:t>petanse og integrering, folkehelse, klima og miljø, samferdsel og kommunikasjon, næringsutvikling og landbruk.</w:t>
      </w:r>
    </w:p>
    <w:p w:rsidR="00557A6F" w:rsidRDefault="00557A6F" w:rsidP="00557A6F">
      <w:r>
        <w:lastRenderedPageBreak/>
        <w:t>Departementene har sektoransvar for respektive områder av kommunesektorens tjenestetilbud, blant annet fo</w:t>
      </w:r>
      <w:r>
        <w:t>r</w:t>
      </w:r>
      <w:r>
        <w:t>valtning og utvikling av lov- og regelverk og finansiering av reformer og nye tiltak.</w:t>
      </w:r>
    </w:p>
    <w:p w:rsidR="00557A6F" w:rsidRDefault="00557A6F" w:rsidP="00557A6F">
      <w:r>
        <w:t>Kommunal- og moderniseringsdepartementet skal bidra til at statens styring av kommunesektoren er samordnet, helhetlig og konsistent. Departementet har et særlig ansvar for at kommunesektoren har et godt og framtidsrettet lov- og regelverk, i første rekke gjennom utvikling og forvaltning av kommunel</w:t>
      </w:r>
      <w:r>
        <w:t>o</w:t>
      </w:r>
      <w:r>
        <w:t>ven.</w:t>
      </w:r>
    </w:p>
    <w:p w:rsidR="00557A6F" w:rsidRDefault="00557A6F" w:rsidP="00557A6F">
      <w:r>
        <w:t>Kommunal- og moderniseringsdepartementet har i samarbeid med Finansdepartementet ansvaret for kommun</w:t>
      </w:r>
      <w:r>
        <w:t>e</w:t>
      </w:r>
      <w:r>
        <w:t>sektorens inntektsrammer. Videre har departementet ansvaret for inntektsfordelingen mellom kommuner og me</w:t>
      </w:r>
      <w:r>
        <w:t>l</w:t>
      </w:r>
      <w:r>
        <w:t>lom fylkeskommuner gjennom utvikling og drift av inntektssystemet for kommun</w:t>
      </w:r>
      <w:r>
        <w:t>e</w:t>
      </w:r>
      <w:r>
        <w:t>sektoren. Departementet har også ansvaret for Kommune-Stat-Rapportering (KOSTRA) og for forvaltningen av statens eierskap i Komm</w:t>
      </w:r>
      <w:r>
        <w:t>u</w:t>
      </w:r>
      <w:r>
        <w:t>nalbanken AS.</w:t>
      </w:r>
    </w:p>
    <w:p w:rsidR="00557A6F" w:rsidRDefault="00557A6F" w:rsidP="00557A6F">
      <w:r>
        <w:t>Kommunal- og moderniseringsdepartementet har det overordnede ansvaret for valgordningen og valgregelverket. Valgdirektoratet har det operative ansvaret på statlig nivå for gjennomføring av stortings- og lokalvalg. Depart</w:t>
      </w:r>
      <w:r>
        <w:t>e</w:t>
      </w:r>
      <w:r>
        <w:t>mentet har også ansvaret for tilskudd til de politiske partiene.</w:t>
      </w:r>
    </w:p>
    <w:p w:rsidR="00557A6F" w:rsidRDefault="00557A6F" w:rsidP="00557A6F">
      <w:pPr>
        <w:pStyle w:val="Undertittel"/>
      </w:pPr>
      <w:r>
        <w:t>Utviklingstrekk og utfordringer</w:t>
      </w:r>
    </w:p>
    <w:p w:rsidR="00557A6F" w:rsidRDefault="00557A6F" w:rsidP="00557A6F">
      <w:r>
        <w:t>Kommunesektoren har et bredt ansvar for tjenester som er svært viktige for mennesker i ulike liv</w:t>
      </w:r>
      <w:r>
        <w:t>s</w:t>
      </w:r>
      <w:r>
        <w:t>situasjoner og livsfaser. Kommunesektoren forvalter derfor en betydelig del av ressursene i norsk økonomi. Den samlede inntektsrammen anslås til om lag 556 mrd. kroner i 2020, tilsvarende om lag 18 pst. av bruttonasjonalprodukt for Fastlands-Norge. Én av fem sysselsatte i landet er ansatt i kommunal sektor.</w:t>
      </w:r>
    </w:p>
    <w:p w:rsidR="00557A6F" w:rsidRDefault="00557A6F" w:rsidP="00557A6F">
      <w:r>
        <w:t>Endringer i befolkningens sammensetning har over flere år trukket i retning av lavere vekst i u</w:t>
      </w:r>
      <w:r>
        <w:t>t</w:t>
      </w:r>
      <w:r>
        <w:t>giftsbehovet i kommunesektoren, men dette vil endres i løpet av få år. Kommunesektoren vil de neste tiårene stå overfor en utvikling der andelen eldre i befolkningen vil øke kraftig. Dette vil gi utfordringer for både finansieringen av velferdsstaten og for kommunesektoren. Økte utgifter som følge av aldring i befol</w:t>
      </w:r>
      <w:r>
        <w:t>k</w:t>
      </w:r>
      <w:r>
        <w:t>ningen vil sette sektorens handlingsrom under press, og vil stille krav til at oppgavene løses på en effektiv måte. Samtidig er det mindre rom for økning i bruken av oljein</w:t>
      </w:r>
      <w:r>
        <w:t>n</w:t>
      </w:r>
      <w:r>
        <w:t>tekter i offentlig sektor. Det betyr at det vil være et fortsatt behov for omsti</w:t>
      </w:r>
      <w:r>
        <w:t>l</w:t>
      </w:r>
      <w:r>
        <w:t>ling og effektivisering av den kommunale virksomheten.</w:t>
      </w:r>
    </w:p>
    <w:p w:rsidR="00557A6F" w:rsidRDefault="00557A6F" w:rsidP="00557A6F">
      <w:r>
        <w:t>Fra 2020 etableres 43 nye og større kommuner med sterkere organisasjoner og større fagmiljøer, som både kan levere bedre tjenester og ta en mer aktiv rolle for samfunns- og næringsutvikling. Totalt i ko</w:t>
      </w:r>
      <w:r>
        <w:t>m</w:t>
      </w:r>
      <w:r>
        <w:t>munereformen slås 119 kommuner sammen til 47 nye kommuner. Disse kommunene vil kunne framstå som attraktive både for innbyggere og næringsliv og utgjøre et tyngdepunkt i sin region med større gje</w:t>
      </w:r>
      <w:r>
        <w:t>n</w:t>
      </w:r>
      <w:r>
        <w:t>nomslagskraft både regionalt og nasjonalt. Fortsatt vil mange av de mindre kommunene ha små og sårbare organisasjoner. Mange små kommuner har utfordringer med å r</w:t>
      </w:r>
      <w:r>
        <w:t>e</w:t>
      </w:r>
      <w:r>
        <w:t>kruttere og beholde tilstrekkelig kompetanse og kapasitet i organisasjonen til å levere gode og l</w:t>
      </w:r>
      <w:r>
        <w:t>i</w:t>
      </w:r>
      <w:r>
        <w:t>keverdige tjenester til innbyggerne. Befolkningsnedgangen og aldringen er størst i de små ko</w:t>
      </w:r>
      <w:r>
        <w:t>m</w:t>
      </w:r>
      <w:r>
        <w:t>munene, noe som vil medføre svært krevende utfordringer knyttet til å håndtere de kommunale oppgavene i tiden framover. Mange av disse komm</w:t>
      </w:r>
      <w:r>
        <w:t>u</w:t>
      </w:r>
      <w:r>
        <w:t>nene må inngå samarbeid med nabokommuner for å gi innbyggerne de tjenestene de har krav på. Dette er ingen god og langsiktig løsning. Selv om store kommuner også kan ha utfordringer med rekruttering på enkelte felt, vil de likevel ikke være så sårbare som de små kommunene som har mindre fagmi</w:t>
      </w:r>
      <w:r>
        <w:t>l</w:t>
      </w:r>
      <w:r>
        <w:t>jøer.</w:t>
      </w:r>
    </w:p>
    <w:p w:rsidR="00557A6F" w:rsidRDefault="00557A6F" w:rsidP="00557A6F">
      <w:r>
        <w:t>Kommunesektoren har et godt økonomisk fundament for å møte framtidens utfordringer. Siden regjeringen So</w:t>
      </w:r>
      <w:r>
        <w:t>l</w:t>
      </w:r>
      <w:r>
        <w:t>berg tiltrådte i 2013 har kommunesektorens frie inntekter økt med 30 mrd. kroner. Dette har lagt til rette for vekst i kommunal tjenesteproduksjon. Sektoren har oppnådd svært gode driftsresultater de senere årene. I perioden 2015–2018 var gjennomsnittlig netto driftsresultat 3,5 pst. av inntektene, som er klart høyere enn anbefalingen fra Det tekniske beregningsutvalg for kommunal og fylkeskommunal økonomi (TBU). De gode driftsresultatene har bidratt til at antall kommuner oppført i Register om b</w:t>
      </w:r>
      <w:r>
        <w:t>e</w:t>
      </w:r>
      <w:r>
        <w:t>tinget godkjenning og kontroll (ROBEK) er sterkt redusert etter 2016. I september 2019 var det kun 10 kommuner i ROBEK. Dette er det laveste antallet registrerte ko</w:t>
      </w:r>
      <w:r>
        <w:t>m</w:t>
      </w:r>
      <w:r>
        <w:t>muner siden registeret ble opprettet i 2001.</w:t>
      </w:r>
    </w:p>
    <w:p w:rsidR="00557A6F" w:rsidRDefault="00557A6F" w:rsidP="00557A6F">
      <w:r>
        <w:t>For en nærmere redegjørelse om regjeringens politikk for kommunesektoren, utfordringer, utvi</w:t>
      </w:r>
      <w:r>
        <w:t>k</w:t>
      </w:r>
      <w:r>
        <w:t xml:space="preserve">lingstrekk og oppnådde resultater, vises det til Prop. 113 S (2018–2019) </w:t>
      </w:r>
      <w:r>
        <w:rPr>
          <w:rStyle w:val="kursiv"/>
          <w:sz w:val="21"/>
          <w:szCs w:val="21"/>
        </w:rPr>
        <w:t>Kommuneproposisjonen 2020.</w:t>
      </w:r>
    </w:p>
    <w:p w:rsidR="00557A6F" w:rsidRDefault="00557A6F" w:rsidP="00557A6F">
      <w:pPr>
        <w:pStyle w:val="Undertittel"/>
      </w:pPr>
      <w:r>
        <w:lastRenderedPageBreak/>
        <w:t>Mål og rapportering, strategier og tiltak</w:t>
      </w:r>
    </w:p>
    <w:p w:rsidR="009017E2" w:rsidRPr="009017E2" w:rsidRDefault="009017E2" w:rsidP="009017E2">
      <w:pPr>
        <w:pStyle w:val="tabell-tittel"/>
      </w:pPr>
      <w:r>
        <w:t>Mål for programkategori 13.70 Kommunesektoren mv.</w:t>
      </w:r>
    </w:p>
    <w:p w:rsidR="00557A6F" w:rsidRDefault="00557A6F" w:rsidP="00557A6F">
      <w:pPr>
        <w:pStyle w:val="Tabellnavn"/>
      </w:pPr>
      <w:r>
        <w:t>02J0xx2</w:t>
      </w:r>
    </w:p>
    <w:tbl>
      <w:tblPr>
        <w:tblStyle w:val="StandardTabell"/>
        <w:tblW w:w="0" w:type="auto"/>
        <w:tblLayout w:type="fixed"/>
        <w:tblLook w:val="04A0" w:firstRow="1" w:lastRow="0" w:firstColumn="1" w:lastColumn="0" w:noHBand="0" w:noVBand="1"/>
      </w:tblPr>
      <w:tblGrid>
        <w:gridCol w:w="9200"/>
      </w:tblGrid>
      <w:tr w:rsidR="00557A6F" w:rsidTr="00557A6F">
        <w:trPr>
          <w:trHeight w:val="380"/>
        </w:trPr>
        <w:tc>
          <w:tcPr>
            <w:tcW w:w="9200" w:type="dxa"/>
          </w:tcPr>
          <w:p w:rsidR="00557A6F" w:rsidRDefault="00557A6F" w:rsidP="00557A6F">
            <w:r>
              <w:t>1.</w:t>
            </w:r>
            <w:r>
              <w:tab/>
              <w:t>Et velfungerende demokrati</w:t>
            </w:r>
          </w:p>
        </w:tc>
      </w:tr>
      <w:tr w:rsidR="00557A6F" w:rsidTr="00557A6F">
        <w:trPr>
          <w:trHeight w:val="380"/>
        </w:trPr>
        <w:tc>
          <w:tcPr>
            <w:tcW w:w="9200" w:type="dxa"/>
          </w:tcPr>
          <w:p w:rsidR="00557A6F" w:rsidRDefault="00557A6F" w:rsidP="00557A6F">
            <w:r>
              <w:t>2.</w:t>
            </w:r>
            <w:r>
              <w:tab/>
              <w:t>Et velfungerende kommunalt selvstyre</w:t>
            </w:r>
          </w:p>
        </w:tc>
      </w:tr>
      <w:tr w:rsidR="00557A6F" w:rsidTr="00557A6F">
        <w:trPr>
          <w:trHeight w:val="380"/>
        </w:trPr>
        <w:tc>
          <w:tcPr>
            <w:tcW w:w="9200" w:type="dxa"/>
          </w:tcPr>
          <w:p w:rsidR="00557A6F" w:rsidRDefault="00557A6F" w:rsidP="00557A6F">
            <w:r>
              <w:t>3.</w:t>
            </w:r>
            <w:r>
              <w:tab/>
              <w:t>Bærekraftige, effektive og omstillingsdyktige kommuner</w:t>
            </w:r>
          </w:p>
        </w:tc>
      </w:tr>
    </w:tbl>
    <w:p w:rsidR="00557A6F" w:rsidRDefault="00557A6F" w:rsidP="00557A6F">
      <w:pPr>
        <w:pStyle w:val="avsnitt-tittel"/>
      </w:pPr>
      <w:r>
        <w:t>Mål 1 Et velfungerende demokrati</w:t>
      </w:r>
    </w:p>
    <w:p w:rsidR="00557A6F" w:rsidRDefault="00557A6F" w:rsidP="00557A6F">
      <w:r>
        <w:t>Demokrati er en styreform hvor innbyggerne velger ledere til nasjonale og lokale styringsorganer som fatter beslutninger på vegne av fellesskapet. I et demokrati skal innbyggerne fritt kunne ytre seg for å påvirke politiske beslutninger.</w:t>
      </w:r>
    </w:p>
    <w:p w:rsidR="00557A6F" w:rsidRDefault="00557A6F" w:rsidP="00557A6F">
      <w:r>
        <w:t>Det er mange ulike aktører som har viktige roller og oppgaver for å kunne opprettholde et velfun</w:t>
      </w:r>
      <w:r>
        <w:t>g</w:t>
      </w:r>
      <w:r>
        <w:t>erende demokrati. De politiske partiene må ha rammebetingelser for å gjøre sin oppgave, komm</w:t>
      </w:r>
      <w:r>
        <w:t>u</w:t>
      </w:r>
      <w:r>
        <w:t>ner og fylkeskommuner må ha handlefrihet til å fylle sin rolle, og borgerne må få informasjon og være trygge på å utøve sine demokratiske rettigheter. Det sivile samfunn har også en viktig rolle for å bidra til dette.</w:t>
      </w:r>
    </w:p>
    <w:p w:rsidR="00557A6F" w:rsidRDefault="00557A6F" w:rsidP="00557A6F">
      <w:r>
        <w:t>Frie og hemmelige valg er grunnleggende i vårt demokrati. Tilliten til valginstituttet er høy, og det er viktig å arbeide for at den opprettholdes. For å få til dette er det viktig med åpenhet om hvordan valg gjennomføres, og tillit til at teknologien som brukes ved valg er sikker. I tillegg er det nø</w:t>
      </w:r>
      <w:r>
        <w:t>d</w:t>
      </w:r>
      <w:r>
        <w:t>vendig å sikre at det demokratisk repr</w:t>
      </w:r>
      <w:r>
        <w:t>e</w:t>
      </w:r>
      <w:r>
        <w:t>sentative systemet og selve valgordningen har legitimitet, og at regelverket er i tråd med internasjonale standa</w:t>
      </w:r>
      <w:r>
        <w:t>r</w:t>
      </w:r>
      <w:r>
        <w:t>der.</w:t>
      </w:r>
    </w:p>
    <w:p w:rsidR="00557A6F" w:rsidRDefault="00557A6F" w:rsidP="00557A6F">
      <w:r>
        <w:t>Høy valgdeltakelse, representative folkevalgte organer og gode kanaler for innbyggerdeltakelse også mellom valg er viktige forutsetninger for et velfungerende demokrati.</w:t>
      </w:r>
    </w:p>
    <w:p w:rsidR="00557A6F" w:rsidRDefault="00557A6F" w:rsidP="00557A6F">
      <w:pPr>
        <w:pStyle w:val="avsnitt-undertittel"/>
      </w:pPr>
      <w:r>
        <w:t>Rapport, strategier og tiltak</w:t>
      </w:r>
    </w:p>
    <w:p w:rsidR="00557A6F" w:rsidRDefault="00557A6F" w:rsidP="00557A6F">
      <w:pPr>
        <w:pStyle w:val="avsnitt-under-undertittel"/>
      </w:pPr>
      <w:r>
        <w:t>Valg</w:t>
      </w:r>
    </w:p>
    <w:p w:rsidR="00557A6F" w:rsidRDefault="00557A6F" w:rsidP="00557A6F">
      <w:r>
        <w:t>Kommunal- og moderniseringsdepartementet videreførte i 2017, i samarbeid med Institutt for samfunnsforskning, et eksperiment med utsendelse av SMS og brev til enkelte velgergrupper med oppfordring til bruk av stemmeretten. Utsendelse av SMS til alle velgere viste seg å ha liten effekt ved stortingsvalget sammenliknet med lokalvalget i 2015. Det antas at noe av grunnen til dette er at det allerede er høy val</w:t>
      </w:r>
      <w:r>
        <w:t>g</w:t>
      </w:r>
      <w:r>
        <w:t>deltakelse ved stortingsvalg. En gruppe som SMS-tiltaket likevel hadde en effekt på i 2017, var velgere med innvandrerbakgrunn som kunne stemme for første gang ved sto</w:t>
      </w:r>
      <w:r>
        <w:t>r</w:t>
      </w:r>
      <w:r>
        <w:t>tingsvalget. Ved valget i 2015 viste det seg at effekten var størst blant unge velgere under 30 år og blant velgere med innvandrerbakgrunn. Brev til velgere med innvandrerbakgrunn hadde noe effekt. Velgere som mottok et slikt brev hadde noe høyere deltakelse enn velgere med innvandrerbakgrunn som ikke mottok et slikt brev.</w:t>
      </w:r>
    </w:p>
    <w:p w:rsidR="00557A6F" w:rsidRDefault="00557A6F" w:rsidP="00557A6F">
      <w:r>
        <w:t>Ved kommunestyre- og fylkestingsvalget 2019 ble det sendt ut SMS med påminnelse om valget til alle stemmeberettigede. I tillegg sendte Valgdirektoratet brev med oppfordring om å benytte ste</w:t>
      </w:r>
      <w:r>
        <w:t>m</w:t>
      </w:r>
      <w:r>
        <w:t>meretten til stemmeberett</w:t>
      </w:r>
      <w:r>
        <w:t>i</w:t>
      </w:r>
      <w:r>
        <w:t>gede med innvandrerbakgrunn.</w:t>
      </w:r>
    </w:p>
    <w:p w:rsidR="00557A6F" w:rsidRDefault="00557A6F" w:rsidP="00557A6F">
      <w:r>
        <w:t>Som en begrenset forsøksordning ble valgkort i 2019 distribuert elektronisk til velgere i utvalgte kommuner. Forsøket skal evalueres.</w:t>
      </w:r>
    </w:p>
    <w:p w:rsidR="00557A6F" w:rsidRDefault="00557A6F" w:rsidP="00557A6F">
      <w:r>
        <w:t>I kommuner og fylker som er berørt av sammenslåinger eller grensejusteringer, ble valget i 2019 gjennomført som om endringene allerede hadde funnet sted.</w:t>
      </w:r>
    </w:p>
    <w:p w:rsidR="00557A6F" w:rsidRDefault="00557A6F" w:rsidP="00557A6F">
      <w:r>
        <w:t>Departementet har satt ned et lovutvalg som skal vurdere endringer i valgloven. Utvalget skal se på både praktiske spørsmål knyttet til valggjennomføring og mer prinsipielle problemstillinger. U</w:t>
      </w:r>
      <w:r>
        <w:t>t</w:t>
      </w:r>
      <w:r>
        <w:t>valget skal levere sin utredning innen 31. mai 2020.</w:t>
      </w:r>
    </w:p>
    <w:p w:rsidR="00557A6F" w:rsidRDefault="00557A6F" w:rsidP="00557A6F">
      <w:r>
        <w:t>Det er grupper i befolkningen som aldri eller sjelden deltar i valg. Departementet har satt i gang et forskningspr</w:t>
      </w:r>
      <w:r>
        <w:t>o</w:t>
      </w:r>
      <w:r>
        <w:t>sjekt for å øke kunnskapen om hva som er årsaken til dette. Sluttrapport skal leveres sep</w:t>
      </w:r>
      <w:r>
        <w:lastRenderedPageBreak/>
        <w:t>tember 2020. Blant problemstillingene som skal undersøkes er hvorvidt sosialt og økonomisk marginaliserte grupper også er politisk marginaliserte, og hvor sosialt lagdelt norske stemmebere</w:t>
      </w:r>
      <w:r>
        <w:t>t</w:t>
      </w:r>
      <w:r>
        <w:t>tigedes tillit til demokratiet er.</w:t>
      </w:r>
    </w:p>
    <w:p w:rsidR="00557A6F" w:rsidRDefault="00557A6F" w:rsidP="00557A6F">
      <w:r>
        <w:t xml:space="preserve">Institutt for samfunnsforskning gjennomførte på oppdrag fra departementet i 2017 en undersøkelse om lokale folkeavstemninger. Undersøkelsen viste at </w:t>
      </w:r>
      <w:proofErr w:type="gramStart"/>
      <w:r>
        <w:t>de</w:t>
      </w:r>
      <w:proofErr w:type="gramEnd"/>
      <w:r>
        <w:t xml:space="preserve"> fleste </w:t>
      </w:r>
      <w:proofErr w:type="gramStart"/>
      <w:r>
        <w:t>lokale</w:t>
      </w:r>
      <w:proofErr w:type="gramEnd"/>
      <w:r>
        <w:t xml:space="preserve"> folkeavstemningene i forbi</w:t>
      </w:r>
      <w:r>
        <w:t>n</w:t>
      </w:r>
      <w:r>
        <w:t>delse med kommuner</w:t>
      </w:r>
      <w:r>
        <w:t>e</w:t>
      </w:r>
      <w:r>
        <w:t>formen ble gjennomført på en god måte, men at det var utfordringer særlig knyttet til utforming av stemmesedler og valgalternativer. Departementet utarbeider en veileder for lokale rådgivende folkeavstemninger som planle</w:t>
      </w:r>
      <w:r>
        <w:t>g</w:t>
      </w:r>
      <w:r>
        <w:t>ges ferdigstilt høsten 2019.</w:t>
      </w:r>
    </w:p>
    <w:p w:rsidR="00557A6F" w:rsidRDefault="00557A6F" w:rsidP="00557A6F">
      <w:pPr>
        <w:pStyle w:val="avsnitt-under-undertittel"/>
      </w:pPr>
      <w:r>
        <w:t>Lokaldemokrati</w:t>
      </w:r>
    </w:p>
    <w:p w:rsidR="00557A6F" w:rsidRDefault="00557A6F" w:rsidP="00557A6F">
      <w:r>
        <w:t>Kommunal- og moderniseringsdepartementet gjennomførte i 2017 og 2018 prosjektet Fremtidens loka</w:t>
      </w:r>
      <w:r>
        <w:t>l</w:t>
      </w:r>
      <w:r>
        <w:t>demokrati i nye kommuner. Prosjektets formål var å mobilisere og inspirere kommuner med vedtak om sammenslåing til å sette demokratispørsmål på dagsorden når de skal «bygge» sin nye kommune. Blant annet ble det gitt tilskudd til de 32 nye kommunene på 100 000 kroner hver for å drive fornyings- og u</w:t>
      </w:r>
      <w:r>
        <w:t>t</w:t>
      </w:r>
      <w:r>
        <w:t>viklingsarbeid på lokaldemokratiområdet.</w:t>
      </w:r>
    </w:p>
    <w:p w:rsidR="00557A6F" w:rsidRDefault="00557A6F" w:rsidP="00557A6F">
      <w:r>
        <w:t xml:space="preserve">De ulike lokaldemokratitiltakene som er planlagt i de nye kommunene som deltar i prosjektet, blir evaluert av OsloMet. Sluttrapporten skal være klar 1. desember 2019. </w:t>
      </w:r>
    </w:p>
    <w:p w:rsidR="00557A6F" w:rsidRDefault="00557A6F" w:rsidP="00557A6F">
      <w:r>
        <w:t>I forkant av nominasjonene til listene til kommunevalget, gjennomførte departementet i 2018 en motivasjon</w:t>
      </w:r>
      <w:r>
        <w:t>s</w:t>
      </w:r>
      <w:r>
        <w:t>kampanje for å bidra til god balanse av kvinner og menn i alle landets kommunestyrer, formannskap, i ordføre</w:t>
      </w:r>
      <w:r>
        <w:t>r</w:t>
      </w:r>
      <w:r>
        <w:t>vervet, og ellers å øke andelen kvinner i ledende verv i lokalpolitikken. Det ble også laget et digitalt kommunebarometer som gir oversikt over representasjon av kvinner i l</w:t>
      </w:r>
      <w:r>
        <w:t>o</w:t>
      </w:r>
      <w:r>
        <w:t xml:space="preserve">kalpolitikken. </w:t>
      </w:r>
    </w:p>
    <w:p w:rsidR="00557A6F" w:rsidRDefault="00557A6F" w:rsidP="00557A6F">
      <w:r>
        <w:t>Evalueringer av tidligere tiltak for å øke kvinneandelen, tilsier at oppmerksomhet om temaet i o</w:t>
      </w:r>
      <w:r>
        <w:t>f</w:t>
      </w:r>
      <w:r>
        <w:t>fentligheten kan øke kvinneandelen i lokalpolitikken.</w:t>
      </w:r>
    </w:p>
    <w:p w:rsidR="00557A6F" w:rsidRDefault="00557A6F" w:rsidP="00557A6F">
      <w:r>
        <w:t>Arbeid knyttet til rammebetingelser for de politiske partiene omtales under kap. 577.</w:t>
      </w:r>
    </w:p>
    <w:p w:rsidR="00557A6F" w:rsidRDefault="00557A6F" w:rsidP="00557A6F">
      <w:pPr>
        <w:pStyle w:val="avsnitt-tittel"/>
      </w:pPr>
      <w:r>
        <w:t>Mål 2 Et velfungerende kommunalt selvstyre</w:t>
      </w:r>
    </w:p>
    <w:p w:rsidR="00557A6F" w:rsidRDefault="00557A6F" w:rsidP="00557A6F">
      <w:r>
        <w:t>Kommunesektoren forvalter på vegne av innbyggerne en stor del av fellesskapets ressurser og har betydelig offentlig myndighet. Åpenhet, rolleklarhet og god egenkontroll er viktig for å sikre in</w:t>
      </w:r>
      <w:r>
        <w:t>n</w:t>
      </w:r>
      <w:r>
        <w:t>byggernes tillit til kommunesektoren og god bruk av ressurser.</w:t>
      </w:r>
    </w:p>
    <w:p w:rsidR="00557A6F" w:rsidRDefault="00557A6F" w:rsidP="00557A6F">
      <w:r>
        <w:t>Kommuneloven legger juridiske rammer for all kommunal virksomhet og det kommunale selvst</w:t>
      </w:r>
      <w:r>
        <w:t>y</w:t>
      </w:r>
      <w:r>
        <w:t>ret, herunder prinsipper for den statlige styringen av kommunesektoren. Kommuner og fylke</w:t>
      </w:r>
      <w:r>
        <w:t>s</w:t>
      </w:r>
      <w:r>
        <w:t>kommuner skal ha frihet til å organisere sitt arbeid på en måte som er tilpasset lokale forhold og utfordringer. Prinsippene for statlig styring av kommunesektoren legger til grunn økonomisk og juridisk rammestyring og dialog mellom forvaltningsnivåene. Statens styring må balanseres me</w:t>
      </w:r>
      <w:r>
        <w:t>l</w:t>
      </w:r>
      <w:r>
        <w:t>lom nasjonale hensyn som for eksempel likeverdige tjenestetilbud og rettssi</w:t>
      </w:r>
      <w:r>
        <w:t>k</w:t>
      </w:r>
      <w:r>
        <w:t>kerhet, og hensynet til lokal handlefrihet.</w:t>
      </w:r>
    </w:p>
    <w:p w:rsidR="00557A6F" w:rsidRDefault="00557A6F" w:rsidP="00557A6F">
      <w:pPr>
        <w:pStyle w:val="avsnitt-undertittel"/>
      </w:pPr>
      <w:r>
        <w:t>Rapport, strategier og tiltak</w:t>
      </w:r>
    </w:p>
    <w:p w:rsidR="00557A6F" w:rsidRDefault="00557A6F" w:rsidP="00557A6F">
      <w:pPr>
        <w:pStyle w:val="avsnitt-under-undertittel"/>
      </w:pPr>
      <w:r>
        <w:t>Ny kommunelov</w:t>
      </w:r>
    </w:p>
    <w:p w:rsidR="00557A6F" w:rsidRDefault="00557A6F" w:rsidP="00557A6F">
      <w:r>
        <w:t xml:space="preserve">Stortinget vedtok 22. juni 2018 ny kommunelov, jf. Prop. 46 L (2017–2018) </w:t>
      </w:r>
      <w:r>
        <w:rPr>
          <w:rStyle w:val="kursiv"/>
          <w:spacing w:val="-2"/>
          <w:sz w:val="21"/>
          <w:szCs w:val="21"/>
        </w:rPr>
        <w:t>Lov om kommuner og fylkesko</w:t>
      </w:r>
      <w:r>
        <w:rPr>
          <w:rStyle w:val="kursiv"/>
          <w:spacing w:val="-2"/>
          <w:sz w:val="21"/>
          <w:szCs w:val="21"/>
        </w:rPr>
        <w:t>m</w:t>
      </w:r>
      <w:r>
        <w:rPr>
          <w:rStyle w:val="kursiv"/>
          <w:spacing w:val="-2"/>
          <w:sz w:val="21"/>
          <w:szCs w:val="21"/>
        </w:rPr>
        <w:t>muner (kommuneloven)</w:t>
      </w:r>
      <w:r>
        <w:t xml:space="preserve"> og Innst. 369 L (2017–2018). Mesteparten av loven vil tre i kraft i forbindelse med konstitueringen av det enkelte kommunestyret og fylkestinget etter valget i se</w:t>
      </w:r>
      <w:r>
        <w:t>p</w:t>
      </w:r>
      <w:r>
        <w:t>tember 2019, jf. kongelig resolusjon 20. desember 2018.</w:t>
      </w:r>
    </w:p>
    <w:p w:rsidR="00557A6F" w:rsidRDefault="00557A6F" w:rsidP="00557A6F">
      <w:r>
        <w:t>Departementet har et omfattende oppfølgingsarbeid for å sikre at ikrafttredelsen av loven skjer på en god måte. I tillegg legger departementet stor vekt på å gi kommunene god informasjon om både loven og ikrafttredelsen av denne. Departementet har i samarbeid med KS hatt 15 regionale oppl</w:t>
      </w:r>
      <w:r>
        <w:t>æ</w:t>
      </w:r>
      <w:r>
        <w:t>ringssamlinger for kommunene og fylke</w:t>
      </w:r>
      <w:r>
        <w:t>s</w:t>
      </w:r>
      <w:r>
        <w:t>kommunene. Opplæringssamlingene ble holdt over hele landet, og var godt besøkte.</w:t>
      </w:r>
    </w:p>
    <w:p w:rsidR="00557A6F" w:rsidRDefault="00557A6F" w:rsidP="00557A6F">
      <w:r>
        <w:t>Alle forskriftene til kommuneloven revideres. Som del av oppfølgingsarbeidet har departementet sendt på høring forslag til endringer av internkontrollbestemmelser i en rekke lover og forskrifter i ulike sektorer. Endringene er en konsekvens av at reglene om internkontroll med kommuneplikter i hovedsak skal følge av den nye kommun</w:t>
      </w:r>
      <w:r>
        <w:t>e</w:t>
      </w:r>
      <w:r>
        <w:t>loven og ikke av særlovgivningen. Departementet har også sendt på hø</w:t>
      </w:r>
      <w:r>
        <w:lastRenderedPageBreak/>
        <w:t>ring forslag til ny lovbestemmelse om privatrettslige virkninger av ugyldige disp</w:t>
      </w:r>
      <w:r>
        <w:t>o</w:t>
      </w:r>
      <w:r>
        <w:t>sisjoner etter den nye kommunelovens økonomibestemmelser.</w:t>
      </w:r>
    </w:p>
    <w:p w:rsidR="00557A6F" w:rsidRDefault="00557A6F" w:rsidP="00557A6F">
      <w:r>
        <w:t>For å gi god informasjon, har departementet også sendt ut en ikraftsettingsveileder og et konstitu</w:t>
      </w:r>
      <w:r>
        <w:t>e</w:t>
      </w:r>
      <w:r>
        <w:t>ringsrundskriv. Ikraftsettingsveilederen gir informasjon om hvilke regler som gjelder og inneholder også en omtale av de overgangsbestemmelsene som departementet har vedtatt at skal gjelde. Kon</w:t>
      </w:r>
      <w:r>
        <w:t>s</w:t>
      </w:r>
      <w:r>
        <w:t>tituering</w:t>
      </w:r>
      <w:r>
        <w:t>s</w:t>
      </w:r>
      <w:r>
        <w:t>rundskrivet gir veiledning om hvordan nye kommunestyrer og fylkesting skal konstituere seg. Rundskrivet gir også veiledning om valg til fo</w:t>
      </w:r>
      <w:r>
        <w:t>l</w:t>
      </w:r>
      <w:r>
        <w:t xml:space="preserve">kevalgte organer. </w:t>
      </w:r>
    </w:p>
    <w:p w:rsidR="00557A6F" w:rsidRDefault="00557A6F" w:rsidP="00557A6F">
      <w:r>
        <w:t>I ny kommunelov reguleres eldreråd, råd for personer med funksjonsnedsettelse og ungdomsråd. For å bidra til at regelverket for medvirkningsordningene er lett tilgjengelig, er det utarbeidet ve</w:t>
      </w:r>
      <w:r>
        <w:t>i</w:t>
      </w:r>
      <w:r>
        <w:t>ledere. Departementet har utarbeidet veileder for eldreråd og har i samarbeid med Barne-, un</w:t>
      </w:r>
      <w:r>
        <w:t>g</w:t>
      </w:r>
      <w:r>
        <w:t>doms- og familied</w:t>
      </w:r>
      <w:r>
        <w:t>i</w:t>
      </w:r>
      <w:r>
        <w:t>rektoratet utarbeidet veileder for råd for personer med funksjonsnedsettelse og veileder for ungdomsråd.</w:t>
      </w:r>
    </w:p>
    <w:p w:rsidR="00557A6F" w:rsidRDefault="00557A6F" w:rsidP="00557A6F">
      <w:pPr>
        <w:pStyle w:val="avsnitt-under-undertittel"/>
      </w:pPr>
      <w:r>
        <w:t>Samordnet statlig styring</w:t>
      </w:r>
    </w:p>
    <w:p w:rsidR="00557A6F" w:rsidRDefault="00557A6F" w:rsidP="00557A6F">
      <w:r>
        <w:t>Kommunal- og moderniseringsdepartementet samarbeider tett med øvrige departementer for å b</w:t>
      </w:r>
      <w:r>
        <w:t>i</w:t>
      </w:r>
      <w:r>
        <w:t>dra til at staten legger rammestyring av kommunene til grunn for sin politikk overfor kommun</w:t>
      </w:r>
      <w:r>
        <w:t>e</w:t>
      </w:r>
      <w:r>
        <w:t>sektoren. Departementet arbeider for en samordnet statlig styring av kommunene i tråd med utre</w:t>
      </w:r>
      <w:r>
        <w:t>d</w:t>
      </w:r>
      <w:r>
        <w:t>ningsinstruksen og retningslinjene for statlig styring av kommunesektoren.</w:t>
      </w:r>
    </w:p>
    <w:p w:rsidR="00557A6F" w:rsidRDefault="00557A6F" w:rsidP="00557A6F">
      <w:r>
        <w:t>Den nye kommuneloven har bestemmelser av betydning for en samordnet statlig styring. Loven styrker det kommunale selvstyret gjennom blant annet den nye formålsbestemmelsen og gjennom en eksplisitt lovfesting av det kommunale selvstyret. Selvstyret får med det en klar rettslig foran</w:t>
      </w:r>
      <w:r>
        <w:t>k</w:t>
      </w:r>
      <w:r>
        <w:t>ring i kommuneloven. I den nye loven er det også tatt inn tre prinsipper for forholdet mellom n</w:t>
      </w:r>
      <w:r>
        <w:t>a</w:t>
      </w:r>
      <w:r>
        <w:t>sjonale myndigheter og det kommunale selvstyret. Fo</w:t>
      </w:r>
      <w:r>
        <w:t>r</w:t>
      </w:r>
      <w:r>
        <w:t>holdsmessighetsprinsippet innebærer at det kommunale selvstyret ikke skal begrenses mer enn det som er nø</w:t>
      </w:r>
      <w:r>
        <w:t>d</w:t>
      </w:r>
      <w:r>
        <w:t>vendig for å ivareta nasjonale mål. Nærhetsprinsippet innebærer at offentlige oppgaver fortrinnsvis bør legges til det forval</w:t>
      </w:r>
      <w:r>
        <w:t>t</w:t>
      </w:r>
      <w:r>
        <w:t>ningsnivået som er nærmest innbyggerne. Det tredje prinsippet, finansieringsprinsippet, innebærer at innenfor rammene av nasjonal økonomisk politikk bør kommuner ha frie inntekter som gir øk</w:t>
      </w:r>
      <w:r>
        <w:t>o</w:t>
      </w:r>
      <w:r>
        <w:t>nomisk han</w:t>
      </w:r>
      <w:r>
        <w:t>d</w:t>
      </w:r>
      <w:r>
        <w:t>lingsrom.</w:t>
      </w:r>
    </w:p>
    <w:p w:rsidR="00557A6F" w:rsidRDefault="00557A6F" w:rsidP="00557A6F">
      <w:r>
        <w:t>Departementets retningslinjer for statlig styring av kommunesektoren revideres, blant annet for å gjenspeile en</w:t>
      </w:r>
      <w:r>
        <w:t>d</w:t>
      </w:r>
      <w:r>
        <w:t>ringene i den nye kommuneloven.</w:t>
      </w:r>
    </w:p>
    <w:p w:rsidR="00557A6F" w:rsidRDefault="00557A6F" w:rsidP="00557A6F">
      <w:r>
        <w:t>Som en oppfølging av områdegjennomgangen av øremerkede tilskudd og regionreformen, varslet regjeringen i kommuneproposisjonen for 2020 innlemming av en rekke øremerkede tilskudd i 2020. Innlemming av øreme</w:t>
      </w:r>
      <w:r>
        <w:t>r</w:t>
      </w:r>
      <w:r>
        <w:t>kede tilskudd styrker det kommunale selvstyret og fører til mindre byråkrati i både staten og kommunesektoren. Regjeringen vil over tid avvikle flere øremerkede tilskudd og redusere det totale omfanget av øremerking. Se også kapittel 3.3 og omtale av endrin</w:t>
      </w:r>
      <w:r>
        <w:t>g</w:t>
      </w:r>
      <w:r>
        <w:t xml:space="preserve">ene i rammetilskuddet nedenfor, jf. tabell 6.21. </w:t>
      </w:r>
    </w:p>
    <w:p w:rsidR="00557A6F" w:rsidRDefault="00557A6F" w:rsidP="00557A6F">
      <w:r>
        <w:t>Arena for nasjonal samordning av statlig tilsyn med kommunesektoren ble etablert høsten 2017. Ar</w:t>
      </w:r>
      <w:r>
        <w:t>e</w:t>
      </w:r>
      <w:r>
        <w:t>naen består av tolv nasjonale tilsynsmyndigheter som enten fører tilsyn med kommunene selv eller gjennom fylkesmannen. Målet med samordningen er å legge til rette for at nasjonale tilsyn</w:t>
      </w:r>
      <w:r>
        <w:t>s</w:t>
      </w:r>
      <w:r>
        <w:t>myndigheter kan opptre mer enhetlig overfor kommuner og fylkesmenn.</w:t>
      </w:r>
    </w:p>
    <w:p w:rsidR="00557A6F" w:rsidRDefault="00557A6F" w:rsidP="00557A6F">
      <w:pPr>
        <w:pStyle w:val="avsnitt-tittel"/>
      </w:pPr>
      <w:r>
        <w:t xml:space="preserve">Mål 3 Bærekraftige, effektive og omstillingsdyktige kommuner </w:t>
      </w:r>
    </w:p>
    <w:p w:rsidR="00557A6F" w:rsidRDefault="00557A6F" w:rsidP="00557A6F">
      <w:r>
        <w:t>Offentlig sektor og den norske velferdsmodellen vil stå overfor store utfordringer i tiårene fra</w:t>
      </w:r>
      <w:r>
        <w:t>m</w:t>
      </w:r>
      <w:r>
        <w:t>over. Oljeinntektene vil reduseres, og det vil bli færre yrkesaktive bak hver pensjonist. For å kunne opprettholde det samme velferdsnivået på viktige områder som utdanning, helse og eldreomsorg, vil det være nødvendig å tenke nytt om hvordan offentlig sektor arbeider og er organisert.</w:t>
      </w:r>
    </w:p>
    <w:p w:rsidR="00557A6F" w:rsidRDefault="00557A6F" w:rsidP="00557A6F">
      <w:r>
        <w:t xml:space="preserve">Kommunestrukturen må tilpasses dagens og framtidens utfordringer. Større og sterkere kommuner legger til rette for bedre velferdstjenester, en mer bærekraftig samfunnsutvikling og et sterkere kommunalt selvstyre. </w:t>
      </w:r>
    </w:p>
    <w:p w:rsidR="00557A6F" w:rsidRDefault="00557A6F" w:rsidP="00557A6F">
      <w:r>
        <w:t>I perioden 2014–2017 ble totalt 119 kommuner vedtatt slått sammen til 47 nye kommuner. 1. januar 2020 vil det være 356 kommuner i Norge. Til tross for et høyt antall sammenslåinger i perioden, er ikke hovedtrekkene ved kommunestrukturen endret. Regjeringen ønsker å opprettho</w:t>
      </w:r>
      <w:r>
        <w:t>l</w:t>
      </w:r>
      <w:r>
        <w:t>de den norske tradisjonen med sterke velferdskommuner med et stort og reelt selvstyre. Det foru</w:t>
      </w:r>
      <w:r>
        <w:t>t</w:t>
      </w:r>
      <w:r>
        <w:t>setter ytterligere endringer i kommunestrukturen framover.</w:t>
      </w:r>
    </w:p>
    <w:p w:rsidR="00557A6F" w:rsidRDefault="00557A6F" w:rsidP="00557A6F">
      <w:r>
        <w:lastRenderedPageBreak/>
        <w:t xml:space="preserve">Fra 1. januar 2020 har vi elleve fylkeskommuner i Norge. Færre og sterkere fylkeskommuner gir grunnlag for å desentralisere makt og myndighet til dette folkevalgte nivået. </w:t>
      </w:r>
    </w:p>
    <w:p w:rsidR="00557A6F" w:rsidRDefault="00557A6F" w:rsidP="00557A6F">
      <w:r>
        <w:t>Rammefinansiering av kommunesektoren gjennom rammetilskudd og skatteinntekter gir rom for lokale prioriteringer og bidrar til effektiv bruk av offentlige ressurser. Kommunesektoren skal ha inntekt</w:t>
      </w:r>
      <w:r>
        <w:t>s</w:t>
      </w:r>
      <w:r>
        <w:t>rammer som står i forhold til oppgavene sektoren er satt til å løse. En rettferdig fordeling av inntekt</w:t>
      </w:r>
      <w:r>
        <w:t>s</w:t>
      </w:r>
      <w:r>
        <w:t>rammene er en forutsetning for et likeverdig tjenestetilbud i hele landet.</w:t>
      </w:r>
    </w:p>
    <w:p w:rsidR="00557A6F" w:rsidRDefault="00557A6F" w:rsidP="00557A6F">
      <w:r>
        <w:t>Regjeringen baserer sin politikk på effektiv bruk av samfunnets ressurser og ønsker å synliggjøre effektivis</w:t>
      </w:r>
      <w:r>
        <w:t>e</w:t>
      </w:r>
      <w:r>
        <w:t>ringspotensialet i kommunesektoren. Økt effektivitet i oppgaveløsningen vil øke den enkelte kommunes han</w:t>
      </w:r>
      <w:r>
        <w:t>d</w:t>
      </w:r>
      <w:r>
        <w:t>lingsrom, blant annet til å styrke velferdstjenestene. God økonomistyring, lokal tilpa</w:t>
      </w:r>
      <w:r>
        <w:t>s</w:t>
      </w:r>
      <w:r>
        <w:t>ning og innovative løsninger må derfor til for at kommuner og fylkeskommuner skal gi et godt og likeve</w:t>
      </w:r>
      <w:r>
        <w:t>r</w:t>
      </w:r>
      <w:r>
        <w:t>dig tilbud.</w:t>
      </w:r>
    </w:p>
    <w:p w:rsidR="00557A6F" w:rsidRDefault="00557A6F" w:rsidP="00557A6F">
      <w:pPr>
        <w:pStyle w:val="avsnitt-undertittel"/>
      </w:pPr>
      <w:r>
        <w:t>Rapport, strategier og tiltak</w:t>
      </w:r>
    </w:p>
    <w:p w:rsidR="00557A6F" w:rsidRDefault="00557A6F" w:rsidP="00557A6F">
      <w:pPr>
        <w:pStyle w:val="avsnitt-under-undertittel"/>
      </w:pPr>
      <w:r>
        <w:t>Kommune- og regionreform</w:t>
      </w:r>
    </w:p>
    <w:p w:rsidR="00557A6F" w:rsidRDefault="00557A6F" w:rsidP="00557A6F">
      <w:r>
        <w:t>Målene for kommunereformen er gode og likeverdige tjenester til innbyggerne, helhetlig og sa</w:t>
      </w:r>
      <w:r>
        <w:t>m</w:t>
      </w:r>
      <w:r>
        <w:t>ordnet samfunns- og næringsutvikling, bærekraftige og økonomisk robuste kommuner og et styrket lokaldem</w:t>
      </w:r>
      <w:r>
        <w:t>o</w:t>
      </w:r>
      <w:r>
        <w:t>krati. Til tross for et høyt antall sammenslåinger i reformen, er ikke hovedtrekkene ved kommunestrukturen endret. Fortsatt vil om lag halvparten av kommunene ha under 5 000 innby</w:t>
      </w:r>
      <w:r>
        <w:t>g</w:t>
      </w:r>
      <w:r>
        <w:t>gere og flere enn 120 kommuner vil ha færre enn 3 000 innbyggere. Mange av disse vil være så</w:t>
      </w:r>
      <w:r>
        <w:t>r</w:t>
      </w:r>
      <w:r>
        <w:t>bare i møte med krav, forventninger og utfordringer de står overfor. Det betyr at det fortsatt er b</w:t>
      </w:r>
      <w:r>
        <w:t>e</w:t>
      </w:r>
      <w:r>
        <w:t>hov for endringer i kommunestru</w:t>
      </w:r>
      <w:r>
        <w:t>k</w:t>
      </w:r>
      <w:r>
        <w:t>turen.</w:t>
      </w:r>
    </w:p>
    <w:p w:rsidR="00557A6F" w:rsidRDefault="00557A6F" w:rsidP="00557A6F">
      <w:r>
        <w:t>Ved behandlingen av kommuneproposisjonen for 2019 sluttet Stortinget seg til regjeringens op</w:t>
      </w:r>
      <w:r>
        <w:t>p</w:t>
      </w:r>
      <w:r>
        <w:t>legg for det videre arbeidet med endringer i kommunestrukturen. Departementet vil følge opp gje</w:t>
      </w:r>
      <w:r>
        <w:t>n</w:t>
      </w:r>
      <w:r>
        <w:t>sidige ve</w:t>
      </w:r>
      <w:r>
        <w:t>d</w:t>
      </w:r>
      <w:r>
        <w:t>tak fra kommuner om sammenslåing ved å legge til rette for vedtak av Kongen i statsråd, i tråd med re</w:t>
      </w:r>
      <w:r>
        <w:t>g</w:t>
      </w:r>
      <w:r>
        <w:t xml:space="preserve">lene i inndelingslova. </w:t>
      </w:r>
    </w:p>
    <w:p w:rsidR="00557A6F" w:rsidRDefault="00557A6F" w:rsidP="00557A6F">
      <w:r>
        <w:t>Det vil i perioden 2018–2021 fortsatt være gode og langsiktige økonomiske virkemidler for ko</w:t>
      </w:r>
      <w:r>
        <w:t>m</w:t>
      </w:r>
      <w:r>
        <w:t>muner som ønsker å slå seg sammen. Kommuner som blir vedtatt slått sammen, vil motta engang</w:t>
      </w:r>
      <w:r>
        <w:t>s</w:t>
      </w:r>
      <w:r>
        <w:t>tilskudd ved kommunesa</w:t>
      </w:r>
      <w:r>
        <w:t>m</w:t>
      </w:r>
      <w:r>
        <w:t>menslåing. Tilskuddet beregnes etter en standardisert modell, basert på antall innbyggere og antall kommuner i sammenslåingen. De nye kommunene vil også motta et inndelingstilskudd hvor kommunene får kompensasjon for tap av basistilskudd og netto nedgang i distriktstilskudd som følge av sammenslåingen. Ved behandlingen av kommuneproposisjonen for 2020 sluttet Stortinget seg til at regionsentertilskuddet opprettholdes som et økonomisk virkemi</w:t>
      </w:r>
      <w:r>
        <w:t>d</w:t>
      </w:r>
      <w:r>
        <w:t>del for kommuner som slår seg sammen og oppfyller kravene for tildeling av tilskuddet.</w:t>
      </w:r>
    </w:p>
    <w:p w:rsidR="00557A6F" w:rsidRDefault="00557A6F" w:rsidP="00557A6F">
      <w:r>
        <w:t>I tillegg til disse tilskuddene gjeninnfører regjeringen støtten til kommuner som ønsker å ta opp igjen nabopraten. Selv om det i arbeidet med kommunereformen ble etablert et bredt kunnskap</w:t>
      </w:r>
      <w:r>
        <w:t>s</w:t>
      </w:r>
      <w:r>
        <w:t>grunnlag om utfordringer og m</w:t>
      </w:r>
      <w:r>
        <w:t>u</w:t>
      </w:r>
      <w:r>
        <w:t>ligheter ved sammenslåing, kan det være behov for å fornye og oppdatere dette kun</w:t>
      </w:r>
      <w:r>
        <w:t>n</w:t>
      </w:r>
      <w:r>
        <w:t>skapsgrunnlaget i kommuner som setter nabopraten på dagsorden i den neste kommunestyreperioden. Det gis også støtte til informasjon og folkehøring for kommuner som u</w:t>
      </w:r>
      <w:r>
        <w:t>t</w:t>
      </w:r>
      <w:r>
        <w:t>arbeider informasjon og gje</w:t>
      </w:r>
      <w:r>
        <w:t>n</w:t>
      </w:r>
      <w:r>
        <w:t>nomfører folkehøring om kommunesammenslåing.</w:t>
      </w:r>
    </w:p>
    <w:p w:rsidR="00557A6F" w:rsidRDefault="00557A6F" w:rsidP="00557A6F">
      <w:r>
        <w:t>Stortinget vedtok 8. juni 2017 at vi skal ha et sterkt folkevalgt nivå mellom stat og kommune, jf. Prop. 84 S og Innst. 385 S (2016–2017). 13 fylkeskommuner ble vedtatt slått sammen til seks nye, slik at vi får elleve fylker fra 2020: ti fylkeskommuner og Oslo kommune med fylkeskommunale oppgaver. Målene med reformen er å styrke fylkeskommunene som samfunnsutviklere og som demokratisk arena, gi økt kompetanse for å ivareta dagens oppgaver på en bedre måte, og til å kunne påta seg nye oppgaver. Større fylkeskommuner vil også kunne samhandle med statlige akt</w:t>
      </w:r>
      <w:r>
        <w:t>ø</w:t>
      </w:r>
      <w:r>
        <w:t xml:space="preserve">rer på en bedre måte. </w:t>
      </w:r>
    </w:p>
    <w:p w:rsidR="00557A6F" w:rsidRDefault="00557A6F" w:rsidP="00557A6F">
      <w:r>
        <w:t xml:space="preserve">Meld. St. 6 (2018–2019) </w:t>
      </w:r>
      <w:r>
        <w:rPr>
          <w:rStyle w:val="kursiv"/>
          <w:sz w:val="21"/>
          <w:szCs w:val="21"/>
        </w:rPr>
        <w:t xml:space="preserve">Oppgaver til nye regioner </w:t>
      </w:r>
      <w:r>
        <w:t>ble lagt fram høsten 2018. Bakgrunnen var a</w:t>
      </w:r>
      <w:r>
        <w:t>n</w:t>
      </w:r>
      <w:r>
        <w:t>modningsvedtak i Stortinget om en samlet vurdering av oppgaveoverføringene til de nye fylke</w:t>
      </w:r>
      <w:r>
        <w:t>s</w:t>
      </w:r>
      <w:r>
        <w:t>kommunene basert på Hagen-utvalgets rapport om desentralisering av oppgaver fra stat til fylke</w:t>
      </w:r>
      <w:r>
        <w:t>s</w:t>
      </w:r>
      <w:r>
        <w:t>kommunene. Stortinget sluttet seg til forslagene om oppgaveoverføringer, jf. Innst. 119 S (2018–2019). Fylkeskommunene får fra 2020 nye oppgaver og virkemidler blant annet innen sa</w:t>
      </w:r>
      <w:r>
        <w:t>m</w:t>
      </w:r>
      <w:r>
        <w:t>ferdsel, kompetanse og integrering, folkehelse, klima og miljø, næringsutvi</w:t>
      </w:r>
      <w:r>
        <w:t>k</w:t>
      </w:r>
      <w:r>
        <w:t xml:space="preserve">ling og landbruk. Det utredes også om ytterligere oppgaver kan </w:t>
      </w:r>
      <w:r>
        <w:lastRenderedPageBreak/>
        <w:t>overføres. Oppgavene og virkemidlene som skal overf</w:t>
      </w:r>
      <w:r>
        <w:t>ø</w:t>
      </w:r>
      <w:r>
        <w:t>res, er på områder der fylkeskommunene allerede har oppgaver og kompetanse. Dette styrker fy</w:t>
      </w:r>
      <w:r>
        <w:t>l</w:t>
      </w:r>
      <w:r>
        <w:t>keskommunene som samfunnsutviklere.</w:t>
      </w:r>
    </w:p>
    <w:p w:rsidR="00557A6F" w:rsidRDefault="00557A6F" w:rsidP="00557A6F">
      <w:pPr>
        <w:pStyle w:val="avsnitt-under-undertittel"/>
      </w:pPr>
      <w:r>
        <w:t xml:space="preserve">Innovasjon, digitalisering og omstilling </w:t>
      </w:r>
    </w:p>
    <w:p w:rsidR="00557A6F" w:rsidRDefault="00557A6F" w:rsidP="00557A6F">
      <w:r>
        <w:t>Offentlig sektor og velferdssamfunnet vil stå overfor store utfordringer i tiårene framover. Oljein</w:t>
      </w:r>
      <w:r>
        <w:t>n</w:t>
      </w:r>
      <w:r>
        <w:t>tektene vil reduseres, og andelen eldre i befolkningen vil øke kraftig. Vi må derfor kontinuerlig vurdere om vi kan løse oppgavene på nye måter – ikke minst gjennom innovasjon og digitalisering.</w:t>
      </w:r>
    </w:p>
    <w:p w:rsidR="00557A6F" w:rsidRDefault="00557A6F" w:rsidP="00557A6F">
      <w:r>
        <w:t>Kommunal- og moderniseringsdepartementet tar sikte på å legge fram en stortingsmelding om i</w:t>
      </w:r>
      <w:r>
        <w:t>n</w:t>
      </w:r>
      <w:r>
        <w:t>novasjon i o</w:t>
      </w:r>
      <w:r>
        <w:t>f</w:t>
      </w:r>
      <w:r>
        <w:t>fentlig sektor våren 2020. Meldingen retter seg mot både stat og kommunesektoren, og skal bidra til å øke forståelsen for behovet for innovasjon, kunnskapen om innovasjon og mob</w:t>
      </w:r>
      <w:r>
        <w:t>i</w:t>
      </w:r>
      <w:r>
        <w:t>lisere aktører som kan bidra til å øke innovasjonen i offentlig sektor. Se også nærmere omtale u</w:t>
      </w:r>
      <w:r>
        <w:t>n</w:t>
      </w:r>
      <w:r>
        <w:t xml:space="preserve">der programkategori 13.40. </w:t>
      </w:r>
    </w:p>
    <w:p w:rsidR="00557A6F" w:rsidRDefault="00557A6F" w:rsidP="00557A6F">
      <w:r>
        <w:t>Trondheim kommune ble i juni kåret til vinner av Kommunal- og moderniseringsdepartementets innovasjon</w:t>
      </w:r>
      <w:r>
        <w:t>s</w:t>
      </w:r>
      <w:r>
        <w:t>pris for 2019. Departementet tar sikte på å videreføre innovasjonsprisen også i 2020. Difi har ansvar for sø</w:t>
      </w:r>
      <w:r>
        <w:t>k</w:t>
      </w:r>
      <w:r>
        <w:t>nadsprosessen for innovasjonsprisen, og kommunene oppfordres til å følge med på Difis nettsider for mer i</w:t>
      </w:r>
      <w:r>
        <w:t>n</w:t>
      </w:r>
      <w:r>
        <w:t>formasjon om prisen. Forskningsrådet har opprettet et program for forskning og innovasjon i kommunesekt</w:t>
      </w:r>
      <w:r>
        <w:t>o</w:t>
      </w:r>
      <w:r>
        <w:t>ren, FORKOMMUNE. Målet er å bidra til innovasjon ved å utvikle ny kunnskap og sørge for en bedre kobling mellom kommunesektor, forskningsmiljøer og andre kun</w:t>
      </w:r>
      <w:r>
        <w:t>n</w:t>
      </w:r>
      <w:r>
        <w:t xml:space="preserve">skapsaktører. </w:t>
      </w:r>
    </w:p>
    <w:p w:rsidR="00557A6F" w:rsidRDefault="00557A6F" w:rsidP="00557A6F">
      <w:r>
        <w:t>Digitalisering legger til rette for helt nye måter å levere offentlige tjenester på, og kan bidra til å øke produktiviteten i både privat og offentlig sektor. Regjeringen la derfor i juni 2019 fram en strategi for digitalisering i offen</w:t>
      </w:r>
      <w:r>
        <w:t>t</w:t>
      </w:r>
      <w:r>
        <w:t xml:space="preserve">lig sektor. Strategien er utarbeidet i tett samarbeid med KS, og er rettet mot både stat, kommuner og fylkeskommuner. Den bygger videre på Meld. St. 27 (2015–2016) </w:t>
      </w:r>
      <w:r>
        <w:rPr>
          <w:rStyle w:val="kursiv"/>
          <w:sz w:val="21"/>
          <w:szCs w:val="21"/>
        </w:rPr>
        <w:t xml:space="preserve">Digital agenda for Norge. </w:t>
      </w:r>
    </w:p>
    <w:p w:rsidR="00557A6F" w:rsidRDefault="00557A6F" w:rsidP="00557A6F">
      <w:r>
        <w:t>I 2017 og 2018 tildelte departementet totalt 125 mill. kroner til finansieringsordningen DigiFin. Ordningen gir støtte til IKT-prosjekter av nasjonal betydning som kan komme hele kommunal sektor til gode. I tråd med foru</w:t>
      </w:r>
      <w:r>
        <w:t>t</w:t>
      </w:r>
      <w:r>
        <w:t>setningene fra departementet bidrar kommunesektoren selv med et engangsbeløp til or</w:t>
      </w:r>
      <w:r>
        <w:t>d</w:t>
      </w:r>
      <w:r>
        <w:t>ningen, tilsvarende 20 kroner per innbygger for kommunene og 5 kroner per innbygger for fylkesko</w:t>
      </w:r>
      <w:r>
        <w:t>m</w:t>
      </w:r>
      <w:r>
        <w:t>munene. Løsningene som utvikles kan kun tas i bruk av de kommunene som er med i ordningen og som har betalt engangsbeløpet. I tillegg må kommunen betale sin andel av utviklingskostnadene. Disse mi</w:t>
      </w:r>
      <w:r>
        <w:t>d</w:t>
      </w:r>
      <w:r>
        <w:t>lene tilbakeføres til ordningen for utvikling av nye prosjekter for å sikre at finansieringsordningen er varig. Nå deltar om lag 300 kommuner og ni fylkesko</w:t>
      </w:r>
      <w:r>
        <w:t>m</w:t>
      </w:r>
      <w:r>
        <w:t>muner, og det er fortsatt mulig å bli med i ordnin</w:t>
      </w:r>
      <w:r>
        <w:t>g</w:t>
      </w:r>
      <w:r>
        <w:t>en.</w:t>
      </w:r>
    </w:p>
    <w:p w:rsidR="00557A6F" w:rsidRDefault="00557A6F" w:rsidP="00557A6F">
      <w:r>
        <w:t>Departementet har videre tatt initiativ til den kommunale veiledningsordningen Digihjelpen. Det er etablert et samarbeid med KS om ordningen, og departementet har i 2019 tildelt 1 mill. kroner til dette. Tilbudet skal bidra til å videreutvikle og samordne veiledningstilbudet i grunnleggende dig</w:t>
      </w:r>
      <w:r>
        <w:t>i</w:t>
      </w:r>
      <w:r>
        <w:t>tal kompetanse som kommunene allerede tilbyr sine innbyggere, med den hensikt å hjelpe innby</w:t>
      </w:r>
      <w:r>
        <w:t>g</w:t>
      </w:r>
      <w:r>
        <w:t xml:space="preserve">gere med lave eller ingen digitale ferdigheter. </w:t>
      </w:r>
    </w:p>
    <w:p w:rsidR="00557A6F" w:rsidRDefault="00557A6F" w:rsidP="00557A6F">
      <w:r>
        <w:t>Departementet har inngått en avtale med KS og hovedsammenslutningene LO Kommune, Unio, YS Kommune og Akademikerne kommune om et prosjekt for økt digital kompetanse i kommun</w:t>
      </w:r>
      <w:r>
        <w:t>e</w:t>
      </w:r>
      <w:r>
        <w:t>ne. Prosjektet startet opp våren 2018, og gir tilbud til 40 prosjekter med til sammen 71 kommuner. Det er tildelt 3 mill. kroner til prosjektet i 2019. Utviklingsprosjektet skal stimulere til digitalis</w:t>
      </w:r>
      <w:r>
        <w:t>e</w:t>
      </w:r>
      <w:r>
        <w:t>ring av kommunesek</w:t>
      </w:r>
      <w:r>
        <w:t>t</w:t>
      </w:r>
      <w:r>
        <w:t>oren, og skape en forståelse for og gi støtte til organisasjonsutviklingen og omstillingen en slik digitalis</w:t>
      </w:r>
      <w:r>
        <w:t>e</w:t>
      </w:r>
      <w:r>
        <w:t>ring medfører for alle aktører i kommunen. Prosjektet er etter planen ferdig ved utgangen av 2019.</w:t>
      </w:r>
    </w:p>
    <w:p w:rsidR="00557A6F" w:rsidRDefault="00557A6F" w:rsidP="00557A6F">
      <w:r>
        <w:t>Et klart og brukertilpasset språk fra kommuner og fylkeskommuner fremmer demokratiet, rettssi</w:t>
      </w:r>
      <w:r>
        <w:t>k</w:t>
      </w:r>
      <w:r>
        <w:t>kerheten og skaper tillit. Departementet har siden høsten 2015 støttet et femårig program i KS for klart språk i kommunene. Programmet skal legge til rette for at kommuner og fylkeskommuner forbedrer den skriftlige kommunikasjonen med sine målgrupper. Departementet støtter programmet med 3,5 mill. kroner i 2019. Programmet skal etter planen vare til sommeren 2020, og depart</w:t>
      </w:r>
      <w:r>
        <w:t>e</w:t>
      </w:r>
      <w:r>
        <w:t>mentet legger opp til å støtte programmet også i 2020.</w:t>
      </w:r>
    </w:p>
    <w:p w:rsidR="00557A6F" w:rsidRDefault="00557A6F" w:rsidP="00557A6F">
      <w:r>
        <w:t>Det gjennomføres i dag et betydelig omstillings- og effektiviseringsarbeid i kommunesektoren for å frigjøre ressurser for å gi innbyggerne flere og bedre tjenester. Analyser fra Senter for økonomisk forskning (SØF), publisert i rapport fra TBU i november 2018, viser likevel forskjeller i tjenest</w:t>
      </w:r>
      <w:r>
        <w:t>e</w:t>
      </w:r>
      <w:r>
        <w:t>tilbud og effe</w:t>
      </w:r>
      <w:r>
        <w:t>k</w:t>
      </w:r>
      <w:r>
        <w:lastRenderedPageBreak/>
        <w:t xml:space="preserve">tivitet mellom kommunene, også om man sammenlikner kommuner med omtrent like mange innbyggere. Resultater fra SØFs analyser for den enkelte kommune er tilgjengelige på nettsiden kommunedata.no. Her vises effektivitetspotensialet for den enkelte kommune i 2016 og 2017 innenfor sektorene barnehage, grunnskole og pleie og omsorg. </w:t>
      </w:r>
    </w:p>
    <w:p w:rsidR="00557A6F" w:rsidRDefault="00557A6F" w:rsidP="00557A6F">
      <w:r>
        <w:t>Departementet tar sikte på også framover å publisere kommunevise tall over effektivitetspotensialet på komm</w:t>
      </w:r>
      <w:r>
        <w:t>u</w:t>
      </w:r>
      <w:r>
        <w:t>nedata.no. De kommunale tjenestene er komplekse. Det er mulig å skissere, men ikke fullt ut beskrive, tjenestene i de enkelte kommunene ved hjelp av indikatorer for produksjon og innsatsfaktorer. SØFs effektivitetsanalyse kan danne et grunnlag for en diskusjon om effektivitet i kommunene, men fra kommunens perspektiv vil andre tilnærminger og egne vurderinger måtte komme i tillegg for å få en god forståelse av effektiviteten i produksj</w:t>
      </w:r>
      <w:r>
        <w:t>o</w:t>
      </w:r>
      <w:r>
        <w:t>nen av egne tjenester.</w:t>
      </w:r>
    </w:p>
    <w:p w:rsidR="00557A6F" w:rsidRDefault="00557A6F" w:rsidP="00557A6F">
      <w:pPr>
        <w:pStyle w:val="avsnitt-under-undertittel"/>
      </w:pPr>
      <w:r>
        <w:t>Inntektssystemet for kommunene</w:t>
      </w:r>
    </w:p>
    <w:p w:rsidR="00557A6F" w:rsidRDefault="00557A6F" w:rsidP="00557A6F">
      <w:r>
        <w:t>Inntektssystemet for kommunene legger til rette for et godt og likeverdig tjenestetilbud over hele landet. Gjennom utgiftsutjevningen kompenseres kommunene fullt ut for ufrivillige kostnadsfo</w:t>
      </w:r>
      <w:r>
        <w:t>r</w:t>
      </w:r>
      <w:r>
        <w:t>skjeller i kommunal tjenesteproduksjon, og gjennom inntektsutjevningen omfordeles skatteinnte</w:t>
      </w:r>
      <w:r>
        <w:t>k</w:t>
      </w:r>
      <w:r>
        <w:t>ter mellom komm</w:t>
      </w:r>
      <w:r>
        <w:t>u</w:t>
      </w:r>
      <w:r>
        <w:t>nene. Med endringene i inntektssystemet i 2017 fikk vi et system som er mer nøytralt med tanke på kommunestruktur, men systemet er fremdeles ikke fullt ut nøytralt. Fra 1. januar 2020 slår 119 komm</w:t>
      </w:r>
      <w:r>
        <w:t>u</w:t>
      </w:r>
      <w:r>
        <w:t>ner seg sammen til 47 nye kommuner, og antallet kommuner reduseres fra 422 til 356. For at ikke bel</w:t>
      </w:r>
      <w:r>
        <w:t>ø</w:t>
      </w:r>
      <w:r>
        <w:t>pet som utløses av gradert basiskriterium i utgiftsutjevningen skal øke på grunn av antallet sammensl</w:t>
      </w:r>
      <w:r>
        <w:t>å</w:t>
      </w:r>
      <w:r>
        <w:t>inger, justeres vektingen av dette kriteriet fra og med 2020, slik at beløpet dette kriteriet utløser isolert sett beholdes på samme nivå som før sammenslåingene. Også grenseverdien på strukturkriteriet for å motta fullt basistilskudd beholdes i 2020 på samme nivå som i 2019.</w:t>
      </w:r>
    </w:p>
    <w:p w:rsidR="00557A6F" w:rsidRDefault="00557A6F" w:rsidP="00557A6F">
      <w:pPr>
        <w:pStyle w:val="avsnitt-under-undertittel"/>
      </w:pPr>
      <w:r>
        <w:t>Nytt inntektssystem for fylkeskommunene</w:t>
      </w:r>
    </w:p>
    <w:p w:rsidR="00557A6F" w:rsidRDefault="00557A6F" w:rsidP="00557A6F">
      <w:r>
        <w:t>Ved behandlingen av kommuneproposisjonen for 2020 sluttet Stortinget seg til regjeringens forslag til nytt inntektssystem for fylkeskommunene. Forslaget må ses i sammenheng med regionreformen og behovet for å tilpasse inntektssystemet til den nye fylkesinndelingen som trer i kraft neste år. Kostnad</w:t>
      </w:r>
      <w:r>
        <w:t>s</w:t>
      </w:r>
      <w:r>
        <w:t>nøkkelen er oppdatert for å gjøre den sammenslåingsnøytral, slik at sammenslåingene i seg selv ikke gir fordelingsvirkninger mellom fylkeskommunene. Oppdateringen fanger også opp endringer i befol</w:t>
      </w:r>
      <w:r>
        <w:t>k</w:t>
      </w:r>
      <w:r>
        <w:t>ningssammensetning, reiseavstander og andre strukturelle forhold. Fire av dagens kriterier utgår i den nye nøkkelen, mens det tas inn tre nye kriterier. Regionreformen gir samtidig behov for økonomisk forutsigbarhet for fylkeskommunene, og forslaget omfattet derfor kompens</w:t>
      </w:r>
      <w:r>
        <w:t>a</w:t>
      </w:r>
      <w:r>
        <w:t>sjons- og overgangsordninger.</w:t>
      </w:r>
    </w:p>
    <w:p w:rsidR="00557A6F" w:rsidRDefault="00557A6F" w:rsidP="00557A6F">
      <w:pPr>
        <w:pStyle w:val="b-budkaptit"/>
      </w:pPr>
      <w:r>
        <w:t>Kap. 571 Rammetilskudd til kommuner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7A6F" w:rsidTr="00557A6F">
        <w:trPr>
          <w:trHeight w:val="640"/>
        </w:trPr>
        <w:tc>
          <w:tcPr>
            <w:tcW w:w="1140" w:type="dxa"/>
            <w:shd w:val="clear" w:color="auto" w:fill="FFFFFF"/>
          </w:tcPr>
          <w:p w:rsidR="00557A6F" w:rsidRDefault="00557A6F" w:rsidP="00557A6F">
            <w:pPr>
              <w:pStyle w:val="Tabellnavn"/>
            </w:pPr>
            <w:r>
              <w:t>KPAL</w:t>
            </w:r>
          </w:p>
        </w:tc>
        <w:tc>
          <w:tcPr>
            <w:tcW w:w="4560" w:type="dxa"/>
          </w:tcPr>
          <w:p w:rsidR="00557A6F" w:rsidRDefault="00557A6F" w:rsidP="00557A6F"/>
        </w:tc>
        <w:tc>
          <w:tcPr>
            <w:tcW w:w="1140" w:type="dxa"/>
          </w:tcPr>
          <w:p w:rsidR="00557A6F" w:rsidRDefault="00557A6F" w:rsidP="00557A6F">
            <w:pPr>
              <w:pStyle w:val="Tabellnavn"/>
              <w:jc w:val="right"/>
            </w:pPr>
          </w:p>
        </w:tc>
        <w:tc>
          <w:tcPr>
            <w:tcW w:w="1140" w:type="dxa"/>
          </w:tcPr>
          <w:p w:rsidR="00557A6F" w:rsidRDefault="00557A6F" w:rsidP="00557A6F">
            <w:pPr>
              <w:pStyle w:val="Tabellnavn"/>
              <w:jc w:val="right"/>
            </w:pPr>
          </w:p>
        </w:tc>
        <w:tc>
          <w:tcPr>
            <w:tcW w:w="1140" w:type="dxa"/>
          </w:tcPr>
          <w:p w:rsidR="00557A6F" w:rsidRDefault="00557A6F" w:rsidP="00557A6F">
            <w:pPr>
              <w:jc w:val="right"/>
            </w:pPr>
            <w:r>
              <w:t>(i 1 000 kr)</w:t>
            </w:r>
          </w:p>
        </w:tc>
      </w:tr>
      <w:tr w:rsidR="00557A6F" w:rsidTr="00557A6F">
        <w:trPr>
          <w:trHeight w:val="600"/>
        </w:trPr>
        <w:tc>
          <w:tcPr>
            <w:tcW w:w="1140" w:type="dxa"/>
          </w:tcPr>
          <w:p w:rsidR="00557A6F" w:rsidRDefault="00557A6F" w:rsidP="00557A6F">
            <w:r>
              <w:t>Post</w:t>
            </w:r>
          </w:p>
        </w:tc>
        <w:tc>
          <w:tcPr>
            <w:tcW w:w="4560" w:type="dxa"/>
          </w:tcPr>
          <w:p w:rsidR="00557A6F" w:rsidRDefault="00557A6F" w:rsidP="00557A6F">
            <w:r>
              <w:t>Betegnelse</w:t>
            </w:r>
          </w:p>
        </w:tc>
        <w:tc>
          <w:tcPr>
            <w:tcW w:w="1140" w:type="dxa"/>
          </w:tcPr>
          <w:p w:rsidR="00557A6F" w:rsidRDefault="00557A6F" w:rsidP="00557A6F">
            <w:pPr>
              <w:jc w:val="right"/>
            </w:pPr>
            <w:r>
              <w:t>Regnskap 2018</w:t>
            </w:r>
          </w:p>
        </w:tc>
        <w:tc>
          <w:tcPr>
            <w:tcW w:w="1140" w:type="dxa"/>
          </w:tcPr>
          <w:p w:rsidR="00557A6F" w:rsidRDefault="00557A6F" w:rsidP="00557A6F">
            <w:pPr>
              <w:jc w:val="right"/>
            </w:pPr>
            <w:r>
              <w:t xml:space="preserve">Saldert </w:t>
            </w:r>
            <w:r>
              <w:br/>
              <w:t>budsjett 2019</w:t>
            </w:r>
          </w:p>
        </w:tc>
        <w:tc>
          <w:tcPr>
            <w:tcW w:w="1140" w:type="dxa"/>
          </w:tcPr>
          <w:p w:rsidR="00557A6F" w:rsidRDefault="00557A6F" w:rsidP="00557A6F">
            <w:pPr>
              <w:jc w:val="right"/>
            </w:pPr>
            <w:r>
              <w:t xml:space="preserve">Forslag </w:t>
            </w:r>
            <w:r>
              <w:br/>
              <w:t>2020</w:t>
            </w:r>
          </w:p>
        </w:tc>
      </w:tr>
      <w:tr w:rsidR="00557A6F" w:rsidTr="00557A6F">
        <w:trPr>
          <w:trHeight w:val="380"/>
        </w:trPr>
        <w:tc>
          <w:tcPr>
            <w:tcW w:w="1140" w:type="dxa"/>
          </w:tcPr>
          <w:p w:rsidR="00557A6F" w:rsidRDefault="00557A6F" w:rsidP="00557A6F">
            <w:r>
              <w:t>21</w:t>
            </w:r>
          </w:p>
        </w:tc>
        <w:tc>
          <w:tcPr>
            <w:tcW w:w="4560" w:type="dxa"/>
          </w:tcPr>
          <w:p w:rsidR="00557A6F" w:rsidRDefault="00557A6F" w:rsidP="00557A6F">
            <w:r>
              <w:t>Spesielle driftsutgifter</w:t>
            </w:r>
            <w:r>
              <w:rPr>
                <w:rStyle w:val="kursiv"/>
                <w:sz w:val="21"/>
                <w:szCs w:val="21"/>
              </w:rPr>
              <w:t xml:space="preserve">, kan overføres </w:t>
            </w:r>
          </w:p>
        </w:tc>
        <w:tc>
          <w:tcPr>
            <w:tcW w:w="1140" w:type="dxa"/>
          </w:tcPr>
          <w:p w:rsidR="00557A6F" w:rsidRDefault="00557A6F" w:rsidP="00557A6F">
            <w:pPr>
              <w:jc w:val="right"/>
            </w:pPr>
            <w:r>
              <w:t>21 675</w:t>
            </w:r>
          </w:p>
        </w:tc>
        <w:tc>
          <w:tcPr>
            <w:tcW w:w="1140" w:type="dxa"/>
          </w:tcPr>
          <w:p w:rsidR="00557A6F" w:rsidRDefault="00557A6F" w:rsidP="00557A6F">
            <w:pPr>
              <w:jc w:val="right"/>
            </w:pPr>
            <w:r>
              <w:t>33 639</w:t>
            </w:r>
          </w:p>
        </w:tc>
        <w:tc>
          <w:tcPr>
            <w:tcW w:w="1140" w:type="dxa"/>
          </w:tcPr>
          <w:p w:rsidR="00557A6F" w:rsidRDefault="00557A6F" w:rsidP="00557A6F">
            <w:pPr>
              <w:jc w:val="right"/>
            </w:pPr>
            <w:r>
              <w:t>34 542</w:t>
            </w:r>
          </w:p>
        </w:tc>
      </w:tr>
      <w:tr w:rsidR="00557A6F" w:rsidTr="00557A6F">
        <w:trPr>
          <w:trHeight w:val="380"/>
        </w:trPr>
        <w:tc>
          <w:tcPr>
            <w:tcW w:w="1140" w:type="dxa"/>
          </w:tcPr>
          <w:p w:rsidR="00557A6F" w:rsidRDefault="00557A6F" w:rsidP="00557A6F">
            <w:r>
              <w:t>60</w:t>
            </w:r>
          </w:p>
        </w:tc>
        <w:tc>
          <w:tcPr>
            <w:tcW w:w="4560" w:type="dxa"/>
          </w:tcPr>
          <w:p w:rsidR="00557A6F" w:rsidRDefault="00557A6F" w:rsidP="00557A6F">
            <w:r>
              <w:t xml:space="preserve">Innbyggertilskudd </w:t>
            </w:r>
          </w:p>
        </w:tc>
        <w:tc>
          <w:tcPr>
            <w:tcW w:w="1140" w:type="dxa"/>
          </w:tcPr>
          <w:p w:rsidR="00557A6F" w:rsidRDefault="00557A6F" w:rsidP="00557A6F">
            <w:pPr>
              <w:jc w:val="right"/>
            </w:pPr>
            <w:r>
              <w:t>125 693 888</w:t>
            </w:r>
          </w:p>
        </w:tc>
        <w:tc>
          <w:tcPr>
            <w:tcW w:w="1140" w:type="dxa"/>
          </w:tcPr>
          <w:p w:rsidR="00557A6F" w:rsidRDefault="00557A6F" w:rsidP="00557A6F">
            <w:pPr>
              <w:jc w:val="right"/>
            </w:pPr>
            <w:r>
              <w:t>131 519 299</w:t>
            </w:r>
          </w:p>
        </w:tc>
        <w:tc>
          <w:tcPr>
            <w:tcW w:w="1140" w:type="dxa"/>
          </w:tcPr>
          <w:p w:rsidR="00557A6F" w:rsidRDefault="00557A6F" w:rsidP="00557A6F">
            <w:pPr>
              <w:jc w:val="right"/>
            </w:pPr>
            <w:r>
              <w:t>137 050 768</w:t>
            </w:r>
          </w:p>
        </w:tc>
      </w:tr>
      <w:tr w:rsidR="00557A6F" w:rsidTr="00557A6F">
        <w:trPr>
          <w:trHeight w:val="380"/>
        </w:trPr>
        <w:tc>
          <w:tcPr>
            <w:tcW w:w="1140" w:type="dxa"/>
          </w:tcPr>
          <w:p w:rsidR="00557A6F" w:rsidRDefault="00557A6F" w:rsidP="00557A6F">
            <w:r>
              <w:t>61</w:t>
            </w:r>
          </w:p>
        </w:tc>
        <w:tc>
          <w:tcPr>
            <w:tcW w:w="4560" w:type="dxa"/>
          </w:tcPr>
          <w:p w:rsidR="00557A6F" w:rsidRDefault="00557A6F" w:rsidP="00557A6F">
            <w:r>
              <w:t xml:space="preserve">Distriktstilskudd Sør-Norge </w:t>
            </w:r>
          </w:p>
        </w:tc>
        <w:tc>
          <w:tcPr>
            <w:tcW w:w="1140" w:type="dxa"/>
          </w:tcPr>
          <w:p w:rsidR="00557A6F" w:rsidRDefault="00557A6F" w:rsidP="00557A6F">
            <w:pPr>
              <w:jc w:val="right"/>
            </w:pPr>
            <w:r>
              <w:t>831 273</w:t>
            </w:r>
          </w:p>
        </w:tc>
        <w:tc>
          <w:tcPr>
            <w:tcW w:w="1140" w:type="dxa"/>
          </w:tcPr>
          <w:p w:rsidR="00557A6F" w:rsidRDefault="00557A6F" w:rsidP="00557A6F">
            <w:pPr>
              <w:jc w:val="right"/>
            </w:pPr>
            <w:r>
              <w:t>860 407</w:t>
            </w:r>
          </w:p>
        </w:tc>
        <w:tc>
          <w:tcPr>
            <w:tcW w:w="1140" w:type="dxa"/>
          </w:tcPr>
          <w:p w:rsidR="00557A6F" w:rsidRDefault="00557A6F" w:rsidP="00557A6F">
            <w:pPr>
              <w:jc w:val="right"/>
            </w:pPr>
            <w:r>
              <w:t>785 079</w:t>
            </w:r>
          </w:p>
        </w:tc>
      </w:tr>
      <w:tr w:rsidR="00557A6F" w:rsidTr="00557A6F">
        <w:trPr>
          <w:trHeight w:val="380"/>
        </w:trPr>
        <w:tc>
          <w:tcPr>
            <w:tcW w:w="1140" w:type="dxa"/>
          </w:tcPr>
          <w:p w:rsidR="00557A6F" w:rsidRDefault="00557A6F" w:rsidP="00557A6F">
            <w:r>
              <w:t>62</w:t>
            </w:r>
          </w:p>
        </w:tc>
        <w:tc>
          <w:tcPr>
            <w:tcW w:w="4560" w:type="dxa"/>
          </w:tcPr>
          <w:p w:rsidR="00557A6F" w:rsidRDefault="00557A6F" w:rsidP="00557A6F">
            <w:r>
              <w:t xml:space="preserve">Distriktstilskudd Nord-Norge </w:t>
            </w:r>
          </w:p>
        </w:tc>
        <w:tc>
          <w:tcPr>
            <w:tcW w:w="1140" w:type="dxa"/>
          </w:tcPr>
          <w:p w:rsidR="00557A6F" w:rsidRDefault="00557A6F" w:rsidP="00557A6F">
            <w:pPr>
              <w:jc w:val="right"/>
            </w:pPr>
            <w:r>
              <w:t>2 139 662</w:t>
            </w:r>
          </w:p>
        </w:tc>
        <w:tc>
          <w:tcPr>
            <w:tcW w:w="1140" w:type="dxa"/>
          </w:tcPr>
          <w:p w:rsidR="00557A6F" w:rsidRDefault="00557A6F" w:rsidP="00557A6F">
            <w:pPr>
              <w:jc w:val="right"/>
            </w:pPr>
            <w:r>
              <w:t>2 199 842</w:t>
            </w:r>
          </w:p>
        </w:tc>
        <w:tc>
          <w:tcPr>
            <w:tcW w:w="1140" w:type="dxa"/>
          </w:tcPr>
          <w:p w:rsidR="00557A6F" w:rsidRDefault="00557A6F" w:rsidP="00557A6F">
            <w:pPr>
              <w:jc w:val="right"/>
            </w:pPr>
            <w:r>
              <w:t>2 204 969</w:t>
            </w:r>
          </w:p>
        </w:tc>
      </w:tr>
      <w:tr w:rsidR="00557A6F" w:rsidTr="00557A6F">
        <w:trPr>
          <w:trHeight w:val="380"/>
        </w:trPr>
        <w:tc>
          <w:tcPr>
            <w:tcW w:w="1140" w:type="dxa"/>
          </w:tcPr>
          <w:p w:rsidR="00557A6F" w:rsidRDefault="00557A6F" w:rsidP="00557A6F">
            <w:r>
              <w:t>64</w:t>
            </w:r>
          </w:p>
        </w:tc>
        <w:tc>
          <w:tcPr>
            <w:tcW w:w="4560" w:type="dxa"/>
          </w:tcPr>
          <w:p w:rsidR="00557A6F" w:rsidRDefault="00557A6F" w:rsidP="00557A6F">
            <w:r>
              <w:t>Skjønnstilskudd</w:t>
            </w:r>
            <w:r>
              <w:rPr>
                <w:rStyle w:val="kursiv"/>
                <w:sz w:val="21"/>
                <w:szCs w:val="21"/>
              </w:rPr>
              <w:t xml:space="preserve">, kan nyttes under kap. 572, post 64 </w:t>
            </w:r>
          </w:p>
        </w:tc>
        <w:tc>
          <w:tcPr>
            <w:tcW w:w="1140" w:type="dxa"/>
          </w:tcPr>
          <w:p w:rsidR="00557A6F" w:rsidRDefault="00557A6F" w:rsidP="00557A6F">
            <w:pPr>
              <w:jc w:val="right"/>
            </w:pPr>
            <w:r>
              <w:t>1 492 447</w:t>
            </w:r>
          </w:p>
        </w:tc>
        <w:tc>
          <w:tcPr>
            <w:tcW w:w="1140" w:type="dxa"/>
          </w:tcPr>
          <w:p w:rsidR="00557A6F" w:rsidRDefault="00557A6F" w:rsidP="00557A6F">
            <w:pPr>
              <w:jc w:val="right"/>
            </w:pPr>
            <w:r>
              <w:t>1 237 000</w:t>
            </w:r>
          </w:p>
        </w:tc>
        <w:tc>
          <w:tcPr>
            <w:tcW w:w="1140" w:type="dxa"/>
          </w:tcPr>
          <w:p w:rsidR="00557A6F" w:rsidRDefault="00557A6F" w:rsidP="00557A6F">
            <w:pPr>
              <w:jc w:val="right"/>
            </w:pPr>
            <w:r>
              <w:t>1 084 000</w:t>
            </w:r>
          </w:p>
        </w:tc>
      </w:tr>
      <w:tr w:rsidR="00557A6F" w:rsidTr="00557A6F">
        <w:trPr>
          <w:trHeight w:val="380"/>
        </w:trPr>
        <w:tc>
          <w:tcPr>
            <w:tcW w:w="1140" w:type="dxa"/>
          </w:tcPr>
          <w:p w:rsidR="00557A6F" w:rsidRDefault="00557A6F" w:rsidP="00557A6F">
            <w:r>
              <w:lastRenderedPageBreak/>
              <w:t>65</w:t>
            </w:r>
          </w:p>
        </w:tc>
        <w:tc>
          <w:tcPr>
            <w:tcW w:w="4560" w:type="dxa"/>
          </w:tcPr>
          <w:p w:rsidR="00557A6F" w:rsidRDefault="00557A6F" w:rsidP="00557A6F">
            <w:r>
              <w:t xml:space="preserve">Regionsentertilskudd </w:t>
            </w:r>
          </w:p>
        </w:tc>
        <w:tc>
          <w:tcPr>
            <w:tcW w:w="1140" w:type="dxa"/>
          </w:tcPr>
          <w:p w:rsidR="00557A6F" w:rsidRDefault="00557A6F" w:rsidP="00557A6F">
            <w:pPr>
              <w:jc w:val="right"/>
            </w:pPr>
            <w:r>
              <w:t>200 000</w:t>
            </w:r>
          </w:p>
        </w:tc>
        <w:tc>
          <w:tcPr>
            <w:tcW w:w="1140" w:type="dxa"/>
          </w:tcPr>
          <w:p w:rsidR="00557A6F" w:rsidRDefault="00557A6F" w:rsidP="00557A6F">
            <w:pPr>
              <w:jc w:val="right"/>
            </w:pPr>
            <w:r>
              <w:t>200 000</w:t>
            </w:r>
          </w:p>
        </w:tc>
        <w:tc>
          <w:tcPr>
            <w:tcW w:w="1140" w:type="dxa"/>
          </w:tcPr>
          <w:p w:rsidR="00557A6F" w:rsidRDefault="00557A6F" w:rsidP="00557A6F">
            <w:pPr>
              <w:jc w:val="right"/>
            </w:pPr>
            <w:r>
              <w:t>196 855</w:t>
            </w:r>
          </w:p>
        </w:tc>
      </w:tr>
      <w:tr w:rsidR="00557A6F" w:rsidTr="00557A6F">
        <w:trPr>
          <w:trHeight w:val="380"/>
        </w:trPr>
        <w:tc>
          <w:tcPr>
            <w:tcW w:w="1140" w:type="dxa"/>
          </w:tcPr>
          <w:p w:rsidR="00557A6F" w:rsidRDefault="00557A6F" w:rsidP="00557A6F">
            <w:r>
              <w:t>66</w:t>
            </w:r>
          </w:p>
        </w:tc>
        <w:tc>
          <w:tcPr>
            <w:tcW w:w="4560" w:type="dxa"/>
          </w:tcPr>
          <w:p w:rsidR="00557A6F" w:rsidRDefault="00557A6F" w:rsidP="00557A6F">
            <w:r>
              <w:t xml:space="preserve">Veksttilskudd </w:t>
            </w:r>
          </w:p>
        </w:tc>
        <w:tc>
          <w:tcPr>
            <w:tcW w:w="1140" w:type="dxa"/>
          </w:tcPr>
          <w:p w:rsidR="00557A6F" w:rsidRDefault="00557A6F" w:rsidP="00557A6F">
            <w:pPr>
              <w:jc w:val="right"/>
            </w:pPr>
            <w:r>
              <w:t>312 444</w:t>
            </w:r>
          </w:p>
        </w:tc>
        <w:tc>
          <w:tcPr>
            <w:tcW w:w="1140" w:type="dxa"/>
          </w:tcPr>
          <w:p w:rsidR="00557A6F" w:rsidRDefault="00557A6F" w:rsidP="00557A6F">
            <w:pPr>
              <w:jc w:val="right"/>
            </w:pPr>
            <w:r>
              <w:t>231 934</w:t>
            </w:r>
          </w:p>
        </w:tc>
        <w:tc>
          <w:tcPr>
            <w:tcW w:w="1140" w:type="dxa"/>
          </w:tcPr>
          <w:p w:rsidR="00557A6F" w:rsidRDefault="00557A6F" w:rsidP="00557A6F">
            <w:pPr>
              <w:jc w:val="right"/>
            </w:pPr>
            <w:r>
              <w:t>203 885</w:t>
            </w:r>
          </w:p>
        </w:tc>
      </w:tr>
      <w:tr w:rsidR="00557A6F" w:rsidTr="00557A6F">
        <w:trPr>
          <w:trHeight w:val="380"/>
        </w:trPr>
        <w:tc>
          <w:tcPr>
            <w:tcW w:w="1140" w:type="dxa"/>
          </w:tcPr>
          <w:p w:rsidR="00557A6F" w:rsidRDefault="00557A6F" w:rsidP="00557A6F">
            <w:r>
              <w:t>67</w:t>
            </w:r>
          </w:p>
        </w:tc>
        <w:tc>
          <w:tcPr>
            <w:tcW w:w="4560" w:type="dxa"/>
          </w:tcPr>
          <w:p w:rsidR="00557A6F" w:rsidRDefault="00557A6F" w:rsidP="00557A6F">
            <w:r>
              <w:t xml:space="preserve">Storbytilskudd </w:t>
            </w:r>
          </w:p>
        </w:tc>
        <w:tc>
          <w:tcPr>
            <w:tcW w:w="1140" w:type="dxa"/>
          </w:tcPr>
          <w:p w:rsidR="00557A6F" w:rsidRDefault="00557A6F" w:rsidP="00557A6F">
            <w:pPr>
              <w:jc w:val="right"/>
            </w:pPr>
            <w:r>
              <w:t>490 158</w:t>
            </w:r>
          </w:p>
        </w:tc>
        <w:tc>
          <w:tcPr>
            <w:tcW w:w="1140" w:type="dxa"/>
          </w:tcPr>
          <w:p w:rsidR="00557A6F" w:rsidRDefault="00557A6F" w:rsidP="00557A6F">
            <w:pPr>
              <w:jc w:val="right"/>
            </w:pPr>
            <w:r>
              <w:t>508 768</w:t>
            </w:r>
          </w:p>
        </w:tc>
        <w:tc>
          <w:tcPr>
            <w:tcW w:w="1140" w:type="dxa"/>
          </w:tcPr>
          <w:p w:rsidR="00557A6F" w:rsidRDefault="00557A6F" w:rsidP="00557A6F">
            <w:pPr>
              <w:jc w:val="right"/>
            </w:pPr>
            <w:r>
              <w:t>581 233</w:t>
            </w:r>
          </w:p>
        </w:tc>
      </w:tr>
      <w:tr w:rsidR="00557A6F" w:rsidTr="00557A6F">
        <w:trPr>
          <w:trHeight w:val="380"/>
        </w:trPr>
        <w:tc>
          <w:tcPr>
            <w:tcW w:w="1140" w:type="dxa"/>
          </w:tcPr>
          <w:p w:rsidR="00557A6F" w:rsidRDefault="00557A6F" w:rsidP="00557A6F">
            <w:r>
              <w:t>90</w:t>
            </w:r>
          </w:p>
        </w:tc>
        <w:tc>
          <w:tcPr>
            <w:tcW w:w="4560" w:type="dxa"/>
          </w:tcPr>
          <w:p w:rsidR="00557A6F" w:rsidRDefault="00557A6F" w:rsidP="00557A6F">
            <w:r>
              <w:t xml:space="preserve">Forskudd på rammetilskudd </w:t>
            </w:r>
          </w:p>
        </w:tc>
        <w:tc>
          <w:tcPr>
            <w:tcW w:w="1140" w:type="dxa"/>
          </w:tcPr>
          <w:p w:rsidR="00557A6F" w:rsidRDefault="00557A6F" w:rsidP="00557A6F">
            <w:pPr>
              <w:jc w:val="right"/>
            </w:pPr>
            <w:r>
              <w:t>375</w:t>
            </w:r>
          </w:p>
        </w:tc>
        <w:tc>
          <w:tcPr>
            <w:tcW w:w="1140" w:type="dxa"/>
          </w:tcPr>
          <w:p w:rsidR="00557A6F" w:rsidRDefault="00557A6F" w:rsidP="00557A6F">
            <w:pPr>
              <w:jc w:val="right"/>
            </w:pPr>
          </w:p>
        </w:tc>
        <w:tc>
          <w:tcPr>
            <w:tcW w:w="1140" w:type="dxa"/>
          </w:tcPr>
          <w:p w:rsidR="00557A6F" w:rsidRDefault="00557A6F" w:rsidP="00557A6F">
            <w:pPr>
              <w:jc w:val="right"/>
            </w:pPr>
          </w:p>
        </w:tc>
      </w:tr>
      <w:tr w:rsidR="00557A6F" w:rsidTr="00557A6F">
        <w:trPr>
          <w:trHeight w:val="380"/>
        </w:trPr>
        <w:tc>
          <w:tcPr>
            <w:tcW w:w="1140" w:type="dxa"/>
          </w:tcPr>
          <w:p w:rsidR="00557A6F" w:rsidRDefault="00557A6F" w:rsidP="00557A6F"/>
        </w:tc>
        <w:tc>
          <w:tcPr>
            <w:tcW w:w="4560" w:type="dxa"/>
          </w:tcPr>
          <w:p w:rsidR="00557A6F" w:rsidRDefault="00557A6F" w:rsidP="00557A6F">
            <w:r>
              <w:t>Sum kap. 0571</w:t>
            </w:r>
          </w:p>
        </w:tc>
        <w:tc>
          <w:tcPr>
            <w:tcW w:w="1140" w:type="dxa"/>
          </w:tcPr>
          <w:p w:rsidR="00557A6F" w:rsidRDefault="00557A6F" w:rsidP="00557A6F">
            <w:pPr>
              <w:jc w:val="right"/>
            </w:pPr>
            <w:r>
              <w:t>131 181 922</w:t>
            </w:r>
          </w:p>
        </w:tc>
        <w:tc>
          <w:tcPr>
            <w:tcW w:w="1140" w:type="dxa"/>
          </w:tcPr>
          <w:p w:rsidR="00557A6F" w:rsidRDefault="00557A6F" w:rsidP="00557A6F">
            <w:pPr>
              <w:jc w:val="right"/>
            </w:pPr>
            <w:r>
              <w:t>136 790 889</w:t>
            </w:r>
          </w:p>
        </w:tc>
        <w:tc>
          <w:tcPr>
            <w:tcW w:w="1140" w:type="dxa"/>
          </w:tcPr>
          <w:p w:rsidR="00557A6F" w:rsidRDefault="00557A6F" w:rsidP="00557A6F">
            <w:pPr>
              <w:jc w:val="right"/>
            </w:pPr>
            <w:r>
              <w:t>142 141 331</w:t>
            </w:r>
          </w:p>
        </w:tc>
      </w:tr>
    </w:tbl>
    <w:p w:rsidR="00557A6F" w:rsidRDefault="00557A6F" w:rsidP="00557A6F">
      <w:pPr>
        <w:pStyle w:val="tabell-noter"/>
      </w:pPr>
      <w:r>
        <w:t>Vedrørende 2019: Ved Stortingets vedtak av 21. juni 2019 ble post 60 økt med 232,4 mill. kroner til 131 751,7 mill. kroner, jf. Prop. 114 S og Innst. 391 S (2018–2019).</w:t>
      </w:r>
    </w:p>
    <w:p w:rsidR="00557A6F" w:rsidRDefault="00557A6F" w:rsidP="00557A6F">
      <w:pPr>
        <w:pStyle w:val="b-post"/>
      </w:pPr>
      <w:r>
        <w:t>Post 21 Spesielle driftsutgifter, kan overføres</w:t>
      </w:r>
    </w:p>
    <w:p w:rsidR="00557A6F" w:rsidRDefault="00557A6F" w:rsidP="00557A6F">
      <w:r>
        <w:t>Bevilgningen går til forskning og utredning om kommuneøkonomi (herunder inntektssystemet), ko</w:t>
      </w:r>
      <w:r>
        <w:t>m</w:t>
      </w:r>
      <w:r>
        <w:t>muneloven og øvrig juridisk rammeverk for kommunesektoren, lokaldemokrati og statlige tiltak overfor kommunesektoren. Bevilgningen omfatter også driftsmidler til Det tekniske bere</w:t>
      </w:r>
      <w:r>
        <w:t>g</w:t>
      </w:r>
      <w:r>
        <w:t>ningsutvalg for kommunal og fylkeskommunal økonomi (TBU). Bevilgningen kan videre finansi</w:t>
      </w:r>
      <w:r>
        <w:t>e</w:t>
      </w:r>
      <w:r>
        <w:t>re større utviklingsprosjekter, herunder utredningsstillinger i departementet knyttet til tidsbegre</w:t>
      </w:r>
      <w:r>
        <w:t>n</w:t>
      </w:r>
      <w:r>
        <w:t>sede prosjekter.</w:t>
      </w:r>
    </w:p>
    <w:p w:rsidR="00557A6F" w:rsidRDefault="00557A6F" w:rsidP="00557A6F">
      <w:pPr>
        <w:pStyle w:val="avsnitt-tittel"/>
      </w:pPr>
      <w:r>
        <w:t>Rapport</w:t>
      </w:r>
    </w:p>
    <w:p w:rsidR="00557A6F" w:rsidRDefault="00557A6F" w:rsidP="00557A6F">
      <w:r>
        <w:t>I 2018 og 2019 har det vært utredninger og evalueringer innenfor blant annet følgende tema:</w:t>
      </w:r>
    </w:p>
    <w:p w:rsidR="00557A6F" w:rsidRDefault="00557A6F" w:rsidP="00557A6F">
      <w:pPr>
        <w:pStyle w:val="Liste"/>
      </w:pPr>
      <w:r>
        <w:t>Hvordan små kommuner fyller sin rolle innenfor generalistkommunesystemet</w:t>
      </w:r>
    </w:p>
    <w:p w:rsidR="00557A6F" w:rsidRDefault="00557A6F" w:rsidP="00557A6F">
      <w:pPr>
        <w:pStyle w:val="Liste"/>
      </w:pPr>
      <w:r>
        <w:t>Digitale verktøy for e-demokrati i kommuner</w:t>
      </w:r>
    </w:p>
    <w:p w:rsidR="00557A6F" w:rsidRDefault="00557A6F" w:rsidP="00557A6F">
      <w:pPr>
        <w:pStyle w:val="Liste"/>
      </w:pPr>
      <w:r>
        <w:t>Delkostnadsnøkkelen for grunnskole</w:t>
      </w:r>
    </w:p>
    <w:p w:rsidR="00557A6F" w:rsidRDefault="00557A6F" w:rsidP="00557A6F">
      <w:pPr>
        <w:pStyle w:val="Liste"/>
      </w:pPr>
      <w:r>
        <w:t>Kommuner i ROBEK-registeret</w:t>
      </w:r>
    </w:p>
    <w:p w:rsidR="00557A6F" w:rsidRDefault="00557A6F" w:rsidP="00557A6F">
      <w:r>
        <w:t>Posten har i 2018 og 2019 også finansiert arbeid med valglovutvalget, opplæring i ny kommunelov og enkelte utgifter i forbindelse med kommunereformen. Det er blant annet gitt midler til fylke</w:t>
      </w:r>
      <w:r>
        <w:t>s</w:t>
      </w:r>
      <w:r>
        <w:t>mennenes a</w:t>
      </w:r>
      <w:r>
        <w:t>r</w:t>
      </w:r>
      <w:r>
        <w:t>beid med kommunesammenslåing, og til Kartverket for å være teknisk koordinator for kommuner og statlige virksomheter i forbindelse med kommune- og fylkessammenslåinger.</w:t>
      </w:r>
    </w:p>
    <w:p w:rsidR="00557A6F" w:rsidRDefault="00557A6F" w:rsidP="00557A6F">
      <w:pPr>
        <w:pStyle w:val="avsnitt-tittel"/>
      </w:pPr>
      <w:r>
        <w:t>Budsjettforslag</w:t>
      </w:r>
    </w:p>
    <w:p w:rsidR="00557A6F" w:rsidRDefault="00557A6F" w:rsidP="00557A6F">
      <w:r>
        <w:t>Det foreslås en bevilgning på 34,5 mill. kroner i 2020, som er en økning på 0,9 mill. kroner fra saldert budsjett for 2019. Forslaget inkluderer midler til videreføring av fylkesmennenes arbeid med kommun</w:t>
      </w:r>
      <w:r>
        <w:t>e</w:t>
      </w:r>
      <w:r>
        <w:t>sammenslåing.</w:t>
      </w:r>
    </w:p>
    <w:p w:rsidR="00557A6F" w:rsidRDefault="00557A6F" w:rsidP="00557A6F">
      <w:pPr>
        <w:pStyle w:val="b-post"/>
      </w:pPr>
      <w:r>
        <w:t>Post 60 Innbyggertilskudd</w:t>
      </w:r>
    </w:p>
    <w:p w:rsidR="00557A6F" w:rsidRDefault="00557A6F" w:rsidP="00557A6F">
      <w:r>
        <w:t>Hoveddelen av rammetilskuddet fordeles gjennom innbyggertilskuddet. Innbyggertilskuddet fo</w:t>
      </w:r>
      <w:r>
        <w:t>r</w:t>
      </w:r>
      <w:r>
        <w:t>deles i utgangspunktet med et likt beløp per innbygger, før det omfordeles gjennom utgiftsutje</w:t>
      </w:r>
      <w:r>
        <w:t>v</w:t>
      </w:r>
      <w:r>
        <w:t>ningen, ove</w:t>
      </w:r>
      <w:r>
        <w:t>r</w:t>
      </w:r>
      <w:r>
        <w:t>gangsordningen og korreksjonsordningen for elever i statlige og private skoler.</w:t>
      </w:r>
    </w:p>
    <w:p w:rsidR="00557A6F" w:rsidRDefault="00557A6F" w:rsidP="00557A6F">
      <w:r>
        <w:t>For en nærmere omtale av innbyggertilskuddet, utgiftsutjevningen og kostnadsnøkkelen for ko</w:t>
      </w:r>
      <w:r>
        <w:t>m</w:t>
      </w:r>
      <w:r>
        <w:t>munene vises det til Berekningsteknisk dokumentasjon til Prop. 1 S (2019–2020) Grønt hefte (H-2454 N).</w:t>
      </w:r>
    </w:p>
    <w:p w:rsidR="00557A6F" w:rsidRDefault="00557A6F" w:rsidP="00557A6F">
      <w:r>
        <w:t>I 2019 er det innenfor kommunenes skjønnstilskudd avsatt 71 mill. kroner i kompensasjon for bortfall av inntekter fra eiendomsskatt på produksjonsutstyr og installasjoner. I 2020 vil kompens</w:t>
      </w:r>
      <w:r>
        <w:t>a</w:t>
      </w:r>
      <w:r>
        <w:t>sjonen overføres til innbygge</w:t>
      </w:r>
      <w:r>
        <w:t>r</w:t>
      </w:r>
      <w:r>
        <w:t>tilskuddet med en særskilt fordeling.</w:t>
      </w:r>
    </w:p>
    <w:p w:rsidR="00557A6F" w:rsidRDefault="00557A6F" w:rsidP="00557A6F">
      <w:pPr>
        <w:pStyle w:val="avsnitt-tittel"/>
      </w:pPr>
      <w:r>
        <w:lastRenderedPageBreak/>
        <w:t>Kostnadsnøkkel for kommunene i 2020</w:t>
      </w:r>
    </w:p>
    <w:p w:rsidR="00557A6F" w:rsidRDefault="00557A6F" w:rsidP="00557A6F">
      <w:r>
        <w:t>Utgiftsutjevningen skjer gjennom kostnadsnøkkelen. Kostnadsnøkkelen for kommunene består av åtte delkostnadsnøkler. Disse vektes sammen til én kostnadsnøkkel ut fra sektorens andel av de totale netto driftsutgiftene til sektorene som omfattes av utgiftsutjevningen. Vektingen av de ulike delkostnadsnøklene oppdateres årlig med faktiske utgiftsandeler fra siste tilgjengelige tall fra Kommune-Stat-Rapportering (KOSTRA). For 2020 er sektorvektingen basert på endelige KOS</w:t>
      </w:r>
      <w:r>
        <w:t>T</w:t>
      </w:r>
      <w:r>
        <w:t>RA-tall for 2018. Det er korrigert for oppgaveendringer og for innlemminger av øremerkede ti</w:t>
      </w:r>
      <w:r>
        <w:t>l</w:t>
      </w:r>
      <w:r>
        <w:t>skudd fram til og med forslaget til statsbudsjett for 2020. Det korrigeres også for saker med sæ</w:t>
      </w:r>
      <w:r>
        <w:t>r</w:t>
      </w:r>
      <w:r>
        <w:t>skilt fordeling som ligger inne i netto driftsutgifter i 2018, men som ikke skal påvirke sektorve</w:t>
      </w:r>
      <w:r>
        <w:t>k</w:t>
      </w:r>
      <w:r>
        <w:t>tingen. For en oversikt over korreksjoner for 2020, se tabell 6.21. Tabell 6.15 viser de nye sekto</w:t>
      </w:r>
      <w:r>
        <w:t>r</w:t>
      </w:r>
      <w:r>
        <w:t>andelene i 2020, mens departementets forslag til kostnadsnøkkel for ko</w:t>
      </w:r>
      <w:r>
        <w:t>m</w:t>
      </w:r>
      <w:r>
        <w:t>munene i 2020 er vist i tabell 6.16.</w:t>
      </w:r>
    </w:p>
    <w:p w:rsidR="009017E2" w:rsidRDefault="009017E2" w:rsidP="009017E2">
      <w:pPr>
        <w:pStyle w:val="tabell-tittel"/>
      </w:pPr>
      <w:r>
        <w:t>Delkostnadsnøklenes vekt i samlet kostnadsnøkkel 2020</w:t>
      </w:r>
    </w:p>
    <w:p w:rsidR="00557A6F" w:rsidRDefault="00557A6F" w:rsidP="00557A6F">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557A6F" w:rsidTr="009017E2">
        <w:trPr>
          <w:trHeight w:val="860"/>
        </w:trPr>
        <w:tc>
          <w:tcPr>
            <w:tcW w:w="5200" w:type="dxa"/>
            <w:shd w:val="clear" w:color="auto" w:fill="FFFFFF"/>
          </w:tcPr>
          <w:p w:rsidR="00557A6F" w:rsidRDefault="00557A6F" w:rsidP="009017E2"/>
        </w:tc>
        <w:tc>
          <w:tcPr>
            <w:tcW w:w="1300" w:type="dxa"/>
          </w:tcPr>
          <w:p w:rsidR="00557A6F" w:rsidRDefault="00557A6F" w:rsidP="009017E2">
            <w:pPr>
              <w:jc w:val="right"/>
            </w:pPr>
            <w:r>
              <w:t>Netto driftsutgi</w:t>
            </w:r>
            <w:r>
              <w:t>f</w:t>
            </w:r>
            <w:r>
              <w:t xml:space="preserve">ter ekskl. </w:t>
            </w:r>
            <w:r>
              <w:br/>
              <w:t>avskri</w:t>
            </w:r>
            <w:r>
              <w:t>v</w:t>
            </w:r>
            <w:r>
              <w:t xml:space="preserve">ninger KOSTRA 2018 </w:t>
            </w:r>
            <w:r>
              <w:br/>
              <w:t>(1 000 kr)</w:t>
            </w:r>
          </w:p>
        </w:tc>
        <w:tc>
          <w:tcPr>
            <w:tcW w:w="1300" w:type="dxa"/>
          </w:tcPr>
          <w:p w:rsidR="00557A6F" w:rsidRDefault="00557A6F" w:rsidP="009017E2">
            <w:pPr>
              <w:jc w:val="right"/>
            </w:pPr>
            <w:r>
              <w:t>Korreksj</w:t>
            </w:r>
            <w:r>
              <w:t>o</w:t>
            </w:r>
            <w:r>
              <w:t xml:space="preserve">ner og </w:t>
            </w:r>
            <w:r>
              <w:br/>
              <w:t>innle</w:t>
            </w:r>
            <w:r>
              <w:t>m</w:t>
            </w:r>
            <w:r>
              <w:t xml:space="preserve">minger m.m. </w:t>
            </w:r>
            <w:r>
              <w:br/>
              <w:t xml:space="preserve">2018–2020 (1 000 kr) </w:t>
            </w:r>
          </w:p>
        </w:tc>
        <w:tc>
          <w:tcPr>
            <w:tcW w:w="1300" w:type="dxa"/>
          </w:tcPr>
          <w:p w:rsidR="00557A6F" w:rsidRDefault="00557A6F" w:rsidP="009017E2">
            <w:pPr>
              <w:jc w:val="right"/>
            </w:pPr>
            <w:r>
              <w:t>Nøkkela</w:t>
            </w:r>
            <w:r>
              <w:t>n</w:t>
            </w:r>
            <w:r>
              <w:t xml:space="preserve">del </w:t>
            </w:r>
            <w:r>
              <w:br/>
              <w:t>2020 (i pst.)</w:t>
            </w:r>
          </w:p>
        </w:tc>
      </w:tr>
      <w:tr w:rsidR="00557A6F" w:rsidTr="009017E2">
        <w:trPr>
          <w:trHeight w:val="380"/>
        </w:trPr>
        <w:tc>
          <w:tcPr>
            <w:tcW w:w="5200" w:type="dxa"/>
          </w:tcPr>
          <w:p w:rsidR="00557A6F" w:rsidRDefault="00557A6F" w:rsidP="009017E2">
            <w:r>
              <w:t>Grunnskole</w:t>
            </w:r>
          </w:p>
        </w:tc>
        <w:tc>
          <w:tcPr>
            <w:tcW w:w="1300" w:type="dxa"/>
          </w:tcPr>
          <w:p w:rsidR="00557A6F" w:rsidRDefault="00557A6F" w:rsidP="009017E2">
            <w:pPr>
              <w:jc w:val="right"/>
            </w:pPr>
            <w:r>
              <w:t>70 774 685</w:t>
            </w:r>
          </w:p>
        </w:tc>
        <w:tc>
          <w:tcPr>
            <w:tcW w:w="1300" w:type="dxa"/>
          </w:tcPr>
          <w:p w:rsidR="00557A6F" w:rsidRDefault="00557A6F" w:rsidP="009017E2">
            <w:pPr>
              <w:jc w:val="right"/>
            </w:pPr>
            <w:r>
              <w:t>505 031</w:t>
            </w:r>
          </w:p>
        </w:tc>
        <w:tc>
          <w:tcPr>
            <w:tcW w:w="1300" w:type="dxa"/>
          </w:tcPr>
          <w:p w:rsidR="00557A6F" w:rsidRDefault="00557A6F" w:rsidP="009017E2">
            <w:pPr>
              <w:jc w:val="right"/>
            </w:pPr>
            <w:r>
              <w:t>25,27</w:t>
            </w:r>
          </w:p>
        </w:tc>
      </w:tr>
      <w:tr w:rsidR="00557A6F" w:rsidTr="009017E2">
        <w:trPr>
          <w:trHeight w:val="380"/>
        </w:trPr>
        <w:tc>
          <w:tcPr>
            <w:tcW w:w="5200" w:type="dxa"/>
          </w:tcPr>
          <w:p w:rsidR="00557A6F" w:rsidRDefault="00557A6F" w:rsidP="009017E2">
            <w:r>
              <w:t>Pleie og omsorg</w:t>
            </w:r>
          </w:p>
        </w:tc>
        <w:tc>
          <w:tcPr>
            <w:tcW w:w="1300" w:type="dxa"/>
          </w:tcPr>
          <w:p w:rsidR="00557A6F" w:rsidRDefault="00557A6F" w:rsidP="009017E2">
            <w:pPr>
              <w:jc w:val="right"/>
            </w:pPr>
            <w:r>
              <w:t>97 063 047</w:t>
            </w:r>
          </w:p>
        </w:tc>
        <w:tc>
          <w:tcPr>
            <w:tcW w:w="1300" w:type="dxa"/>
          </w:tcPr>
          <w:p w:rsidR="00557A6F" w:rsidRDefault="00557A6F" w:rsidP="009017E2">
            <w:pPr>
              <w:jc w:val="right"/>
            </w:pPr>
            <w:r>
              <w:t>1 392 028</w:t>
            </w:r>
          </w:p>
        </w:tc>
        <w:tc>
          <w:tcPr>
            <w:tcW w:w="1300" w:type="dxa"/>
          </w:tcPr>
          <w:p w:rsidR="00557A6F" w:rsidRDefault="00557A6F" w:rsidP="009017E2">
            <w:pPr>
              <w:jc w:val="right"/>
            </w:pPr>
            <w:r>
              <w:t>34,90</w:t>
            </w:r>
          </w:p>
        </w:tc>
      </w:tr>
      <w:tr w:rsidR="00557A6F" w:rsidTr="009017E2">
        <w:trPr>
          <w:trHeight w:val="380"/>
        </w:trPr>
        <w:tc>
          <w:tcPr>
            <w:tcW w:w="5200" w:type="dxa"/>
          </w:tcPr>
          <w:p w:rsidR="00557A6F" w:rsidRDefault="00557A6F" w:rsidP="009017E2">
            <w:r>
              <w:t>Sosialhjelp</w:t>
            </w:r>
          </w:p>
        </w:tc>
        <w:tc>
          <w:tcPr>
            <w:tcW w:w="1300" w:type="dxa"/>
          </w:tcPr>
          <w:p w:rsidR="00557A6F" w:rsidRDefault="00557A6F" w:rsidP="009017E2">
            <w:pPr>
              <w:jc w:val="right"/>
            </w:pPr>
            <w:r>
              <w:t>15 421 913</w:t>
            </w:r>
          </w:p>
        </w:tc>
        <w:tc>
          <w:tcPr>
            <w:tcW w:w="1300" w:type="dxa"/>
          </w:tcPr>
          <w:p w:rsidR="00557A6F" w:rsidRDefault="00557A6F" w:rsidP="009017E2">
            <w:pPr>
              <w:jc w:val="right"/>
            </w:pPr>
            <w:r>
              <w:t>892 086</w:t>
            </w:r>
          </w:p>
        </w:tc>
        <w:tc>
          <w:tcPr>
            <w:tcW w:w="1300" w:type="dxa"/>
          </w:tcPr>
          <w:p w:rsidR="00557A6F" w:rsidRDefault="00557A6F" w:rsidP="009017E2">
            <w:pPr>
              <w:jc w:val="right"/>
            </w:pPr>
            <w:r>
              <w:t>5,78</w:t>
            </w:r>
          </w:p>
        </w:tc>
      </w:tr>
      <w:tr w:rsidR="00557A6F" w:rsidTr="009017E2">
        <w:trPr>
          <w:trHeight w:val="380"/>
        </w:trPr>
        <w:tc>
          <w:tcPr>
            <w:tcW w:w="5200" w:type="dxa"/>
          </w:tcPr>
          <w:p w:rsidR="00557A6F" w:rsidRDefault="00557A6F" w:rsidP="009017E2">
            <w:r>
              <w:t>Barnevern</w:t>
            </w:r>
          </w:p>
        </w:tc>
        <w:tc>
          <w:tcPr>
            <w:tcW w:w="1300" w:type="dxa"/>
          </w:tcPr>
          <w:p w:rsidR="00557A6F" w:rsidRDefault="00557A6F" w:rsidP="009017E2">
            <w:pPr>
              <w:jc w:val="right"/>
            </w:pPr>
            <w:r>
              <w:t>12 209 803</w:t>
            </w:r>
          </w:p>
        </w:tc>
        <w:tc>
          <w:tcPr>
            <w:tcW w:w="1300" w:type="dxa"/>
          </w:tcPr>
          <w:p w:rsidR="00557A6F" w:rsidRDefault="00557A6F" w:rsidP="009017E2">
            <w:pPr>
              <w:jc w:val="right"/>
            </w:pPr>
            <w:r>
              <w:t>-75 252</w:t>
            </w:r>
          </w:p>
        </w:tc>
        <w:tc>
          <w:tcPr>
            <w:tcW w:w="1300" w:type="dxa"/>
          </w:tcPr>
          <w:p w:rsidR="00557A6F" w:rsidRDefault="00557A6F" w:rsidP="009017E2">
            <w:pPr>
              <w:jc w:val="right"/>
            </w:pPr>
            <w:r>
              <w:t>4,30</w:t>
            </w:r>
          </w:p>
        </w:tc>
      </w:tr>
      <w:tr w:rsidR="00557A6F" w:rsidTr="009017E2">
        <w:trPr>
          <w:trHeight w:val="380"/>
        </w:trPr>
        <w:tc>
          <w:tcPr>
            <w:tcW w:w="5200" w:type="dxa"/>
          </w:tcPr>
          <w:p w:rsidR="00557A6F" w:rsidRDefault="00557A6F" w:rsidP="009017E2">
            <w:r>
              <w:t>Kommunehelse</w:t>
            </w:r>
          </w:p>
        </w:tc>
        <w:tc>
          <w:tcPr>
            <w:tcW w:w="1300" w:type="dxa"/>
          </w:tcPr>
          <w:p w:rsidR="00557A6F" w:rsidRDefault="00557A6F" w:rsidP="009017E2">
            <w:pPr>
              <w:jc w:val="right"/>
            </w:pPr>
            <w:r>
              <w:t>15 041 464</w:t>
            </w:r>
          </w:p>
        </w:tc>
        <w:tc>
          <w:tcPr>
            <w:tcW w:w="1300" w:type="dxa"/>
          </w:tcPr>
          <w:p w:rsidR="00557A6F" w:rsidRDefault="00557A6F" w:rsidP="009017E2">
            <w:pPr>
              <w:jc w:val="right"/>
            </w:pPr>
            <w:r>
              <w:t>-197 235</w:t>
            </w:r>
          </w:p>
        </w:tc>
        <w:tc>
          <w:tcPr>
            <w:tcW w:w="1300" w:type="dxa"/>
          </w:tcPr>
          <w:p w:rsidR="00557A6F" w:rsidRDefault="00557A6F" w:rsidP="009017E2">
            <w:pPr>
              <w:jc w:val="right"/>
            </w:pPr>
            <w:r>
              <w:t>5,26</w:t>
            </w:r>
          </w:p>
        </w:tc>
      </w:tr>
      <w:tr w:rsidR="00557A6F" w:rsidTr="009017E2">
        <w:trPr>
          <w:trHeight w:val="380"/>
        </w:trPr>
        <w:tc>
          <w:tcPr>
            <w:tcW w:w="5200" w:type="dxa"/>
          </w:tcPr>
          <w:p w:rsidR="00557A6F" w:rsidRDefault="00557A6F" w:rsidP="009017E2">
            <w:r>
              <w:t>Barnehage</w:t>
            </w:r>
          </w:p>
        </w:tc>
        <w:tc>
          <w:tcPr>
            <w:tcW w:w="1300" w:type="dxa"/>
          </w:tcPr>
          <w:p w:rsidR="00557A6F" w:rsidRDefault="00557A6F" w:rsidP="009017E2">
            <w:pPr>
              <w:jc w:val="right"/>
            </w:pPr>
            <w:r>
              <w:t>45 365 060</w:t>
            </w:r>
          </w:p>
        </w:tc>
        <w:tc>
          <w:tcPr>
            <w:tcW w:w="1300" w:type="dxa"/>
          </w:tcPr>
          <w:p w:rsidR="00557A6F" w:rsidRDefault="00557A6F" w:rsidP="009017E2">
            <w:pPr>
              <w:jc w:val="right"/>
            </w:pPr>
            <w:r>
              <w:t>-18 670</w:t>
            </w:r>
          </w:p>
        </w:tc>
        <w:tc>
          <w:tcPr>
            <w:tcW w:w="1300" w:type="dxa"/>
          </w:tcPr>
          <w:p w:rsidR="00557A6F" w:rsidRDefault="00557A6F" w:rsidP="009017E2">
            <w:pPr>
              <w:jc w:val="right"/>
            </w:pPr>
            <w:r>
              <w:t>16,08</w:t>
            </w:r>
          </w:p>
        </w:tc>
      </w:tr>
      <w:tr w:rsidR="00557A6F" w:rsidTr="009017E2">
        <w:trPr>
          <w:trHeight w:val="380"/>
        </w:trPr>
        <w:tc>
          <w:tcPr>
            <w:tcW w:w="5200" w:type="dxa"/>
          </w:tcPr>
          <w:p w:rsidR="00557A6F" w:rsidRDefault="00557A6F" w:rsidP="009017E2">
            <w:r>
              <w:t>Administrasjon og miljø</w:t>
            </w:r>
          </w:p>
        </w:tc>
        <w:tc>
          <w:tcPr>
            <w:tcW w:w="1300" w:type="dxa"/>
          </w:tcPr>
          <w:p w:rsidR="00557A6F" w:rsidRDefault="00557A6F" w:rsidP="009017E2">
            <w:pPr>
              <w:jc w:val="right"/>
            </w:pPr>
            <w:r>
              <w:t>23 692 448</w:t>
            </w:r>
          </w:p>
        </w:tc>
        <w:tc>
          <w:tcPr>
            <w:tcW w:w="1300" w:type="dxa"/>
          </w:tcPr>
          <w:p w:rsidR="00557A6F" w:rsidRDefault="00557A6F" w:rsidP="009017E2">
            <w:pPr>
              <w:jc w:val="right"/>
            </w:pPr>
            <w:r>
              <w:t>-604 076</w:t>
            </w:r>
          </w:p>
        </w:tc>
        <w:tc>
          <w:tcPr>
            <w:tcW w:w="1300" w:type="dxa"/>
          </w:tcPr>
          <w:p w:rsidR="00557A6F" w:rsidRDefault="00557A6F" w:rsidP="009017E2">
            <w:pPr>
              <w:jc w:val="right"/>
            </w:pPr>
            <w:r>
              <w:t>8,19</w:t>
            </w:r>
          </w:p>
        </w:tc>
      </w:tr>
      <w:tr w:rsidR="00557A6F" w:rsidTr="009017E2">
        <w:trPr>
          <w:trHeight w:val="380"/>
        </w:trPr>
        <w:tc>
          <w:tcPr>
            <w:tcW w:w="5200" w:type="dxa"/>
          </w:tcPr>
          <w:p w:rsidR="00557A6F" w:rsidRDefault="00557A6F" w:rsidP="009017E2">
            <w:r>
              <w:t>Landbruk</w:t>
            </w:r>
          </w:p>
        </w:tc>
        <w:tc>
          <w:tcPr>
            <w:tcW w:w="1300" w:type="dxa"/>
          </w:tcPr>
          <w:p w:rsidR="00557A6F" w:rsidRDefault="00557A6F" w:rsidP="009017E2">
            <w:pPr>
              <w:jc w:val="right"/>
            </w:pPr>
            <w:r>
              <w:t>594 192</w:t>
            </w:r>
          </w:p>
        </w:tc>
        <w:tc>
          <w:tcPr>
            <w:tcW w:w="1300" w:type="dxa"/>
          </w:tcPr>
          <w:p w:rsidR="00557A6F" w:rsidRDefault="00557A6F" w:rsidP="009017E2">
            <w:pPr>
              <w:jc w:val="right"/>
            </w:pPr>
            <w:r>
              <w:t>9 813</w:t>
            </w:r>
          </w:p>
        </w:tc>
        <w:tc>
          <w:tcPr>
            <w:tcW w:w="1300" w:type="dxa"/>
          </w:tcPr>
          <w:p w:rsidR="00557A6F" w:rsidRDefault="00557A6F" w:rsidP="009017E2">
            <w:pPr>
              <w:jc w:val="right"/>
            </w:pPr>
            <w:r>
              <w:t>0,21</w:t>
            </w:r>
          </w:p>
        </w:tc>
      </w:tr>
      <w:tr w:rsidR="00557A6F" w:rsidTr="009017E2">
        <w:trPr>
          <w:trHeight w:val="380"/>
        </w:trPr>
        <w:tc>
          <w:tcPr>
            <w:tcW w:w="5200" w:type="dxa"/>
          </w:tcPr>
          <w:p w:rsidR="00557A6F" w:rsidRDefault="00557A6F" w:rsidP="009017E2">
            <w:r>
              <w:rPr>
                <w:rStyle w:val="kursiv"/>
                <w:sz w:val="21"/>
                <w:szCs w:val="21"/>
              </w:rPr>
              <w:t>Sum</w:t>
            </w:r>
          </w:p>
        </w:tc>
        <w:tc>
          <w:tcPr>
            <w:tcW w:w="1300" w:type="dxa"/>
          </w:tcPr>
          <w:p w:rsidR="00557A6F" w:rsidRDefault="00557A6F" w:rsidP="009017E2">
            <w:pPr>
              <w:jc w:val="right"/>
            </w:pPr>
            <w:r>
              <w:rPr>
                <w:rStyle w:val="kursiv"/>
                <w:sz w:val="21"/>
                <w:szCs w:val="21"/>
              </w:rPr>
              <w:t>280 162 612</w:t>
            </w:r>
          </w:p>
        </w:tc>
        <w:tc>
          <w:tcPr>
            <w:tcW w:w="1300" w:type="dxa"/>
          </w:tcPr>
          <w:p w:rsidR="00557A6F" w:rsidRDefault="00557A6F" w:rsidP="009017E2">
            <w:pPr>
              <w:jc w:val="right"/>
            </w:pPr>
            <w:r>
              <w:rPr>
                <w:rStyle w:val="kursiv"/>
                <w:sz w:val="21"/>
                <w:szCs w:val="21"/>
              </w:rPr>
              <w:t>1 903 724</w:t>
            </w:r>
          </w:p>
        </w:tc>
        <w:tc>
          <w:tcPr>
            <w:tcW w:w="1300" w:type="dxa"/>
          </w:tcPr>
          <w:p w:rsidR="00557A6F" w:rsidRDefault="00557A6F" w:rsidP="009017E2">
            <w:pPr>
              <w:jc w:val="right"/>
            </w:pPr>
            <w:r>
              <w:rPr>
                <w:rStyle w:val="kursiv"/>
                <w:sz w:val="21"/>
                <w:szCs w:val="21"/>
              </w:rPr>
              <w:t>100,00</w:t>
            </w:r>
          </w:p>
        </w:tc>
      </w:tr>
    </w:tbl>
    <w:p w:rsidR="009017E2" w:rsidRDefault="009017E2" w:rsidP="009017E2">
      <w:pPr>
        <w:pStyle w:val="tabell-tittel"/>
      </w:pPr>
      <w:r>
        <w:t>Kostnadsnøkkel for kommunene 2020</w:t>
      </w:r>
    </w:p>
    <w:p w:rsidR="00557A6F" w:rsidRDefault="00557A6F" w:rsidP="00557A6F">
      <w:pPr>
        <w:pStyle w:val="Tabellnavn"/>
      </w:pPr>
      <w:r>
        <w:t>02J1xt2</w:t>
      </w:r>
    </w:p>
    <w:tbl>
      <w:tblPr>
        <w:tblStyle w:val="StandardTabell"/>
        <w:tblW w:w="0" w:type="auto"/>
        <w:tblLayout w:type="fixed"/>
        <w:tblLook w:val="04A0" w:firstRow="1" w:lastRow="0" w:firstColumn="1" w:lastColumn="0" w:noHBand="0" w:noVBand="1"/>
      </w:tblPr>
      <w:tblGrid>
        <w:gridCol w:w="7360"/>
        <w:gridCol w:w="1840"/>
      </w:tblGrid>
      <w:tr w:rsidR="00557A6F" w:rsidTr="009017E2">
        <w:trPr>
          <w:trHeight w:val="360"/>
        </w:trPr>
        <w:tc>
          <w:tcPr>
            <w:tcW w:w="7360" w:type="dxa"/>
            <w:shd w:val="clear" w:color="auto" w:fill="FFFFFF"/>
          </w:tcPr>
          <w:p w:rsidR="00557A6F" w:rsidRDefault="00557A6F" w:rsidP="009017E2">
            <w:r>
              <w:t>Kriterier</w:t>
            </w:r>
          </w:p>
        </w:tc>
        <w:tc>
          <w:tcPr>
            <w:tcW w:w="1840" w:type="dxa"/>
          </w:tcPr>
          <w:p w:rsidR="00557A6F" w:rsidRDefault="00557A6F" w:rsidP="009017E2">
            <w:pPr>
              <w:jc w:val="right"/>
            </w:pPr>
            <w:r>
              <w:t>Vekt</w:t>
            </w:r>
          </w:p>
        </w:tc>
      </w:tr>
      <w:tr w:rsidR="00557A6F" w:rsidTr="009017E2">
        <w:trPr>
          <w:trHeight w:val="380"/>
        </w:trPr>
        <w:tc>
          <w:tcPr>
            <w:tcW w:w="7360" w:type="dxa"/>
          </w:tcPr>
          <w:p w:rsidR="00557A6F" w:rsidRDefault="00557A6F" w:rsidP="009017E2">
            <w:r>
              <w:t>Andel innbyggere 0–1 år</w:t>
            </w:r>
          </w:p>
        </w:tc>
        <w:tc>
          <w:tcPr>
            <w:tcW w:w="1840" w:type="dxa"/>
          </w:tcPr>
          <w:p w:rsidR="00557A6F" w:rsidRDefault="00557A6F" w:rsidP="009017E2">
            <w:pPr>
              <w:jc w:val="right"/>
            </w:pPr>
            <w:r>
              <w:t>0,0056</w:t>
            </w:r>
          </w:p>
        </w:tc>
      </w:tr>
      <w:tr w:rsidR="00557A6F" w:rsidTr="009017E2">
        <w:trPr>
          <w:trHeight w:val="380"/>
        </w:trPr>
        <w:tc>
          <w:tcPr>
            <w:tcW w:w="7360" w:type="dxa"/>
          </w:tcPr>
          <w:p w:rsidR="00557A6F" w:rsidRDefault="00557A6F" w:rsidP="009017E2">
            <w:r>
              <w:t>Andel innbyggere 2–5 år</w:t>
            </w:r>
          </w:p>
        </w:tc>
        <w:tc>
          <w:tcPr>
            <w:tcW w:w="1840" w:type="dxa"/>
          </w:tcPr>
          <w:p w:rsidR="00557A6F" w:rsidRDefault="00557A6F" w:rsidP="009017E2">
            <w:pPr>
              <w:jc w:val="right"/>
            </w:pPr>
            <w:r>
              <w:t>0,1374</w:t>
            </w:r>
          </w:p>
        </w:tc>
      </w:tr>
      <w:tr w:rsidR="00557A6F" w:rsidTr="009017E2">
        <w:trPr>
          <w:trHeight w:val="380"/>
        </w:trPr>
        <w:tc>
          <w:tcPr>
            <w:tcW w:w="7360" w:type="dxa"/>
          </w:tcPr>
          <w:p w:rsidR="00557A6F" w:rsidRDefault="00557A6F" w:rsidP="009017E2">
            <w:r>
              <w:t>Andel innbyggere 6–15 år</w:t>
            </w:r>
          </w:p>
        </w:tc>
        <w:tc>
          <w:tcPr>
            <w:tcW w:w="1840" w:type="dxa"/>
          </w:tcPr>
          <w:p w:rsidR="00557A6F" w:rsidRDefault="00557A6F" w:rsidP="009017E2">
            <w:pPr>
              <w:jc w:val="right"/>
            </w:pPr>
            <w:r>
              <w:t>0,2615</w:t>
            </w:r>
          </w:p>
        </w:tc>
      </w:tr>
      <w:tr w:rsidR="00557A6F" w:rsidTr="009017E2">
        <w:trPr>
          <w:trHeight w:val="380"/>
        </w:trPr>
        <w:tc>
          <w:tcPr>
            <w:tcW w:w="7360" w:type="dxa"/>
          </w:tcPr>
          <w:p w:rsidR="00557A6F" w:rsidRDefault="00557A6F" w:rsidP="009017E2">
            <w:r>
              <w:t>Andel innbyggere 16–22 år</w:t>
            </w:r>
          </w:p>
        </w:tc>
        <w:tc>
          <w:tcPr>
            <w:tcW w:w="1840" w:type="dxa"/>
          </w:tcPr>
          <w:p w:rsidR="00557A6F" w:rsidRDefault="00557A6F" w:rsidP="009017E2">
            <w:pPr>
              <w:jc w:val="right"/>
            </w:pPr>
            <w:r>
              <w:t>0,0233</w:t>
            </w:r>
          </w:p>
        </w:tc>
      </w:tr>
      <w:tr w:rsidR="00557A6F" w:rsidTr="009017E2">
        <w:trPr>
          <w:trHeight w:val="380"/>
        </w:trPr>
        <w:tc>
          <w:tcPr>
            <w:tcW w:w="7360" w:type="dxa"/>
          </w:tcPr>
          <w:p w:rsidR="00557A6F" w:rsidRDefault="00557A6F" w:rsidP="009017E2">
            <w:r>
              <w:t>Andel innbyggere 23–66 år</w:t>
            </w:r>
          </w:p>
        </w:tc>
        <w:tc>
          <w:tcPr>
            <w:tcW w:w="1840" w:type="dxa"/>
          </w:tcPr>
          <w:p w:rsidR="00557A6F" w:rsidRDefault="00557A6F" w:rsidP="009017E2">
            <w:pPr>
              <w:jc w:val="right"/>
            </w:pPr>
            <w:r>
              <w:t>0,1053</w:t>
            </w:r>
          </w:p>
        </w:tc>
      </w:tr>
      <w:tr w:rsidR="00557A6F" w:rsidTr="009017E2">
        <w:trPr>
          <w:trHeight w:val="380"/>
        </w:trPr>
        <w:tc>
          <w:tcPr>
            <w:tcW w:w="7360" w:type="dxa"/>
          </w:tcPr>
          <w:p w:rsidR="00557A6F" w:rsidRDefault="00557A6F" w:rsidP="009017E2">
            <w:r>
              <w:lastRenderedPageBreak/>
              <w:t>Andel innbyggere 67–79 år</w:t>
            </w:r>
          </w:p>
        </w:tc>
        <w:tc>
          <w:tcPr>
            <w:tcW w:w="1840" w:type="dxa"/>
          </w:tcPr>
          <w:p w:rsidR="00557A6F" w:rsidRDefault="00557A6F" w:rsidP="009017E2">
            <w:pPr>
              <w:jc w:val="right"/>
            </w:pPr>
            <w:r>
              <w:t>0,0565</w:t>
            </w:r>
          </w:p>
        </w:tc>
      </w:tr>
      <w:tr w:rsidR="00557A6F" w:rsidTr="009017E2">
        <w:trPr>
          <w:trHeight w:val="380"/>
        </w:trPr>
        <w:tc>
          <w:tcPr>
            <w:tcW w:w="7360" w:type="dxa"/>
          </w:tcPr>
          <w:p w:rsidR="00557A6F" w:rsidRDefault="00557A6F" w:rsidP="009017E2">
            <w:r>
              <w:t>Andel innbyggere 80–89 år</w:t>
            </w:r>
          </w:p>
        </w:tc>
        <w:tc>
          <w:tcPr>
            <w:tcW w:w="1840" w:type="dxa"/>
          </w:tcPr>
          <w:p w:rsidR="00557A6F" w:rsidRDefault="00557A6F" w:rsidP="009017E2">
            <w:pPr>
              <w:jc w:val="right"/>
            </w:pPr>
            <w:r>
              <w:t>0,0772</w:t>
            </w:r>
          </w:p>
        </w:tc>
      </w:tr>
      <w:tr w:rsidR="00557A6F" w:rsidTr="009017E2">
        <w:trPr>
          <w:trHeight w:val="380"/>
        </w:trPr>
        <w:tc>
          <w:tcPr>
            <w:tcW w:w="7360" w:type="dxa"/>
          </w:tcPr>
          <w:p w:rsidR="00557A6F" w:rsidRDefault="00557A6F" w:rsidP="009017E2">
            <w:r>
              <w:t>Andel innbyggere 90 år og over</w:t>
            </w:r>
          </w:p>
        </w:tc>
        <w:tc>
          <w:tcPr>
            <w:tcW w:w="1840" w:type="dxa"/>
          </w:tcPr>
          <w:p w:rsidR="00557A6F" w:rsidRDefault="00557A6F" w:rsidP="009017E2">
            <w:pPr>
              <w:jc w:val="right"/>
            </w:pPr>
            <w:r>
              <w:t>0,0389</w:t>
            </w:r>
          </w:p>
        </w:tc>
      </w:tr>
      <w:tr w:rsidR="00557A6F" w:rsidTr="009017E2">
        <w:trPr>
          <w:trHeight w:val="380"/>
        </w:trPr>
        <w:tc>
          <w:tcPr>
            <w:tcW w:w="7360" w:type="dxa"/>
          </w:tcPr>
          <w:p w:rsidR="00557A6F" w:rsidRDefault="00557A6F" w:rsidP="009017E2">
            <w:r>
              <w:t>Gradert basiskriterium</w:t>
            </w:r>
          </w:p>
        </w:tc>
        <w:tc>
          <w:tcPr>
            <w:tcW w:w="1840" w:type="dxa"/>
          </w:tcPr>
          <w:p w:rsidR="00557A6F" w:rsidRDefault="00557A6F" w:rsidP="009017E2">
            <w:pPr>
              <w:jc w:val="right"/>
            </w:pPr>
            <w:r>
              <w:t>0,0161</w:t>
            </w:r>
          </w:p>
        </w:tc>
      </w:tr>
      <w:tr w:rsidR="00557A6F" w:rsidTr="009017E2">
        <w:trPr>
          <w:trHeight w:val="380"/>
        </w:trPr>
        <w:tc>
          <w:tcPr>
            <w:tcW w:w="7360" w:type="dxa"/>
          </w:tcPr>
          <w:p w:rsidR="00557A6F" w:rsidRDefault="00557A6F" w:rsidP="009017E2">
            <w:r>
              <w:t>Reiseavstand innen sone</w:t>
            </w:r>
          </w:p>
        </w:tc>
        <w:tc>
          <w:tcPr>
            <w:tcW w:w="1840" w:type="dxa"/>
          </w:tcPr>
          <w:p w:rsidR="00557A6F" w:rsidRDefault="00557A6F" w:rsidP="009017E2">
            <w:pPr>
              <w:jc w:val="right"/>
            </w:pPr>
            <w:r>
              <w:t>0,0102</w:t>
            </w:r>
          </w:p>
        </w:tc>
      </w:tr>
      <w:tr w:rsidR="00557A6F" w:rsidTr="009017E2">
        <w:trPr>
          <w:trHeight w:val="380"/>
        </w:trPr>
        <w:tc>
          <w:tcPr>
            <w:tcW w:w="7360" w:type="dxa"/>
          </w:tcPr>
          <w:p w:rsidR="00557A6F" w:rsidRDefault="00557A6F" w:rsidP="009017E2">
            <w:r>
              <w:t>Reiseavstand til nærmeste nabokrets</w:t>
            </w:r>
          </w:p>
        </w:tc>
        <w:tc>
          <w:tcPr>
            <w:tcW w:w="1840" w:type="dxa"/>
          </w:tcPr>
          <w:p w:rsidR="00557A6F" w:rsidRDefault="00557A6F" w:rsidP="009017E2">
            <w:pPr>
              <w:jc w:val="right"/>
            </w:pPr>
            <w:r>
              <w:t>0,0102</w:t>
            </w:r>
          </w:p>
        </w:tc>
      </w:tr>
      <w:tr w:rsidR="00557A6F" w:rsidTr="009017E2">
        <w:trPr>
          <w:trHeight w:val="380"/>
        </w:trPr>
        <w:tc>
          <w:tcPr>
            <w:tcW w:w="7360" w:type="dxa"/>
          </w:tcPr>
          <w:p w:rsidR="00557A6F" w:rsidRDefault="00557A6F" w:rsidP="009017E2">
            <w:r>
              <w:t>Landbrukskriteriet</w:t>
            </w:r>
          </w:p>
        </w:tc>
        <w:tc>
          <w:tcPr>
            <w:tcW w:w="1840" w:type="dxa"/>
          </w:tcPr>
          <w:p w:rsidR="00557A6F" w:rsidRDefault="00557A6F" w:rsidP="009017E2">
            <w:pPr>
              <w:jc w:val="right"/>
            </w:pPr>
            <w:r>
              <w:t>0,0021</w:t>
            </w:r>
          </w:p>
        </w:tc>
      </w:tr>
      <w:tr w:rsidR="00557A6F" w:rsidTr="009017E2">
        <w:trPr>
          <w:trHeight w:val="380"/>
        </w:trPr>
        <w:tc>
          <w:tcPr>
            <w:tcW w:w="7360" w:type="dxa"/>
          </w:tcPr>
          <w:p w:rsidR="00557A6F" w:rsidRDefault="00557A6F" w:rsidP="009017E2">
            <w:r>
              <w:t>Innvandrere 6–15 år, ekskl. Skandinavia</w:t>
            </w:r>
          </w:p>
        </w:tc>
        <w:tc>
          <w:tcPr>
            <w:tcW w:w="1840" w:type="dxa"/>
          </w:tcPr>
          <w:p w:rsidR="00557A6F" w:rsidRDefault="00557A6F" w:rsidP="009017E2">
            <w:pPr>
              <w:jc w:val="right"/>
            </w:pPr>
            <w:r>
              <w:t>0,0070</w:t>
            </w:r>
          </w:p>
        </w:tc>
      </w:tr>
      <w:tr w:rsidR="00557A6F" w:rsidTr="009017E2">
        <w:trPr>
          <w:trHeight w:val="380"/>
        </w:trPr>
        <w:tc>
          <w:tcPr>
            <w:tcW w:w="7360" w:type="dxa"/>
          </w:tcPr>
          <w:p w:rsidR="00557A6F" w:rsidRDefault="00557A6F" w:rsidP="009017E2">
            <w:r>
              <w:t>Personer med psykisk utviklingshemming, 16 år og over</w:t>
            </w:r>
          </w:p>
        </w:tc>
        <w:tc>
          <w:tcPr>
            <w:tcW w:w="1840" w:type="dxa"/>
          </w:tcPr>
          <w:p w:rsidR="00557A6F" w:rsidRDefault="00557A6F" w:rsidP="009017E2">
            <w:pPr>
              <w:jc w:val="right"/>
            </w:pPr>
            <w:r>
              <w:t>0,0491</w:t>
            </w:r>
          </w:p>
        </w:tc>
      </w:tr>
      <w:tr w:rsidR="00557A6F" w:rsidTr="009017E2">
        <w:trPr>
          <w:trHeight w:val="380"/>
        </w:trPr>
        <w:tc>
          <w:tcPr>
            <w:tcW w:w="7360" w:type="dxa"/>
          </w:tcPr>
          <w:p w:rsidR="00557A6F" w:rsidRDefault="00557A6F" w:rsidP="009017E2">
            <w:r>
              <w:t>Ikke-gifte 67 år og over</w:t>
            </w:r>
          </w:p>
        </w:tc>
        <w:tc>
          <w:tcPr>
            <w:tcW w:w="1840" w:type="dxa"/>
          </w:tcPr>
          <w:p w:rsidR="00557A6F" w:rsidRDefault="00557A6F" w:rsidP="009017E2">
            <w:pPr>
              <w:jc w:val="right"/>
            </w:pPr>
            <w:r>
              <w:t>0,0458</w:t>
            </w:r>
          </w:p>
        </w:tc>
      </w:tr>
      <w:tr w:rsidR="00557A6F" w:rsidTr="009017E2">
        <w:trPr>
          <w:trHeight w:val="380"/>
        </w:trPr>
        <w:tc>
          <w:tcPr>
            <w:tcW w:w="7360" w:type="dxa"/>
          </w:tcPr>
          <w:p w:rsidR="00557A6F" w:rsidRDefault="00557A6F" w:rsidP="009017E2">
            <w:r>
              <w:t>Dødelighetskriteriet</w:t>
            </w:r>
          </w:p>
        </w:tc>
        <w:tc>
          <w:tcPr>
            <w:tcW w:w="1840" w:type="dxa"/>
          </w:tcPr>
          <w:p w:rsidR="00557A6F" w:rsidRDefault="00557A6F" w:rsidP="009017E2">
            <w:pPr>
              <w:jc w:val="right"/>
            </w:pPr>
            <w:r>
              <w:t>0,0458</w:t>
            </w:r>
          </w:p>
        </w:tc>
      </w:tr>
      <w:tr w:rsidR="00557A6F" w:rsidTr="009017E2">
        <w:trPr>
          <w:trHeight w:val="380"/>
        </w:trPr>
        <w:tc>
          <w:tcPr>
            <w:tcW w:w="7360" w:type="dxa"/>
          </w:tcPr>
          <w:p w:rsidR="00557A6F" w:rsidRDefault="00557A6F" w:rsidP="009017E2">
            <w:r>
              <w:t>Uføre 18–49 år</w:t>
            </w:r>
          </w:p>
        </w:tc>
        <w:tc>
          <w:tcPr>
            <w:tcW w:w="1840" w:type="dxa"/>
          </w:tcPr>
          <w:p w:rsidR="00557A6F" w:rsidRDefault="00557A6F" w:rsidP="009017E2">
            <w:pPr>
              <w:jc w:val="right"/>
            </w:pPr>
            <w:r>
              <w:t>0,0065</w:t>
            </w:r>
          </w:p>
        </w:tc>
      </w:tr>
      <w:tr w:rsidR="00557A6F" w:rsidTr="009017E2">
        <w:trPr>
          <w:trHeight w:val="380"/>
        </w:trPr>
        <w:tc>
          <w:tcPr>
            <w:tcW w:w="7360" w:type="dxa"/>
          </w:tcPr>
          <w:p w:rsidR="00557A6F" w:rsidRDefault="00557A6F" w:rsidP="009017E2">
            <w:r>
              <w:t>Flyktninger uten integreringstilskudd</w:t>
            </w:r>
          </w:p>
        </w:tc>
        <w:tc>
          <w:tcPr>
            <w:tcW w:w="1840" w:type="dxa"/>
          </w:tcPr>
          <w:p w:rsidR="00557A6F" w:rsidRDefault="00557A6F" w:rsidP="009017E2">
            <w:pPr>
              <w:jc w:val="right"/>
            </w:pPr>
            <w:r>
              <w:t>0,0084</w:t>
            </w:r>
          </w:p>
        </w:tc>
      </w:tr>
      <w:tr w:rsidR="00557A6F" w:rsidTr="009017E2">
        <w:trPr>
          <w:trHeight w:val="380"/>
        </w:trPr>
        <w:tc>
          <w:tcPr>
            <w:tcW w:w="7360" w:type="dxa"/>
          </w:tcPr>
          <w:p w:rsidR="00557A6F" w:rsidRDefault="00557A6F" w:rsidP="009017E2">
            <w:r>
              <w:t>Opphopningsindeks</w:t>
            </w:r>
          </w:p>
        </w:tc>
        <w:tc>
          <w:tcPr>
            <w:tcW w:w="1840" w:type="dxa"/>
          </w:tcPr>
          <w:p w:rsidR="00557A6F" w:rsidRDefault="00557A6F" w:rsidP="009017E2">
            <w:pPr>
              <w:jc w:val="right"/>
            </w:pPr>
            <w:r>
              <w:t>0,0096</w:t>
            </w:r>
          </w:p>
        </w:tc>
      </w:tr>
      <w:tr w:rsidR="00557A6F" w:rsidTr="009017E2">
        <w:trPr>
          <w:trHeight w:val="380"/>
        </w:trPr>
        <w:tc>
          <w:tcPr>
            <w:tcW w:w="7360" w:type="dxa"/>
          </w:tcPr>
          <w:p w:rsidR="00557A6F" w:rsidRDefault="00557A6F" w:rsidP="009017E2">
            <w:r>
              <w:t>Aleneboende 30–66 år</w:t>
            </w:r>
          </w:p>
        </w:tc>
        <w:tc>
          <w:tcPr>
            <w:tcW w:w="1840" w:type="dxa"/>
          </w:tcPr>
          <w:p w:rsidR="00557A6F" w:rsidRDefault="00557A6F" w:rsidP="009017E2">
            <w:pPr>
              <w:jc w:val="right"/>
            </w:pPr>
            <w:r>
              <w:t>0,0195</w:t>
            </w:r>
          </w:p>
        </w:tc>
      </w:tr>
      <w:tr w:rsidR="00557A6F" w:rsidTr="009017E2">
        <w:trPr>
          <w:trHeight w:val="380"/>
        </w:trPr>
        <w:tc>
          <w:tcPr>
            <w:tcW w:w="7360" w:type="dxa"/>
          </w:tcPr>
          <w:p w:rsidR="00557A6F" w:rsidRDefault="00557A6F" w:rsidP="009017E2">
            <w:r>
              <w:t>Barn 0–15 år med enslig forsørger</w:t>
            </w:r>
          </w:p>
        </w:tc>
        <w:tc>
          <w:tcPr>
            <w:tcW w:w="1840" w:type="dxa"/>
          </w:tcPr>
          <w:p w:rsidR="00557A6F" w:rsidRDefault="00557A6F" w:rsidP="009017E2">
            <w:pPr>
              <w:jc w:val="right"/>
            </w:pPr>
            <w:r>
              <w:t>0,0177</w:t>
            </w:r>
          </w:p>
        </w:tc>
      </w:tr>
      <w:tr w:rsidR="00557A6F" w:rsidTr="009017E2">
        <w:trPr>
          <w:trHeight w:val="380"/>
        </w:trPr>
        <w:tc>
          <w:tcPr>
            <w:tcW w:w="7360" w:type="dxa"/>
          </w:tcPr>
          <w:p w:rsidR="00557A6F" w:rsidRDefault="00557A6F" w:rsidP="009017E2">
            <w:r>
              <w:t>Lavinntektskriteriet</w:t>
            </w:r>
          </w:p>
        </w:tc>
        <w:tc>
          <w:tcPr>
            <w:tcW w:w="1840" w:type="dxa"/>
          </w:tcPr>
          <w:p w:rsidR="00557A6F" w:rsidRDefault="00557A6F" w:rsidP="009017E2">
            <w:pPr>
              <w:jc w:val="right"/>
            </w:pPr>
            <w:r>
              <w:t>0,0111</w:t>
            </w:r>
          </w:p>
        </w:tc>
      </w:tr>
      <w:tr w:rsidR="00557A6F" w:rsidTr="009017E2">
        <w:trPr>
          <w:trHeight w:val="380"/>
        </w:trPr>
        <w:tc>
          <w:tcPr>
            <w:tcW w:w="7360" w:type="dxa"/>
          </w:tcPr>
          <w:p w:rsidR="00557A6F" w:rsidRDefault="00557A6F" w:rsidP="009017E2">
            <w:r>
              <w:t>Barn 1 år uten kontantstøtte</w:t>
            </w:r>
          </w:p>
        </w:tc>
        <w:tc>
          <w:tcPr>
            <w:tcW w:w="1840" w:type="dxa"/>
          </w:tcPr>
          <w:p w:rsidR="00557A6F" w:rsidRDefault="00557A6F" w:rsidP="009017E2">
            <w:pPr>
              <w:jc w:val="right"/>
            </w:pPr>
            <w:r>
              <w:t>0,0168</w:t>
            </w:r>
          </w:p>
        </w:tc>
      </w:tr>
      <w:tr w:rsidR="00557A6F" w:rsidTr="009017E2">
        <w:trPr>
          <w:trHeight w:val="380"/>
        </w:trPr>
        <w:tc>
          <w:tcPr>
            <w:tcW w:w="7360" w:type="dxa"/>
          </w:tcPr>
          <w:p w:rsidR="00557A6F" w:rsidRDefault="00557A6F" w:rsidP="009017E2">
            <w:r>
              <w:t>Innbyggere med høyere utdanning</w:t>
            </w:r>
          </w:p>
        </w:tc>
        <w:tc>
          <w:tcPr>
            <w:tcW w:w="1840" w:type="dxa"/>
          </w:tcPr>
          <w:p w:rsidR="00557A6F" w:rsidRDefault="00557A6F" w:rsidP="009017E2">
            <w:pPr>
              <w:jc w:val="right"/>
            </w:pPr>
            <w:r>
              <w:t>0,0184</w:t>
            </w:r>
          </w:p>
        </w:tc>
      </w:tr>
      <w:tr w:rsidR="00557A6F" w:rsidTr="009017E2">
        <w:trPr>
          <w:trHeight w:val="380"/>
        </w:trPr>
        <w:tc>
          <w:tcPr>
            <w:tcW w:w="7360" w:type="dxa"/>
          </w:tcPr>
          <w:p w:rsidR="00557A6F" w:rsidRDefault="00557A6F" w:rsidP="009017E2">
            <w:r>
              <w:rPr>
                <w:rStyle w:val="kursiv"/>
                <w:sz w:val="21"/>
                <w:szCs w:val="21"/>
              </w:rPr>
              <w:t>Sum</w:t>
            </w:r>
          </w:p>
        </w:tc>
        <w:tc>
          <w:tcPr>
            <w:tcW w:w="1840" w:type="dxa"/>
          </w:tcPr>
          <w:p w:rsidR="00557A6F" w:rsidRDefault="00557A6F" w:rsidP="009017E2">
            <w:pPr>
              <w:jc w:val="right"/>
            </w:pPr>
            <w:r>
              <w:rPr>
                <w:rStyle w:val="kursiv"/>
                <w:sz w:val="21"/>
                <w:szCs w:val="21"/>
              </w:rPr>
              <w:t>1,0000</w:t>
            </w:r>
          </w:p>
        </w:tc>
      </w:tr>
    </w:tbl>
    <w:p w:rsidR="00557A6F" w:rsidRDefault="00557A6F" w:rsidP="00557A6F">
      <w:pPr>
        <w:pStyle w:val="avsnitt-tittel"/>
      </w:pPr>
      <w:r>
        <w:t>Budsjettforslag</w:t>
      </w:r>
    </w:p>
    <w:p w:rsidR="00557A6F" w:rsidRDefault="00557A6F" w:rsidP="00557A6F">
      <w:r>
        <w:t>Det foreslås at bevilgningen økes med 5 531,5 mill. kroner til 137 050,8 mill. kroner i 2020.</w:t>
      </w:r>
    </w:p>
    <w:p w:rsidR="00557A6F" w:rsidRDefault="00557A6F" w:rsidP="00557A6F">
      <w:pPr>
        <w:pStyle w:val="b-post"/>
      </w:pPr>
      <w:r>
        <w:t>Post 61 Distriktstilskudd Sør-Norge</w:t>
      </w:r>
    </w:p>
    <w:p w:rsidR="00557A6F" w:rsidRDefault="00557A6F" w:rsidP="00557A6F">
      <w:r>
        <w:t>Distriktstilskudd Sør-Norge skal ivareta kommuner i Sør-Norge med svak samfunnsmessig utvi</w:t>
      </w:r>
      <w:r>
        <w:t>k</w:t>
      </w:r>
      <w:r>
        <w:t>ling og distriktsmessige utfordringer. Tildelingen av tilskuddet tar utgangspunkt i distriktsindeksen, som er et uttrykk for graden av distriktsutfordringer i en kommune.</w:t>
      </w:r>
    </w:p>
    <w:p w:rsidR="00557A6F" w:rsidRDefault="00557A6F" w:rsidP="00557A6F">
      <w:r>
        <w:t>På oppdrag fra Kommunal- og moderniseringsdepartementet har Asplan Viak foretatt en faglig gje</w:t>
      </w:r>
      <w:r>
        <w:t>n</w:t>
      </w:r>
      <w:r>
        <w:t>nomgang av distriktsindeksen. Departementet vil se nærmere på konsekvensene av Asplan Viak sitt for</w:t>
      </w:r>
      <w:r>
        <w:lastRenderedPageBreak/>
        <w:t>slag og deretter fas</w:t>
      </w:r>
      <w:r>
        <w:t>t</w:t>
      </w:r>
      <w:r>
        <w:t>sette ny distriktsindeks. Departementet vil vurdere innretningen på de regionalpolitiske tilskuddene nærmere, og tar sikte på å komme tilbake til bruk av distriktsi</w:t>
      </w:r>
      <w:r>
        <w:t>n</w:t>
      </w:r>
      <w:r>
        <w:t>deksen ved fordeling av distriktstilskuddene i kommuneprop</w:t>
      </w:r>
      <w:r>
        <w:t>o</w:t>
      </w:r>
      <w:r>
        <w:t>sisjonen for 2021. Distriktsindeksen for 2017, som ble benyttet ved fordelingen av distriktstilskudd Sør-Norge i 2019, benyttes også ved fordelingen av distriktstilskudd Sør-Norge i 2020.</w:t>
      </w:r>
    </w:p>
    <w:p w:rsidR="00557A6F" w:rsidRDefault="00557A6F" w:rsidP="00557A6F">
      <w:r>
        <w:t>Distriktstilskudd Sør-Norge blir tildelt kommuner i Sør-Norge (utenom Namdalen) som har under 3 200 innby</w:t>
      </w:r>
      <w:r>
        <w:t>g</w:t>
      </w:r>
      <w:r>
        <w:t>gere eller en distriktsindeks på 46 eller lavere, samt gjennomsnittlige skatteinntekter per innbygger de siste tre årene under 120 pst. av landsgjennomsnittet. Kommuner med færre enn 3 200 innbyggere mottar ett tilskudd per kommune. Satsene er differensiert etter kommunenes ve</w:t>
      </w:r>
      <w:r>
        <w:t>r</w:t>
      </w:r>
      <w:r>
        <w:t>di på distriktsindeksen. Høyeste sats gis til kommuner med distriktsindeks på 35 eller lavere. Kommuner med en høyere verdi på distriktsindeksen får tilskudd etter lavere sats, slik at komm</w:t>
      </w:r>
      <w:r>
        <w:t>u</w:t>
      </w:r>
      <w:r>
        <w:t>ner med distriktsindeks over 46 mottar halvparten av høyeste sats.</w:t>
      </w:r>
    </w:p>
    <w:p w:rsidR="00557A6F" w:rsidRDefault="00557A6F" w:rsidP="00557A6F">
      <w:r>
        <w:t>For kommuner med 3 200 innbyggere eller mer gis tilskuddet både per innbygger og per kommune. Kommuner med distriktsindeks på 35 eller lavere gis tilskudd per kommune og per innbygger med hø</w:t>
      </w:r>
      <w:r>
        <w:t>y</w:t>
      </w:r>
      <w:r>
        <w:t>este sats. Kommuner med høyere verdi på indeksen får tilskudd med henholdsvis 80, 60, 40 og 20 pst. av høyeste sats. Kommuner med distriktsindeks på 47 eller høyere mottar ikke tilskudd.</w:t>
      </w:r>
    </w:p>
    <w:p w:rsidR="00557A6F" w:rsidRDefault="00557A6F" w:rsidP="00557A6F">
      <w:r>
        <w:t>Satsene for distriktstilskudd Sør-Norge i 2020 er prisjustert og vist i tabell 6.17.</w:t>
      </w:r>
    </w:p>
    <w:p w:rsidR="009017E2" w:rsidRDefault="009017E2" w:rsidP="009017E2">
      <w:pPr>
        <w:pStyle w:val="tabell-tittel"/>
      </w:pPr>
      <w:r>
        <w:t>Satser for distriktstilskudd Sør-Norge 2020</w:t>
      </w:r>
    </w:p>
    <w:p w:rsidR="00557A6F" w:rsidRDefault="00557A6F" w:rsidP="00557A6F">
      <w:pPr>
        <w:pStyle w:val="Tabellnavn"/>
      </w:pPr>
      <w:r>
        <w:t>04J2xt2</w:t>
      </w:r>
    </w:p>
    <w:tbl>
      <w:tblPr>
        <w:tblStyle w:val="StandardTabell"/>
        <w:tblW w:w="0" w:type="auto"/>
        <w:tblLayout w:type="fixed"/>
        <w:tblLook w:val="04A0" w:firstRow="1" w:lastRow="0" w:firstColumn="1" w:lastColumn="0" w:noHBand="0" w:noVBand="1"/>
      </w:tblPr>
      <w:tblGrid>
        <w:gridCol w:w="1840"/>
        <w:gridCol w:w="1980"/>
        <w:gridCol w:w="1980"/>
        <w:gridCol w:w="3740"/>
      </w:tblGrid>
      <w:tr w:rsidR="00557A6F" w:rsidTr="009017E2">
        <w:trPr>
          <w:trHeight w:val="360"/>
        </w:trPr>
        <w:tc>
          <w:tcPr>
            <w:tcW w:w="1840" w:type="dxa"/>
            <w:shd w:val="clear" w:color="auto" w:fill="FFFFFF"/>
          </w:tcPr>
          <w:p w:rsidR="00557A6F" w:rsidRDefault="00557A6F" w:rsidP="00557A6F"/>
        </w:tc>
        <w:tc>
          <w:tcPr>
            <w:tcW w:w="3960" w:type="dxa"/>
            <w:gridSpan w:val="2"/>
          </w:tcPr>
          <w:p w:rsidR="00557A6F" w:rsidRDefault="00557A6F" w:rsidP="009017E2">
            <w:pPr>
              <w:jc w:val="center"/>
            </w:pPr>
            <w:r>
              <w:t>Kommuner med 3 200 innbyggere eller mer</w:t>
            </w:r>
          </w:p>
        </w:tc>
        <w:tc>
          <w:tcPr>
            <w:tcW w:w="3740" w:type="dxa"/>
          </w:tcPr>
          <w:p w:rsidR="00557A6F" w:rsidRDefault="00557A6F" w:rsidP="009017E2">
            <w:pPr>
              <w:jc w:val="center"/>
            </w:pPr>
            <w:r>
              <w:t>Kommuner med under 3 200 innby</w:t>
            </w:r>
            <w:r>
              <w:t>g</w:t>
            </w:r>
            <w:r>
              <w:t>gere</w:t>
            </w:r>
          </w:p>
        </w:tc>
      </w:tr>
      <w:tr w:rsidR="00557A6F" w:rsidTr="009017E2">
        <w:trPr>
          <w:trHeight w:val="600"/>
        </w:trPr>
        <w:tc>
          <w:tcPr>
            <w:tcW w:w="1840" w:type="dxa"/>
          </w:tcPr>
          <w:p w:rsidR="00557A6F" w:rsidRDefault="00557A6F" w:rsidP="00557A6F">
            <w:r>
              <w:t>Distriktsindeks</w:t>
            </w:r>
          </w:p>
        </w:tc>
        <w:tc>
          <w:tcPr>
            <w:tcW w:w="1980" w:type="dxa"/>
          </w:tcPr>
          <w:p w:rsidR="00557A6F" w:rsidRDefault="00557A6F" w:rsidP="009017E2">
            <w:pPr>
              <w:jc w:val="right"/>
            </w:pPr>
            <w:r>
              <w:t>Sats per kommune (1 000 kroner)</w:t>
            </w:r>
          </w:p>
        </w:tc>
        <w:tc>
          <w:tcPr>
            <w:tcW w:w="1980" w:type="dxa"/>
          </w:tcPr>
          <w:p w:rsidR="00557A6F" w:rsidRDefault="00557A6F" w:rsidP="009017E2">
            <w:pPr>
              <w:jc w:val="right"/>
            </w:pPr>
            <w:r>
              <w:t>Sats per innbygger (kroner)</w:t>
            </w:r>
          </w:p>
        </w:tc>
        <w:tc>
          <w:tcPr>
            <w:tcW w:w="3740" w:type="dxa"/>
          </w:tcPr>
          <w:p w:rsidR="00557A6F" w:rsidRDefault="00557A6F" w:rsidP="009017E2">
            <w:pPr>
              <w:jc w:val="right"/>
            </w:pPr>
            <w:r>
              <w:t xml:space="preserve">Sats per kommune </w:t>
            </w:r>
            <w:r>
              <w:br/>
              <w:t>(1 000 kroner)</w:t>
            </w:r>
          </w:p>
        </w:tc>
      </w:tr>
      <w:tr w:rsidR="00557A6F" w:rsidTr="009017E2">
        <w:trPr>
          <w:trHeight w:val="380"/>
        </w:trPr>
        <w:tc>
          <w:tcPr>
            <w:tcW w:w="1840" w:type="dxa"/>
          </w:tcPr>
          <w:p w:rsidR="00557A6F" w:rsidRDefault="00557A6F" w:rsidP="00557A6F">
            <w:r>
              <w:t>Indeks 0–35</w:t>
            </w:r>
          </w:p>
        </w:tc>
        <w:tc>
          <w:tcPr>
            <w:tcW w:w="1980" w:type="dxa"/>
          </w:tcPr>
          <w:p w:rsidR="00557A6F" w:rsidRDefault="00557A6F" w:rsidP="009017E2">
            <w:pPr>
              <w:jc w:val="right"/>
            </w:pPr>
            <w:r>
              <w:t>1 273</w:t>
            </w:r>
          </w:p>
        </w:tc>
        <w:tc>
          <w:tcPr>
            <w:tcW w:w="1980" w:type="dxa"/>
          </w:tcPr>
          <w:p w:rsidR="00557A6F" w:rsidRDefault="00557A6F" w:rsidP="009017E2">
            <w:pPr>
              <w:jc w:val="right"/>
            </w:pPr>
            <w:r>
              <w:t>1 152</w:t>
            </w:r>
          </w:p>
        </w:tc>
        <w:tc>
          <w:tcPr>
            <w:tcW w:w="3740" w:type="dxa"/>
          </w:tcPr>
          <w:p w:rsidR="00557A6F" w:rsidRDefault="00557A6F" w:rsidP="009017E2">
            <w:pPr>
              <w:jc w:val="right"/>
            </w:pPr>
            <w:r>
              <w:t>5 875</w:t>
            </w:r>
          </w:p>
        </w:tc>
      </w:tr>
      <w:tr w:rsidR="00557A6F" w:rsidTr="009017E2">
        <w:trPr>
          <w:trHeight w:val="380"/>
        </w:trPr>
        <w:tc>
          <w:tcPr>
            <w:tcW w:w="1840" w:type="dxa"/>
          </w:tcPr>
          <w:p w:rsidR="00557A6F" w:rsidRDefault="00557A6F" w:rsidP="00557A6F">
            <w:r>
              <w:t>Indeks 36–38</w:t>
            </w:r>
          </w:p>
        </w:tc>
        <w:tc>
          <w:tcPr>
            <w:tcW w:w="1980" w:type="dxa"/>
          </w:tcPr>
          <w:p w:rsidR="00557A6F" w:rsidRDefault="00557A6F" w:rsidP="009017E2">
            <w:pPr>
              <w:jc w:val="right"/>
            </w:pPr>
            <w:r>
              <w:t>1 019</w:t>
            </w:r>
          </w:p>
        </w:tc>
        <w:tc>
          <w:tcPr>
            <w:tcW w:w="1980" w:type="dxa"/>
          </w:tcPr>
          <w:p w:rsidR="00557A6F" w:rsidRDefault="00557A6F" w:rsidP="009017E2">
            <w:pPr>
              <w:jc w:val="right"/>
            </w:pPr>
            <w:r>
              <w:t>922</w:t>
            </w:r>
          </w:p>
        </w:tc>
        <w:tc>
          <w:tcPr>
            <w:tcW w:w="3740" w:type="dxa"/>
          </w:tcPr>
          <w:p w:rsidR="00557A6F" w:rsidRDefault="00557A6F" w:rsidP="009017E2">
            <w:pPr>
              <w:jc w:val="right"/>
            </w:pPr>
            <w:r>
              <w:t>5 289</w:t>
            </w:r>
          </w:p>
        </w:tc>
      </w:tr>
      <w:tr w:rsidR="00557A6F" w:rsidTr="009017E2">
        <w:trPr>
          <w:trHeight w:val="380"/>
        </w:trPr>
        <w:tc>
          <w:tcPr>
            <w:tcW w:w="1840" w:type="dxa"/>
          </w:tcPr>
          <w:p w:rsidR="00557A6F" w:rsidRDefault="00557A6F" w:rsidP="00557A6F">
            <w:r>
              <w:t>Indeks 39–41</w:t>
            </w:r>
          </w:p>
        </w:tc>
        <w:tc>
          <w:tcPr>
            <w:tcW w:w="1980" w:type="dxa"/>
          </w:tcPr>
          <w:p w:rsidR="00557A6F" w:rsidRDefault="00557A6F" w:rsidP="009017E2">
            <w:pPr>
              <w:jc w:val="right"/>
            </w:pPr>
            <w:r>
              <w:t>764</w:t>
            </w:r>
          </w:p>
        </w:tc>
        <w:tc>
          <w:tcPr>
            <w:tcW w:w="1980" w:type="dxa"/>
          </w:tcPr>
          <w:p w:rsidR="00557A6F" w:rsidRDefault="00557A6F" w:rsidP="009017E2">
            <w:pPr>
              <w:jc w:val="right"/>
            </w:pPr>
            <w:r>
              <w:t>691</w:t>
            </w:r>
          </w:p>
        </w:tc>
        <w:tc>
          <w:tcPr>
            <w:tcW w:w="3740" w:type="dxa"/>
          </w:tcPr>
          <w:p w:rsidR="00557A6F" w:rsidRDefault="00557A6F" w:rsidP="009017E2">
            <w:pPr>
              <w:jc w:val="right"/>
            </w:pPr>
            <w:r>
              <w:t>4 700</w:t>
            </w:r>
          </w:p>
        </w:tc>
      </w:tr>
      <w:tr w:rsidR="00557A6F" w:rsidTr="009017E2">
        <w:trPr>
          <w:trHeight w:val="380"/>
        </w:trPr>
        <w:tc>
          <w:tcPr>
            <w:tcW w:w="1840" w:type="dxa"/>
          </w:tcPr>
          <w:p w:rsidR="00557A6F" w:rsidRDefault="00557A6F" w:rsidP="00557A6F">
            <w:r>
              <w:t>Indeks 42–44</w:t>
            </w:r>
          </w:p>
        </w:tc>
        <w:tc>
          <w:tcPr>
            <w:tcW w:w="1980" w:type="dxa"/>
          </w:tcPr>
          <w:p w:rsidR="00557A6F" w:rsidRDefault="00557A6F" w:rsidP="009017E2">
            <w:pPr>
              <w:jc w:val="right"/>
            </w:pPr>
            <w:r>
              <w:t>508</w:t>
            </w:r>
          </w:p>
        </w:tc>
        <w:tc>
          <w:tcPr>
            <w:tcW w:w="1980" w:type="dxa"/>
          </w:tcPr>
          <w:p w:rsidR="00557A6F" w:rsidRDefault="00557A6F" w:rsidP="009017E2">
            <w:pPr>
              <w:jc w:val="right"/>
            </w:pPr>
            <w:r>
              <w:t>461</w:t>
            </w:r>
          </w:p>
        </w:tc>
        <w:tc>
          <w:tcPr>
            <w:tcW w:w="3740" w:type="dxa"/>
          </w:tcPr>
          <w:p w:rsidR="00557A6F" w:rsidRDefault="00557A6F" w:rsidP="009017E2">
            <w:pPr>
              <w:jc w:val="right"/>
            </w:pPr>
            <w:r>
              <w:t>4 114</w:t>
            </w:r>
          </w:p>
        </w:tc>
      </w:tr>
      <w:tr w:rsidR="00557A6F" w:rsidTr="009017E2">
        <w:trPr>
          <w:trHeight w:val="380"/>
        </w:trPr>
        <w:tc>
          <w:tcPr>
            <w:tcW w:w="1840" w:type="dxa"/>
          </w:tcPr>
          <w:p w:rsidR="00557A6F" w:rsidRDefault="00557A6F" w:rsidP="00557A6F">
            <w:r>
              <w:t>Indeks 45–46</w:t>
            </w:r>
          </w:p>
        </w:tc>
        <w:tc>
          <w:tcPr>
            <w:tcW w:w="1980" w:type="dxa"/>
          </w:tcPr>
          <w:p w:rsidR="00557A6F" w:rsidRDefault="00557A6F" w:rsidP="009017E2">
            <w:pPr>
              <w:jc w:val="right"/>
            </w:pPr>
            <w:r>
              <w:t>255</w:t>
            </w:r>
          </w:p>
        </w:tc>
        <w:tc>
          <w:tcPr>
            <w:tcW w:w="1980" w:type="dxa"/>
          </w:tcPr>
          <w:p w:rsidR="00557A6F" w:rsidRDefault="00557A6F" w:rsidP="009017E2">
            <w:pPr>
              <w:jc w:val="right"/>
            </w:pPr>
            <w:r>
              <w:t>231</w:t>
            </w:r>
          </w:p>
        </w:tc>
        <w:tc>
          <w:tcPr>
            <w:tcW w:w="3740" w:type="dxa"/>
          </w:tcPr>
          <w:p w:rsidR="00557A6F" w:rsidRDefault="00557A6F" w:rsidP="009017E2">
            <w:pPr>
              <w:jc w:val="right"/>
            </w:pPr>
            <w:r>
              <w:t>3 525</w:t>
            </w:r>
          </w:p>
        </w:tc>
      </w:tr>
      <w:tr w:rsidR="00557A6F" w:rsidTr="009017E2">
        <w:trPr>
          <w:trHeight w:val="380"/>
        </w:trPr>
        <w:tc>
          <w:tcPr>
            <w:tcW w:w="1840" w:type="dxa"/>
          </w:tcPr>
          <w:p w:rsidR="00557A6F" w:rsidRDefault="00557A6F" w:rsidP="00557A6F">
            <w:r>
              <w:t>Over 46</w:t>
            </w:r>
          </w:p>
        </w:tc>
        <w:tc>
          <w:tcPr>
            <w:tcW w:w="1980" w:type="dxa"/>
          </w:tcPr>
          <w:p w:rsidR="00557A6F" w:rsidRDefault="00557A6F" w:rsidP="009017E2">
            <w:pPr>
              <w:jc w:val="right"/>
            </w:pPr>
            <w:r>
              <w:t>0</w:t>
            </w:r>
          </w:p>
        </w:tc>
        <w:tc>
          <w:tcPr>
            <w:tcW w:w="1980" w:type="dxa"/>
          </w:tcPr>
          <w:p w:rsidR="00557A6F" w:rsidRDefault="00557A6F" w:rsidP="009017E2">
            <w:pPr>
              <w:jc w:val="right"/>
            </w:pPr>
            <w:r>
              <w:t>0</w:t>
            </w:r>
          </w:p>
        </w:tc>
        <w:tc>
          <w:tcPr>
            <w:tcW w:w="3740" w:type="dxa"/>
          </w:tcPr>
          <w:p w:rsidR="00557A6F" w:rsidRDefault="00557A6F" w:rsidP="009017E2">
            <w:pPr>
              <w:jc w:val="right"/>
            </w:pPr>
            <w:r>
              <w:t>2 938</w:t>
            </w:r>
          </w:p>
        </w:tc>
      </w:tr>
    </w:tbl>
    <w:p w:rsidR="00557A6F" w:rsidRDefault="00557A6F" w:rsidP="00557A6F">
      <w:pPr>
        <w:pStyle w:val="avsnitt-tittel"/>
      </w:pPr>
      <w:r>
        <w:t>Budsjettforslag</w:t>
      </w:r>
    </w:p>
    <w:p w:rsidR="00557A6F" w:rsidRDefault="00557A6F" w:rsidP="00557A6F">
      <w:r>
        <w:t>Det foreslås at bevilgningen reduseres med 75,3 mill. kroner til 785,1 mill. kroner i 2020. Redu</w:t>
      </w:r>
      <w:r>
        <w:t>k</w:t>
      </w:r>
      <w:r>
        <w:t>sjonen skyldes at flere av kommunene som mottok tilskuddet i 2019, slår seg sammen med andre kommuner fra og med 2020, og at den nye kommunen ikke kvalifiserer for tilskuddet. Kommuner som slår seg sammen, blir kompensert for bortfall av distriktstilskudd Sør-Norge gjennom innd</w:t>
      </w:r>
      <w:r>
        <w:t>e</w:t>
      </w:r>
      <w:r>
        <w:t>lingstilskuddet. Reduksjonen i tilskuddet må derfor ses i sammenheng med økningen i inndeling</w:t>
      </w:r>
      <w:r>
        <w:t>s</w:t>
      </w:r>
      <w:r>
        <w:t>tilskuddet. Se Grønt hefte for nærmere omtale av inndelingstilskuddet.</w:t>
      </w:r>
    </w:p>
    <w:p w:rsidR="00557A6F" w:rsidRDefault="00557A6F" w:rsidP="00557A6F">
      <w:pPr>
        <w:pStyle w:val="b-post"/>
      </w:pPr>
      <w:r>
        <w:t>Post 62 Distriktstilskudd Nord-Norge</w:t>
      </w:r>
    </w:p>
    <w:p w:rsidR="00557A6F" w:rsidRDefault="00557A6F" w:rsidP="00557A6F">
      <w:r>
        <w:t>Distriktstilskudd Nord-Norge fordeles med et kronebeløp per innbygger til alle kommuner i Nord-Norge og Namdalen. Kommuner med færre enn 3 200 innbyggere mottar i tillegg et sm</w:t>
      </w:r>
      <w:r>
        <w:t>å</w:t>
      </w:r>
      <w:r>
        <w:t>kommunetillegg etter samme kriterier og satser som distriktstilskudd Sør-Norge. Kommuner i Finnmark og tiltakssonen i Troms som får småkommunetillegg, får tilskudd etter en høyere sats.</w:t>
      </w:r>
    </w:p>
    <w:p w:rsidR="00557A6F" w:rsidRDefault="00557A6F" w:rsidP="00557A6F">
      <w:r>
        <w:lastRenderedPageBreak/>
        <w:t>Departementet foreslår at distriktsindeksen for 2017, som ble benyttet ved fordelingen av distrikt</w:t>
      </w:r>
      <w:r>
        <w:t>s</w:t>
      </w:r>
      <w:r>
        <w:t>tilskudd Nord-Norge i 2019, også benyttes ved fordelingen av distriktstilskudd Nord-Norge i 2020. Den geografiske inndelingen av satsene som ble benyttet ved fordelingen av tilskuddet i 2019, v</w:t>
      </w:r>
      <w:r>
        <w:t>i</w:t>
      </w:r>
      <w:r>
        <w:t>dereføres i 2020. Satsen for den enkelte kommune blir dermed ikke påvirket av sammenslåingen av Troms og Finnmark. Satsene for distriktsti</w:t>
      </w:r>
      <w:r>
        <w:t>l</w:t>
      </w:r>
      <w:r>
        <w:t>skudd Nord-Norge i 2020 er prisjustert og vist i tabell 6.18.</w:t>
      </w:r>
    </w:p>
    <w:p w:rsidR="009017E2" w:rsidRDefault="009017E2" w:rsidP="009017E2">
      <w:pPr>
        <w:pStyle w:val="tabell-tittel"/>
      </w:pPr>
      <w:r>
        <w:t>Satser for distriktstilskudd Nord-Norge 2020</w:t>
      </w:r>
    </w:p>
    <w:p w:rsidR="00557A6F" w:rsidRDefault="00557A6F" w:rsidP="00557A6F">
      <w:pPr>
        <w:pStyle w:val="Tabellnavn"/>
      </w:pPr>
      <w:r>
        <w:t>03J1xt2</w:t>
      </w:r>
    </w:p>
    <w:tbl>
      <w:tblPr>
        <w:tblStyle w:val="StandardTabell"/>
        <w:tblW w:w="0" w:type="auto"/>
        <w:tblLayout w:type="fixed"/>
        <w:tblLook w:val="04A0" w:firstRow="1" w:lastRow="0" w:firstColumn="1" w:lastColumn="0" w:noHBand="0" w:noVBand="1"/>
      </w:tblPr>
      <w:tblGrid>
        <w:gridCol w:w="2780"/>
        <w:gridCol w:w="3400"/>
        <w:gridCol w:w="3400"/>
      </w:tblGrid>
      <w:tr w:rsidR="00557A6F" w:rsidTr="009017E2">
        <w:trPr>
          <w:trHeight w:val="360"/>
        </w:trPr>
        <w:tc>
          <w:tcPr>
            <w:tcW w:w="2780" w:type="dxa"/>
            <w:shd w:val="clear" w:color="auto" w:fill="FFFFFF"/>
          </w:tcPr>
          <w:p w:rsidR="00557A6F" w:rsidRDefault="00557A6F" w:rsidP="00557A6F">
            <w:r>
              <w:t>Kommuner i:</w:t>
            </w:r>
          </w:p>
        </w:tc>
        <w:tc>
          <w:tcPr>
            <w:tcW w:w="3400" w:type="dxa"/>
          </w:tcPr>
          <w:p w:rsidR="00557A6F" w:rsidRDefault="00557A6F" w:rsidP="00557A6F"/>
        </w:tc>
        <w:tc>
          <w:tcPr>
            <w:tcW w:w="3400" w:type="dxa"/>
          </w:tcPr>
          <w:p w:rsidR="00557A6F" w:rsidRDefault="00557A6F" w:rsidP="009017E2">
            <w:pPr>
              <w:jc w:val="right"/>
            </w:pPr>
            <w:r>
              <w:t>Sats per innbygger (kroner)</w:t>
            </w:r>
          </w:p>
        </w:tc>
      </w:tr>
      <w:tr w:rsidR="00557A6F" w:rsidTr="009017E2">
        <w:trPr>
          <w:trHeight w:val="380"/>
        </w:trPr>
        <w:tc>
          <w:tcPr>
            <w:tcW w:w="2780" w:type="dxa"/>
          </w:tcPr>
          <w:p w:rsidR="00557A6F" w:rsidRDefault="00557A6F" w:rsidP="00557A6F">
            <w:r>
              <w:t>Nordland og Namdalen</w:t>
            </w:r>
          </w:p>
        </w:tc>
        <w:tc>
          <w:tcPr>
            <w:tcW w:w="3400" w:type="dxa"/>
          </w:tcPr>
          <w:p w:rsidR="00557A6F" w:rsidRDefault="00557A6F" w:rsidP="00557A6F"/>
        </w:tc>
        <w:tc>
          <w:tcPr>
            <w:tcW w:w="3400" w:type="dxa"/>
          </w:tcPr>
          <w:p w:rsidR="00557A6F" w:rsidRDefault="00557A6F" w:rsidP="009017E2">
            <w:pPr>
              <w:jc w:val="right"/>
            </w:pPr>
            <w:r>
              <w:t>1 812</w:t>
            </w:r>
          </w:p>
        </w:tc>
      </w:tr>
      <w:tr w:rsidR="00557A6F" w:rsidTr="009017E2">
        <w:trPr>
          <w:trHeight w:val="380"/>
        </w:trPr>
        <w:tc>
          <w:tcPr>
            <w:tcW w:w="2780" w:type="dxa"/>
          </w:tcPr>
          <w:p w:rsidR="00557A6F" w:rsidRDefault="00557A6F" w:rsidP="00557A6F">
            <w:r>
              <w:t>Troms (utenfor tiltakss</w:t>
            </w:r>
            <w:r>
              <w:t>o</w:t>
            </w:r>
            <w:r>
              <w:t>nen)</w:t>
            </w:r>
          </w:p>
        </w:tc>
        <w:tc>
          <w:tcPr>
            <w:tcW w:w="3400" w:type="dxa"/>
          </w:tcPr>
          <w:p w:rsidR="00557A6F" w:rsidRDefault="00557A6F" w:rsidP="00557A6F"/>
        </w:tc>
        <w:tc>
          <w:tcPr>
            <w:tcW w:w="3400" w:type="dxa"/>
          </w:tcPr>
          <w:p w:rsidR="00557A6F" w:rsidRDefault="00557A6F" w:rsidP="009017E2">
            <w:pPr>
              <w:jc w:val="right"/>
            </w:pPr>
            <w:r>
              <w:t>3 476</w:t>
            </w:r>
          </w:p>
        </w:tc>
      </w:tr>
      <w:tr w:rsidR="00557A6F" w:rsidTr="009017E2">
        <w:trPr>
          <w:trHeight w:val="380"/>
        </w:trPr>
        <w:tc>
          <w:tcPr>
            <w:tcW w:w="2780" w:type="dxa"/>
          </w:tcPr>
          <w:p w:rsidR="00557A6F" w:rsidRDefault="00557A6F" w:rsidP="00557A6F">
            <w:r>
              <w:t>Tiltakssonen i Troms</w:t>
            </w:r>
          </w:p>
        </w:tc>
        <w:tc>
          <w:tcPr>
            <w:tcW w:w="3400" w:type="dxa"/>
          </w:tcPr>
          <w:p w:rsidR="00557A6F" w:rsidRDefault="00557A6F" w:rsidP="00557A6F"/>
        </w:tc>
        <w:tc>
          <w:tcPr>
            <w:tcW w:w="3400" w:type="dxa"/>
          </w:tcPr>
          <w:p w:rsidR="00557A6F" w:rsidRDefault="00557A6F" w:rsidP="009017E2">
            <w:pPr>
              <w:jc w:val="right"/>
            </w:pPr>
            <w:r>
              <w:t>4 095</w:t>
            </w:r>
          </w:p>
        </w:tc>
      </w:tr>
      <w:tr w:rsidR="00557A6F" w:rsidTr="009017E2">
        <w:trPr>
          <w:trHeight w:val="380"/>
        </w:trPr>
        <w:tc>
          <w:tcPr>
            <w:tcW w:w="2780" w:type="dxa"/>
          </w:tcPr>
          <w:p w:rsidR="00557A6F" w:rsidRDefault="00557A6F" w:rsidP="00557A6F">
            <w:r>
              <w:t>Finnmark</w:t>
            </w:r>
          </w:p>
        </w:tc>
        <w:tc>
          <w:tcPr>
            <w:tcW w:w="3400" w:type="dxa"/>
          </w:tcPr>
          <w:p w:rsidR="00557A6F" w:rsidRDefault="00557A6F" w:rsidP="00557A6F"/>
        </w:tc>
        <w:tc>
          <w:tcPr>
            <w:tcW w:w="3400" w:type="dxa"/>
          </w:tcPr>
          <w:p w:rsidR="00557A6F" w:rsidRDefault="00557A6F" w:rsidP="009017E2">
            <w:pPr>
              <w:jc w:val="right"/>
            </w:pPr>
            <w:r>
              <w:t>8 487</w:t>
            </w:r>
          </w:p>
        </w:tc>
      </w:tr>
      <w:tr w:rsidR="00557A6F" w:rsidTr="009017E2">
        <w:trPr>
          <w:trHeight w:val="380"/>
        </w:trPr>
        <w:tc>
          <w:tcPr>
            <w:tcW w:w="2780" w:type="dxa"/>
          </w:tcPr>
          <w:p w:rsidR="00557A6F" w:rsidRDefault="00557A6F" w:rsidP="00557A6F"/>
        </w:tc>
        <w:tc>
          <w:tcPr>
            <w:tcW w:w="3400" w:type="dxa"/>
          </w:tcPr>
          <w:p w:rsidR="00557A6F" w:rsidRDefault="00557A6F" w:rsidP="00557A6F"/>
        </w:tc>
        <w:tc>
          <w:tcPr>
            <w:tcW w:w="3400" w:type="dxa"/>
          </w:tcPr>
          <w:p w:rsidR="00557A6F" w:rsidRDefault="00557A6F" w:rsidP="009017E2">
            <w:pPr>
              <w:jc w:val="right"/>
            </w:pPr>
          </w:p>
        </w:tc>
      </w:tr>
      <w:tr w:rsidR="00557A6F" w:rsidTr="009017E2">
        <w:trPr>
          <w:trHeight w:val="380"/>
        </w:trPr>
        <w:tc>
          <w:tcPr>
            <w:tcW w:w="9580" w:type="dxa"/>
            <w:gridSpan w:val="3"/>
          </w:tcPr>
          <w:p w:rsidR="00557A6F" w:rsidRDefault="00557A6F" w:rsidP="009017E2">
            <w:r>
              <w:rPr>
                <w:rStyle w:val="kursiv"/>
                <w:sz w:val="21"/>
                <w:szCs w:val="21"/>
              </w:rPr>
              <w:t>Småkommunetillegg til kommuner med under 3 200 innbyggere</w:t>
            </w:r>
          </w:p>
        </w:tc>
      </w:tr>
      <w:tr w:rsidR="00557A6F" w:rsidTr="009017E2">
        <w:trPr>
          <w:trHeight w:val="860"/>
        </w:trPr>
        <w:tc>
          <w:tcPr>
            <w:tcW w:w="2780" w:type="dxa"/>
          </w:tcPr>
          <w:p w:rsidR="00557A6F" w:rsidRDefault="00557A6F" w:rsidP="00557A6F">
            <w:r>
              <w:t>Distriktsindeks</w:t>
            </w:r>
          </w:p>
        </w:tc>
        <w:tc>
          <w:tcPr>
            <w:tcW w:w="3400" w:type="dxa"/>
          </w:tcPr>
          <w:p w:rsidR="00557A6F" w:rsidRDefault="00557A6F" w:rsidP="009017E2">
            <w:pPr>
              <w:jc w:val="right"/>
            </w:pPr>
            <w:r>
              <w:t>Småkommunetillegg per ko</w:t>
            </w:r>
            <w:r>
              <w:t>m</w:t>
            </w:r>
            <w:r>
              <w:t>mune, kommuner utenfor tiltak</w:t>
            </w:r>
            <w:r>
              <w:t>s</w:t>
            </w:r>
            <w:r>
              <w:t>sonen</w:t>
            </w:r>
            <w:r>
              <w:br/>
              <w:t xml:space="preserve"> (1 000 kroner)</w:t>
            </w:r>
          </w:p>
        </w:tc>
        <w:tc>
          <w:tcPr>
            <w:tcW w:w="3400" w:type="dxa"/>
          </w:tcPr>
          <w:p w:rsidR="00557A6F" w:rsidRDefault="00557A6F" w:rsidP="009017E2">
            <w:pPr>
              <w:jc w:val="right"/>
            </w:pPr>
            <w:r>
              <w:t>Småkommunetillegg per ko</w:t>
            </w:r>
            <w:r>
              <w:t>m</w:t>
            </w:r>
            <w:r>
              <w:t>mune, kommuner i tiltakssonen</w:t>
            </w:r>
            <w:r>
              <w:br/>
              <w:t xml:space="preserve"> (1 000 kroner)</w:t>
            </w:r>
          </w:p>
        </w:tc>
      </w:tr>
      <w:tr w:rsidR="00557A6F" w:rsidTr="009017E2">
        <w:trPr>
          <w:trHeight w:val="380"/>
        </w:trPr>
        <w:tc>
          <w:tcPr>
            <w:tcW w:w="2780" w:type="dxa"/>
          </w:tcPr>
          <w:p w:rsidR="00557A6F" w:rsidRDefault="00557A6F" w:rsidP="00557A6F">
            <w:r>
              <w:t>Indeks 0–35</w:t>
            </w:r>
          </w:p>
        </w:tc>
        <w:tc>
          <w:tcPr>
            <w:tcW w:w="3400" w:type="dxa"/>
          </w:tcPr>
          <w:p w:rsidR="00557A6F" w:rsidRDefault="00557A6F" w:rsidP="009017E2">
            <w:pPr>
              <w:jc w:val="right"/>
            </w:pPr>
            <w:r>
              <w:t>5 875</w:t>
            </w:r>
          </w:p>
        </w:tc>
        <w:tc>
          <w:tcPr>
            <w:tcW w:w="3400" w:type="dxa"/>
          </w:tcPr>
          <w:p w:rsidR="00557A6F" w:rsidRDefault="00557A6F" w:rsidP="009017E2">
            <w:pPr>
              <w:jc w:val="right"/>
            </w:pPr>
            <w:r>
              <w:t>12 724</w:t>
            </w:r>
          </w:p>
        </w:tc>
      </w:tr>
      <w:tr w:rsidR="00557A6F" w:rsidTr="009017E2">
        <w:trPr>
          <w:trHeight w:val="380"/>
        </w:trPr>
        <w:tc>
          <w:tcPr>
            <w:tcW w:w="2780" w:type="dxa"/>
          </w:tcPr>
          <w:p w:rsidR="00557A6F" w:rsidRDefault="00557A6F" w:rsidP="00557A6F">
            <w:r>
              <w:t>Indeks 36–38</w:t>
            </w:r>
          </w:p>
        </w:tc>
        <w:tc>
          <w:tcPr>
            <w:tcW w:w="3400" w:type="dxa"/>
          </w:tcPr>
          <w:p w:rsidR="00557A6F" w:rsidRDefault="00557A6F" w:rsidP="009017E2">
            <w:pPr>
              <w:jc w:val="right"/>
            </w:pPr>
            <w:r>
              <w:t>5 289</w:t>
            </w:r>
          </w:p>
        </w:tc>
        <w:tc>
          <w:tcPr>
            <w:tcW w:w="3400" w:type="dxa"/>
          </w:tcPr>
          <w:p w:rsidR="00557A6F" w:rsidRDefault="00557A6F" w:rsidP="009017E2">
            <w:pPr>
              <w:jc w:val="right"/>
            </w:pPr>
            <w:r>
              <w:t>11 451</w:t>
            </w:r>
          </w:p>
        </w:tc>
      </w:tr>
      <w:tr w:rsidR="00557A6F" w:rsidTr="009017E2">
        <w:trPr>
          <w:trHeight w:val="380"/>
        </w:trPr>
        <w:tc>
          <w:tcPr>
            <w:tcW w:w="2780" w:type="dxa"/>
          </w:tcPr>
          <w:p w:rsidR="00557A6F" w:rsidRDefault="00557A6F" w:rsidP="00557A6F">
            <w:r>
              <w:t>Indeks 39–41</w:t>
            </w:r>
          </w:p>
        </w:tc>
        <w:tc>
          <w:tcPr>
            <w:tcW w:w="3400" w:type="dxa"/>
          </w:tcPr>
          <w:p w:rsidR="00557A6F" w:rsidRDefault="00557A6F" w:rsidP="009017E2">
            <w:pPr>
              <w:jc w:val="right"/>
            </w:pPr>
            <w:r>
              <w:t>4 700</w:t>
            </w:r>
          </w:p>
        </w:tc>
        <w:tc>
          <w:tcPr>
            <w:tcW w:w="3400" w:type="dxa"/>
          </w:tcPr>
          <w:p w:rsidR="00557A6F" w:rsidRDefault="00557A6F" w:rsidP="009017E2">
            <w:pPr>
              <w:jc w:val="right"/>
            </w:pPr>
            <w:r>
              <w:t>10 180</w:t>
            </w:r>
          </w:p>
        </w:tc>
      </w:tr>
      <w:tr w:rsidR="00557A6F" w:rsidTr="009017E2">
        <w:trPr>
          <w:trHeight w:val="380"/>
        </w:trPr>
        <w:tc>
          <w:tcPr>
            <w:tcW w:w="2780" w:type="dxa"/>
          </w:tcPr>
          <w:p w:rsidR="00557A6F" w:rsidRDefault="00557A6F" w:rsidP="00557A6F">
            <w:r>
              <w:t>Indeks 42–44</w:t>
            </w:r>
          </w:p>
        </w:tc>
        <w:tc>
          <w:tcPr>
            <w:tcW w:w="3400" w:type="dxa"/>
          </w:tcPr>
          <w:p w:rsidR="00557A6F" w:rsidRDefault="00557A6F" w:rsidP="009017E2">
            <w:pPr>
              <w:jc w:val="right"/>
            </w:pPr>
            <w:r>
              <w:t>4 114</w:t>
            </w:r>
          </w:p>
        </w:tc>
        <w:tc>
          <w:tcPr>
            <w:tcW w:w="3400" w:type="dxa"/>
          </w:tcPr>
          <w:p w:rsidR="00557A6F" w:rsidRDefault="00557A6F" w:rsidP="009017E2">
            <w:pPr>
              <w:jc w:val="right"/>
            </w:pPr>
            <w:r>
              <w:t>8 907</w:t>
            </w:r>
          </w:p>
        </w:tc>
      </w:tr>
      <w:tr w:rsidR="00557A6F" w:rsidTr="009017E2">
        <w:trPr>
          <w:trHeight w:val="380"/>
        </w:trPr>
        <w:tc>
          <w:tcPr>
            <w:tcW w:w="2780" w:type="dxa"/>
          </w:tcPr>
          <w:p w:rsidR="00557A6F" w:rsidRDefault="00557A6F" w:rsidP="00557A6F">
            <w:r>
              <w:t>Indeks 45–46</w:t>
            </w:r>
          </w:p>
        </w:tc>
        <w:tc>
          <w:tcPr>
            <w:tcW w:w="3400" w:type="dxa"/>
          </w:tcPr>
          <w:p w:rsidR="00557A6F" w:rsidRDefault="00557A6F" w:rsidP="009017E2">
            <w:pPr>
              <w:jc w:val="right"/>
            </w:pPr>
            <w:r>
              <w:t>3 525</w:t>
            </w:r>
          </w:p>
        </w:tc>
        <w:tc>
          <w:tcPr>
            <w:tcW w:w="3400" w:type="dxa"/>
          </w:tcPr>
          <w:p w:rsidR="00557A6F" w:rsidRDefault="00557A6F" w:rsidP="009017E2">
            <w:pPr>
              <w:jc w:val="right"/>
            </w:pPr>
            <w:r>
              <w:t>7 635</w:t>
            </w:r>
          </w:p>
        </w:tc>
      </w:tr>
      <w:tr w:rsidR="00557A6F" w:rsidTr="009017E2">
        <w:trPr>
          <w:trHeight w:val="380"/>
        </w:trPr>
        <w:tc>
          <w:tcPr>
            <w:tcW w:w="2780" w:type="dxa"/>
          </w:tcPr>
          <w:p w:rsidR="00557A6F" w:rsidRDefault="00557A6F" w:rsidP="00557A6F">
            <w:r>
              <w:t>Over 46</w:t>
            </w:r>
          </w:p>
        </w:tc>
        <w:tc>
          <w:tcPr>
            <w:tcW w:w="3400" w:type="dxa"/>
          </w:tcPr>
          <w:p w:rsidR="00557A6F" w:rsidRDefault="00557A6F" w:rsidP="009017E2">
            <w:pPr>
              <w:jc w:val="right"/>
            </w:pPr>
            <w:r>
              <w:t>2 938</w:t>
            </w:r>
          </w:p>
        </w:tc>
        <w:tc>
          <w:tcPr>
            <w:tcW w:w="3400" w:type="dxa"/>
          </w:tcPr>
          <w:p w:rsidR="00557A6F" w:rsidRDefault="00557A6F" w:rsidP="009017E2">
            <w:pPr>
              <w:jc w:val="right"/>
            </w:pPr>
            <w:r>
              <w:t>6 362</w:t>
            </w:r>
          </w:p>
        </w:tc>
      </w:tr>
    </w:tbl>
    <w:p w:rsidR="00557A6F" w:rsidRDefault="00557A6F" w:rsidP="00557A6F">
      <w:pPr>
        <w:pStyle w:val="avsnitt-tittel"/>
      </w:pPr>
      <w:r>
        <w:t>Budsjettforslag</w:t>
      </w:r>
    </w:p>
    <w:p w:rsidR="00557A6F" w:rsidRDefault="00557A6F" w:rsidP="00557A6F">
      <w:r>
        <w:t>Det foreslås at bevilgningen økes med 5,1 mill. kroner til 2 205 mill. kroner i 2020. Den lave ø</w:t>
      </w:r>
      <w:r>
        <w:t>k</w:t>
      </w:r>
      <w:r>
        <w:t>ningen skyldes at noen kommuner som mottok småkommunetillegg i 2019, slår seg sammen med andre kommuner fra og med 2020, og at den nye kommunen ikke kvalifiserer for tillegget. Ko</w:t>
      </w:r>
      <w:r>
        <w:t>m</w:t>
      </w:r>
      <w:r>
        <w:t>muner som slår seg sammen, blir kompensert for reduksjon i distriktstilskudd Nord-Norge gjennom inndelingstilsku</w:t>
      </w:r>
      <w:r>
        <w:t>d</w:t>
      </w:r>
      <w:r>
        <w:t>det. Den svake økningen i tilskuddet må derfor ses i sammenheng med økningen i inndelingstilsku</w:t>
      </w:r>
      <w:r>
        <w:t>d</w:t>
      </w:r>
      <w:r>
        <w:t>det. Se Grønt hefte for nærmere omtale av inndelingstilskuddet.</w:t>
      </w:r>
    </w:p>
    <w:p w:rsidR="00557A6F" w:rsidRDefault="00557A6F" w:rsidP="00557A6F">
      <w:pPr>
        <w:pStyle w:val="b-post"/>
      </w:pPr>
      <w:r>
        <w:t>Post 64 Skjønnstilskudd, kan nyttes under kap. 572, post 64</w:t>
      </w:r>
    </w:p>
    <w:p w:rsidR="00557A6F" w:rsidRDefault="00557A6F" w:rsidP="00557A6F">
      <w:r>
        <w:t>Kommunal- og moderniseringsdepartementet fordeler årlig en del av rammetilskuddet til komm</w:t>
      </w:r>
      <w:r>
        <w:t>u</w:t>
      </w:r>
      <w:r>
        <w:t>ner og fylkeskommuner etter skjønn. Formålet med skjønnstilskuddet er å kompensere kommuner og fylke</w:t>
      </w:r>
      <w:r>
        <w:t>s</w:t>
      </w:r>
      <w:r>
        <w:lastRenderedPageBreak/>
        <w:t>kommuner for lokale forhold som ikke fanges opp i den faste delen av inntektssystemet, og bidra til fo</w:t>
      </w:r>
      <w:r>
        <w:t>r</w:t>
      </w:r>
      <w:r>
        <w:t>nying og utvikling. Departementet fordeler skjønnstilskuddet til fylkeskommunene, og fastsetter tilskuddsrammer til hvert enkelt fylkesmannsembete for skjønnstildeling til komm</w:t>
      </w:r>
      <w:r>
        <w:t>u</w:t>
      </w:r>
      <w:r>
        <w:t>nene. Fylkesmannen fordeler tilskuddet til kommunene etter retningslinjer gitt av departementet. Skjønnstilskuddet til ko</w:t>
      </w:r>
      <w:r>
        <w:t>m</w:t>
      </w:r>
      <w:r>
        <w:t>muner og fylkeskommuner bevilges over henholdsvis kap. 571, post 64 og kap. 572, post 64.</w:t>
      </w:r>
    </w:p>
    <w:p w:rsidR="00557A6F" w:rsidRDefault="00557A6F" w:rsidP="00557A6F">
      <w:r>
        <w:t>Regjeringen foreslår en skjønnsramme for 2020 på 1 466 mill. kroner, hvorav 1 084 mill. kroner til kommunene og 382 mill. kroner til fylkeskommunene. Dette er en økning på 32 mill. kroner sa</w:t>
      </w:r>
      <w:r>
        <w:t>m</w:t>
      </w:r>
      <w:r>
        <w:t>menliknet med vedtak ved behandling av kommuneproposisjonen, jf. nærmere omtale av fylke</w:t>
      </w:r>
      <w:r>
        <w:t>s</w:t>
      </w:r>
      <w:r>
        <w:t>kommunenes basisramme. Det vises til kommuneproposisjonen for 2020 for nærmere omtale av skjønnsrammen 2020 og for rapportering om bruk av skjønnstilskudd i 2018.</w:t>
      </w:r>
    </w:p>
    <w:p w:rsidR="00557A6F" w:rsidRDefault="00557A6F" w:rsidP="00557A6F">
      <w:pPr>
        <w:pStyle w:val="avsnitt-tittel"/>
      </w:pPr>
      <w:r>
        <w:t>Kommunene</w:t>
      </w:r>
    </w:p>
    <w:p w:rsidR="00557A6F" w:rsidRDefault="00557A6F" w:rsidP="00557A6F">
      <w:r>
        <w:t>Regjeringen foreslår en bevilgning på 1 084 mill. kroner i 2020, som er en reduksjon på 153 mill. kroner sammenliknet med saldert budsjett for 2019.</w:t>
      </w:r>
    </w:p>
    <w:p w:rsidR="00557A6F" w:rsidRDefault="00557A6F" w:rsidP="00557A6F">
      <w:r>
        <w:t>Basisrammen for kommunene foreslås satt til 950 mill. kroner, som er en reduksjon på 50 mill. kroner sammenliknet med 2019. De frigjorte midlene tilbakeføres til kommunene gjennom in</w:t>
      </w:r>
      <w:r>
        <w:t>n</w:t>
      </w:r>
      <w:r>
        <w:t>byggertilskuddet, som sikrer en fordeling etter faste kriterier og gir større forutsigbarhet for ko</w:t>
      </w:r>
      <w:r>
        <w:t>m</w:t>
      </w:r>
      <w:r>
        <w:t>munene.</w:t>
      </w:r>
    </w:p>
    <w:p w:rsidR="00557A6F" w:rsidRDefault="00557A6F" w:rsidP="00557A6F">
      <w:r>
        <w:t>Det er fortsatt forskjeller i størrelsen på skjønnstilskuddet mellom fylkesmannsembetene, uten at dette er begrunnet i reelle behov. Basisrammen er derfor justert slik at forskjellene mellom fylke</w:t>
      </w:r>
      <w:r>
        <w:t>s</w:t>
      </w:r>
      <w:r>
        <w:t>mannsembetene blir mindre. Fylkesmannsembetene skal vurdere behovet for å tildele skjønnsmi</w:t>
      </w:r>
      <w:r>
        <w:t>d</w:t>
      </w:r>
      <w:r>
        <w:t>ler til kommuner som slår seg sammen, og som får tap på grunn av utilsiktede virkninger av in</w:t>
      </w:r>
      <w:r>
        <w:t>n</w:t>
      </w:r>
      <w:r>
        <w:t>tektssystemet. Det er derfor også tatt hensyn til antall kommunesammenslåinger ved fordeling av basisrammen. Fylkesmannsembetene har fordelt deler av basisrammen til kommunene. Fordelingen vises i Grønt hefte.</w:t>
      </w:r>
    </w:p>
    <w:p w:rsidR="00557A6F" w:rsidRDefault="00557A6F" w:rsidP="00557A6F">
      <w:r>
        <w:t>Fra og med 1. januar 2020 blir 119 kommuner slått sammen til 47 nye kommuner. I kommuner</w:t>
      </w:r>
      <w:r>
        <w:t>e</w:t>
      </w:r>
      <w:r>
        <w:t>formen ble det innført en rekke gode økonomiske ordninger for kommuner som vedtok å slå seg sammen, og noen av disse har kommunene fått allerede før sammenslåingen trer i kraft. For å legge til rette for gode overganger til en ny ko</w:t>
      </w:r>
      <w:r>
        <w:t>m</w:t>
      </w:r>
      <w:r>
        <w:t xml:space="preserve">mune blir det i 2020 gitt kompensasjon til kommuner som får utilsiktede virkninger i inntektssystemet som følge av sammenslåingen. </w:t>
      </w:r>
    </w:p>
    <w:p w:rsidR="00557A6F" w:rsidRDefault="00557A6F" w:rsidP="00557A6F">
      <w:r>
        <w:t>Innenfor basisrammen i 2020 skal fylkesmannsembetene prioritere kommuner som slår seg sa</w:t>
      </w:r>
      <w:r>
        <w:t>m</w:t>
      </w:r>
      <w:r>
        <w:t>men, og som får tap på grunn av utilsiktede virkninger av sammenslåingen i inntektssystemet, i sin fordeling av skjønnstilskudd. Kompensasjon for utilsiktede virkninger av en sammenslåing avgj</w:t>
      </w:r>
      <w:r>
        <w:t>ø</w:t>
      </w:r>
      <w:r>
        <w:t>res og fastsettes av fylkesmannen, og fina</w:t>
      </w:r>
      <w:r>
        <w:t>n</w:t>
      </w:r>
      <w:r>
        <w:t>sieres innenfor det enkelte embetes skjønnsramme. I tillegg legges det i 2020 opp til en egen kompensasjonsor</w:t>
      </w:r>
      <w:r>
        <w:t>d</w:t>
      </w:r>
      <w:r>
        <w:t xml:space="preserve">ning for kommuner som får en reduksjon i veksttilskuddet som følge av en sammenslåing. Det legges opp til at kommunene blir kompensert for 80 pst. av reduksjonen i 2020, 40 pst. i 2021 og at kompensasjonen avvikles fra 2022. Denne ordningen finansieres innenfor departementets tilbakeholdte skjønnstilskudd. </w:t>
      </w:r>
    </w:p>
    <w:p w:rsidR="00557A6F" w:rsidRDefault="00557A6F" w:rsidP="00557A6F">
      <w:r>
        <w:t>Av kommunenes skjønnstilskudd settes det av 120 mill. kroner til uforutsette hendelser, deriblant til kompensasjon etter naturskade. Erfaringer fra tidligere år viser at 120 mill. kroner er mer enn tilstrekkelig for å kompensere for uforutsette hendelser, inkludert naturskader. I perioden 2016 til og med 2018 er det i gjennomsnitt betalt ut i unde</w:t>
      </w:r>
      <w:r>
        <w:t>r</w:t>
      </w:r>
      <w:r>
        <w:t>kant av 40 mill. kroner årlig til kommuner og fylkeskommuner i kompens</w:t>
      </w:r>
      <w:r>
        <w:t>a</w:t>
      </w:r>
      <w:r>
        <w:t>sjon for naturskader.</w:t>
      </w:r>
    </w:p>
    <w:p w:rsidR="00557A6F" w:rsidRDefault="00557A6F" w:rsidP="00557A6F">
      <w:r>
        <w:t>Videre settes det av 14 mill. kroner innenfor kommunenes skjønnstilskudd til tilskudd til utvi</w:t>
      </w:r>
      <w:r>
        <w:t>k</w:t>
      </w:r>
      <w:r>
        <w:t>lings- og fornyingsprosjekter (prosjektskjønn). Prosjektskjønnet dekker også driftsutgifter og me</w:t>
      </w:r>
      <w:r>
        <w:t>d</w:t>
      </w:r>
      <w:r>
        <w:t>lemskontingent i Foreningen for god kommunal regnskapsskikk (GKRS), til sammen 540 000 kr</w:t>
      </w:r>
      <w:r>
        <w:t>o</w:t>
      </w:r>
      <w:r>
        <w:t>ner. For nærmere omtale av kriterier for tildeling av prosjektskjønnsmidler i 2020 vises det til kommuneproposisjonen for 2020.</w:t>
      </w:r>
    </w:p>
    <w:p w:rsidR="00557A6F" w:rsidRDefault="00557A6F" w:rsidP="00557A6F">
      <w:r>
        <w:t>I 2019 er det innenfor kommunenes skjønnstilskudd avsatt 71 mill. kroner i kompensasjon for bortfall av inntekter fra eiendomsskatt på produksjonsutstyr og installasjoner. I 2020 vil kompens</w:t>
      </w:r>
      <w:r>
        <w:t>a</w:t>
      </w:r>
      <w:r>
        <w:t>sjonen overf</w:t>
      </w:r>
      <w:r>
        <w:t>ø</w:t>
      </w:r>
      <w:r>
        <w:t>res til post 60 Innbyggertilskudd med en særskilt fordeling.</w:t>
      </w:r>
    </w:p>
    <w:p w:rsidR="00557A6F" w:rsidRDefault="00557A6F" w:rsidP="00557A6F">
      <w:pPr>
        <w:pStyle w:val="avsnitt-tittel"/>
      </w:pPr>
      <w:r>
        <w:lastRenderedPageBreak/>
        <w:t>Fylkeskommunene</w:t>
      </w:r>
    </w:p>
    <w:p w:rsidR="00557A6F" w:rsidRDefault="00557A6F" w:rsidP="00557A6F">
      <w:r>
        <w:t>Regjeringen foreslår en bevilgning på 382 mill. kroner i 2020, som er samme bevilgning som i sa</w:t>
      </w:r>
      <w:r>
        <w:t>l</w:t>
      </w:r>
      <w:r>
        <w:t>dert budsjett for 2019.</w:t>
      </w:r>
    </w:p>
    <w:p w:rsidR="00557A6F" w:rsidRDefault="00557A6F" w:rsidP="00557A6F">
      <w:r>
        <w:t>Fylkeskommunes basisramme settes til 332 mill. kroner. Dette er en økning på 32 mill. kroner sammenliknet med vedtak ved behandlingen av kommuneproposisjonen, og skyldes behovet for skjønnstilskudd ettersom fylke</w:t>
      </w:r>
      <w:r>
        <w:t>s</w:t>
      </w:r>
      <w:r>
        <w:t>kommunene står overfor fylkessammenslåing, nytt inntektssystem samt krevende miljøtilpasninger. Størrelsen på skjønnstilskuddet og fordelingen mellom fylke</w:t>
      </w:r>
      <w:r>
        <w:t>s</w:t>
      </w:r>
      <w:r>
        <w:t xml:space="preserve">kommunene vil vurderes årlig. </w:t>
      </w:r>
    </w:p>
    <w:p w:rsidR="00557A6F" w:rsidRDefault="00557A6F" w:rsidP="00557A6F">
      <w:r>
        <w:t>Fordelingen av skjønnstilskuddet mellom fylkene vises i Grønt hefte. I tillegg settes det av 50 mill. kroner til uforutsette hendelser, deriblant kompensasjon for naturskader.</w:t>
      </w:r>
    </w:p>
    <w:p w:rsidR="00557A6F" w:rsidRDefault="00557A6F" w:rsidP="00557A6F">
      <w:pPr>
        <w:pStyle w:val="b-post"/>
      </w:pPr>
      <w:r>
        <w:t>Post 65 Regionsentertilskudd</w:t>
      </w:r>
    </w:p>
    <w:p w:rsidR="00557A6F" w:rsidRDefault="00557A6F" w:rsidP="00557A6F">
      <w:r>
        <w:t>Regionsentertilskuddet tildeles kommuner der det ble fattet et nasjonalt vedtak om sammenslåing i p</w:t>
      </w:r>
      <w:r>
        <w:t>e</w:t>
      </w:r>
      <w:r>
        <w:t>rioden 2014–2017, og som etter sammenslåingen får over om lag 8 000 innbyggere. Tilskuddet tildeles med en sats per innbygger på 68 kroner og en sats per sammenslåing på 3,256 mill. kroner. 40 pst. av det samlede tilskuddet fordeles med en lik sats per innbygger, mens 60 pst. fordeles med en lik sats per sammenslåing. Kommuner som mottar storbytilskudd kan ikke motta regionsente</w:t>
      </w:r>
      <w:r>
        <w:t>r</w:t>
      </w:r>
      <w:r>
        <w:t xml:space="preserve">tilskudd. </w:t>
      </w:r>
    </w:p>
    <w:p w:rsidR="00557A6F" w:rsidRDefault="00557A6F" w:rsidP="00557A6F">
      <w:r>
        <w:t xml:space="preserve">Fra 2020 foreslås det at Drammen kommune mottar storbytilskudd, og kommunen vil derfor ikke lenger motta regionsentertilskudd. </w:t>
      </w:r>
    </w:p>
    <w:p w:rsidR="00557A6F" w:rsidRDefault="00557A6F" w:rsidP="00557A6F">
      <w:pPr>
        <w:pStyle w:val="avsnitt-tittel"/>
      </w:pPr>
      <w:r>
        <w:t>Budsjettforslag</w:t>
      </w:r>
    </w:p>
    <w:p w:rsidR="00557A6F" w:rsidRDefault="00557A6F" w:rsidP="00557A6F">
      <w:r>
        <w:t xml:space="preserve">Det foreslås at bevilgningen reduseres med 3,1 mill. kroner til 196,9 mill. kroner i 2020. </w:t>
      </w:r>
    </w:p>
    <w:p w:rsidR="00557A6F" w:rsidRDefault="00557A6F" w:rsidP="00557A6F">
      <w:pPr>
        <w:pStyle w:val="b-post"/>
      </w:pPr>
      <w:r>
        <w:t>Post 66 Veksttilskudd</w:t>
      </w:r>
    </w:p>
    <w:p w:rsidR="00557A6F" w:rsidRDefault="00557A6F" w:rsidP="00557A6F">
      <w:r>
        <w:t>Veksttilskudd gis til kommuner med særlig høy befolkningsvekst. For 2020 foreslås det at veks</w:t>
      </w:r>
      <w:r>
        <w:t>t</w:t>
      </w:r>
      <w:r>
        <w:t>tilskuddet gis til kommuner som gjennom den siste treårsperioden har hatt en gjennomsnittlig årlig befolkningsvekst som er høyere enn 1,4 pst. og skatteinntekter under 140 pst. av landsgjenno</w:t>
      </w:r>
      <w:r>
        <w:t>m</w:t>
      </w:r>
      <w:r>
        <w:t>snittet. Tilskuddet gis med en sats per innbygger over vekstgrensen. Satsen for veksttilskuddet f</w:t>
      </w:r>
      <w:r>
        <w:t>o</w:t>
      </w:r>
      <w:r>
        <w:t>reslås prisjustert og satt til 60 615 kroner i 2020.</w:t>
      </w:r>
    </w:p>
    <w:p w:rsidR="00557A6F" w:rsidRDefault="00557A6F" w:rsidP="00557A6F">
      <w:pPr>
        <w:pStyle w:val="avsnitt-tittel"/>
      </w:pPr>
      <w:r>
        <w:t>Budsjettforslag</w:t>
      </w:r>
    </w:p>
    <w:p w:rsidR="00557A6F" w:rsidRDefault="00557A6F" w:rsidP="00557A6F">
      <w:r>
        <w:t>Det foreslås at bevilgningen reduseres med 28 mill. kroner til 203,9 mill. kroner i 2020. Reduksj</w:t>
      </w:r>
      <w:r>
        <w:t>o</w:t>
      </w:r>
      <w:r>
        <w:t>nen skyldes blant annet at færre kommuner har hatt høy befolkningsvekst i perioden 2016–2019 enn i perioden 2015–2018. Noen kommuner som slår seg sammen får også en reduksjon i vekstti</w:t>
      </w:r>
      <w:r>
        <w:t>l</w:t>
      </w:r>
      <w:r>
        <w:t>skuddet som følge av sammenslåingen, og dette vil bli kompensert gjennom en egen kompens</w:t>
      </w:r>
      <w:r>
        <w:t>a</w:t>
      </w:r>
      <w:r>
        <w:t xml:space="preserve">sjonsordning innenfor skjønnstilskuddet. </w:t>
      </w:r>
    </w:p>
    <w:p w:rsidR="00557A6F" w:rsidRDefault="00557A6F" w:rsidP="00557A6F">
      <w:pPr>
        <w:pStyle w:val="b-post"/>
      </w:pPr>
      <w:r>
        <w:t>Post 67 Storbytilskudd</w:t>
      </w:r>
    </w:p>
    <w:p w:rsidR="00557A6F" w:rsidRDefault="00557A6F" w:rsidP="00557A6F">
      <w:r>
        <w:t>Storbytilskudd tildeles i 2020 til Oslo, Bergen, Trondheim, Stavanger og Kristiansand. Depart</w:t>
      </w:r>
      <w:r>
        <w:t>e</w:t>
      </w:r>
      <w:r>
        <w:t>mentet foreslår at Drammen kommune også mottar storbytilskudd fra 2020. Tilskuddet fordeles med en sats på 383 kroner per innbygger. Satsen er prisjustert.</w:t>
      </w:r>
    </w:p>
    <w:p w:rsidR="00557A6F" w:rsidRDefault="00557A6F" w:rsidP="00557A6F">
      <w:pPr>
        <w:pStyle w:val="avsnitt-tittel"/>
      </w:pPr>
      <w:r>
        <w:t>Budsjettforslag</w:t>
      </w:r>
    </w:p>
    <w:p w:rsidR="00557A6F" w:rsidRDefault="00557A6F" w:rsidP="00557A6F">
      <w:r>
        <w:t>Det foreslås at bevilgningen økes med 72,4 mill. kroner til 581,2 mill. kroner i 2020. Økningen skyldes at Drammen kommune er foreslått inkludert i tilskuddet fra 2020, samt at kommunene Stavanger, Kristiansand og Trondheim får økt innbyggertall som følge av kommunesammenslåin</w:t>
      </w:r>
      <w:r>
        <w:t>g</w:t>
      </w:r>
      <w:r>
        <w:t xml:space="preserve">er. </w:t>
      </w:r>
    </w:p>
    <w:p w:rsidR="00557A6F" w:rsidRDefault="00557A6F" w:rsidP="00557A6F">
      <w:pPr>
        <w:pStyle w:val="b-post"/>
      </w:pPr>
      <w:r>
        <w:t>Post 90 Forskudd på rammetilskudd</w:t>
      </w:r>
    </w:p>
    <w:p w:rsidR="00557A6F" w:rsidRDefault="00557A6F" w:rsidP="00557A6F">
      <w:r>
        <w:t>Skatteutjevningen i inntektssystemet omfordeler inntekter gjennom rammetilskuddet og blir a</w:t>
      </w:r>
      <w:r>
        <w:t>v</w:t>
      </w:r>
      <w:r>
        <w:t xml:space="preserve">regnet fortløpende basert på siste opplysninger om skatteinngangen. Siden endelig skatteinngang for 2020 ikke </w:t>
      </w:r>
      <w:r>
        <w:lastRenderedPageBreak/>
        <w:t>er kjent før i februar 2021, kan departementet i den løpende skatteutjevningen ha behov for å utbetale forskudd på rammetilskuddet for 2021 i 2020. I forslag til romertallsvedtak bes det om Stortingets samtykke til at det kan utbetales inntil 350 mill. kroner som forskudd på ramm</w:t>
      </w:r>
      <w:r>
        <w:t>e</w:t>
      </w:r>
      <w:r>
        <w:t>tilskudd til kommunene for 2021.</w:t>
      </w:r>
    </w:p>
    <w:p w:rsidR="00557A6F" w:rsidRDefault="00557A6F" w:rsidP="00557A6F">
      <w:pPr>
        <w:pStyle w:val="b-budkaptit"/>
      </w:pPr>
      <w:r>
        <w:t>Kap. 3571 Tilbakeføring av forskudd</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7A6F" w:rsidTr="00557A6F">
        <w:trPr>
          <w:trHeight w:val="640"/>
        </w:trPr>
        <w:tc>
          <w:tcPr>
            <w:tcW w:w="1140" w:type="dxa"/>
            <w:shd w:val="clear" w:color="auto" w:fill="FFFFFF"/>
          </w:tcPr>
          <w:p w:rsidR="00557A6F" w:rsidRDefault="00557A6F" w:rsidP="00557A6F">
            <w:pPr>
              <w:pStyle w:val="Tabellnavn"/>
            </w:pPr>
            <w:r>
              <w:t>KPAL</w:t>
            </w:r>
          </w:p>
        </w:tc>
        <w:tc>
          <w:tcPr>
            <w:tcW w:w="4560" w:type="dxa"/>
          </w:tcPr>
          <w:p w:rsidR="00557A6F" w:rsidRDefault="00557A6F" w:rsidP="00557A6F"/>
        </w:tc>
        <w:tc>
          <w:tcPr>
            <w:tcW w:w="1140" w:type="dxa"/>
          </w:tcPr>
          <w:p w:rsidR="00557A6F" w:rsidRDefault="00557A6F" w:rsidP="00557A6F">
            <w:pPr>
              <w:pStyle w:val="Tabellnavn"/>
              <w:jc w:val="right"/>
            </w:pPr>
          </w:p>
        </w:tc>
        <w:tc>
          <w:tcPr>
            <w:tcW w:w="1140" w:type="dxa"/>
          </w:tcPr>
          <w:p w:rsidR="00557A6F" w:rsidRDefault="00557A6F" w:rsidP="00557A6F">
            <w:pPr>
              <w:pStyle w:val="Tabellnavn"/>
              <w:jc w:val="right"/>
            </w:pPr>
          </w:p>
        </w:tc>
        <w:tc>
          <w:tcPr>
            <w:tcW w:w="1140" w:type="dxa"/>
          </w:tcPr>
          <w:p w:rsidR="00557A6F" w:rsidRDefault="00557A6F" w:rsidP="00557A6F">
            <w:pPr>
              <w:jc w:val="right"/>
            </w:pPr>
            <w:r>
              <w:t>(i 1 000 kr)</w:t>
            </w:r>
          </w:p>
        </w:tc>
      </w:tr>
      <w:tr w:rsidR="00557A6F" w:rsidTr="00557A6F">
        <w:trPr>
          <w:trHeight w:val="600"/>
        </w:trPr>
        <w:tc>
          <w:tcPr>
            <w:tcW w:w="1140" w:type="dxa"/>
          </w:tcPr>
          <w:p w:rsidR="00557A6F" w:rsidRDefault="00557A6F" w:rsidP="00557A6F">
            <w:r>
              <w:t>Post</w:t>
            </w:r>
          </w:p>
        </w:tc>
        <w:tc>
          <w:tcPr>
            <w:tcW w:w="4560" w:type="dxa"/>
          </w:tcPr>
          <w:p w:rsidR="00557A6F" w:rsidRDefault="00557A6F" w:rsidP="00557A6F">
            <w:r>
              <w:t>Betegnelse</w:t>
            </w:r>
          </w:p>
        </w:tc>
        <w:tc>
          <w:tcPr>
            <w:tcW w:w="1140" w:type="dxa"/>
          </w:tcPr>
          <w:p w:rsidR="00557A6F" w:rsidRDefault="00557A6F" w:rsidP="00557A6F">
            <w:pPr>
              <w:jc w:val="right"/>
            </w:pPr>
            <w:r>
              <w:t>Regnskap 2018</w:t>
            </w:r>
          </w:p>
        </w:tc>
        <w:tc>
          <w:tcPr>
            <w:tcW w:w="1140" w:type="dxa"/>
          </w:tcPr>
          <w:p w:rsidR="00557A6F" w:rsidRDefault="00557A6F" w:rsidP="00557A6F">
            <w:pPr>
              <w:jc w:val="right"/>
            </w:pPr>
            <w:r>
              <w:t xml:space="preserve">Saldert </w:t>
            </w:r>
            <w:r>
              <w:br/>
              <w:t>budsjett 2019</w:t>
            </w:r>
          </w:p>
        </w:tc>
        <w:tc>
          <w:tcPr>
            <w:tcW w:w="1140" w:type="dxa"/>
          </w:tcPr>
          <w:p w:rsidR="00557A6F" w:rsidRDefault="00557A6F" w:rsidP="00557A6F">
            <w:pPr>
              <w:jc w:val="right"/>
            </w:pPr>
            <w:r>
              <w:t xml:space="preserve">Forslag </w:t>
            </w:r>
            <w:r>
              <w:br/>
              <w:t>2020</w:t>
            </w:r>
          </w:p>
        </w:tc>
      </w:tr>
      <w:tr w:rsidR="00557A6F" w:rsidTr="00557A6F">
        <w:trPr>
          <w:trHeight w:val="380"/>
        </w:trPr>
        <w:tc>
          <w:tcPr>
            <w:tcW w:w="1140" w:type="dxa"/>
          </w:tcPr>
          <w:p w:rsidR="00557A6F" w:rsidRDefault="00557A6F" w:rsidP="00557A6F">
            <w:r>
              <w:t>90</w:t>
            </w:r>
          </w:p>
        </w:tc>
        <w:tc>
          <w:tcPr>
            <w:tcW w:w="4560" w:type="dxa"/>
          </w:tcPr>
          <w:p w:rsidR="00557A6F" w:rsidRDefault="00557A6F" w:rsidP="00557A6F">
            <w:r>
              <w:t xml:space="preserve">Tilbakeføring av forskudd </w:t>
            </w:r>
          </w:p>
        </w:tc>
        <w:tc>
          <w:tcPr>
            <w:tcW w:w="1140" w:type="dxa"/>
          </w:tcPr>
          <w:p w:rsidR="00557A6F" w:rsidRDefault="00557A6F" w:rsidP="00557A6F">
            <w:pPr>
              <w:jc w:val="right"/>
            </w:pPr>
            <w:r>
              <w:t>3 016</w:t>
            </w:r>
          </w:p>
        </w:tc>
        <w:tc>
          <w:tcPr>
            <w:tcW w:w="1140" w:type="dxa"/>
          </w:tcPr>
          <w:p w:rsidR="00557A6F" w:rsidRDefault="00557A6F" w:rsidP="00557A6F">
            <w:pPr>
              <w:jc w:val="right"/>
            </w:pPr>
          </w:p>
        </w:tc>
        <w:tc>
          <w:tcPr>
            <w:tcW w:w="1140" w:type="dxa"/>
          </w:tcPr>
          <w:p w:rsidR="00557A6F" w:rsidRDefault="00557A6F" w:rsidP="00557A6F">
            <w:pPr>
              <w:jc w:val="right"/>
            </w:pPr>
          </w:p>
        </w:tc>
      </w:tr>
      <w:tr w:rsidR="00557A6F" w:rsidTr="00557A6F">
        <w:trPr>
          <w:trHeight w:val="380"/>
        </w:trPr>
        <w:tc>
          <w:tcPr>
            <w:tcW w:w="1140" w:type="dxa"/>
          </w:tcPr>
          <w:p w:rsidR="00557A6F" w:rsidRDefault="00557A6F" w:rsidP="00557A6F"/>
        </w:tc>
        <w:tc>
          <w:tcPr>
            <w:tcW w:w="4560" w:type="dxa"/>
          </w:tcPr>
          <w:p w:rsidR="00557A6F" w:rsidRDefault="00557A6F" w:rsidP="00557A6F">
            <w:r>
              <w:t>Sum kap. 3571</w:t>
            </w:r>
          </w:p>
        </w:tc>
        <w:tc>
          <w:tcPr>
            <w:tcW w:w="1140" w:type="dxa"/>
          </w:tcPr>
          <w:p w:rsidR="00557A6F" w:rsidRDefault="00557A6F" w:rsidP="00557A6F">
            <w:pPr>
              <w:jc w:val="right"/>
            </w:pPr>
            <w:r>
              <w:t>3 016</w:t>
            </w:r>
          </w:p>
        </w:tc>
        <w:tc>
          <w:tcPr>
            <w:tcW w:w="1140" w:type="dxa"/>
          </w:tcPr>
          <w:p w:rsidR="00557A6F" w:rsidRDefault="00557A6F" w:rsidP="00557A6F">
            <w:pPr>
              <w:jc w:val="right"/>
            </w:pPr>
          </w:p>
        </w:tc>
        <w:tc>
          <w:tcPr>
            <w:tcW w:w="1140" w:type="dxa"/>
          </w:tcPr>
          <w:p w:rsidR="00557A6F" w:rsidRDefault="00557A6F" w:rsidP="00557A6F">
            <w:pPr>
              <w:jc w:val="right"/>
            </w:pPr>
          </w:p>
        </w:tc>
      </w:tr>
    </w:tbl>
    <w:p w:rsidR="00557A6F" w:rsidRDefault="00557A6F" w:rsidP="00557A6F">
      <w:pPr>
        <w:pStyle w:val="b-post"/>
      </w:pPr>
      <w:r>
        <w:t>Post 90 Tilbakeføring av forskudd</w:t>
      </w:r>
    </w:p>
    <w:p w:rsidR="00557A6F" w:rsidRDefault="00557A6F" w:rsidP="00557A6F">
      <w:r>
        <w:t>Ved behandlingen av Prop. 1 S (2018–2019) fikk Kommunal- og moderniseringsdepartementet fullmakt til å utbetale inntil 350 mill. kroner i forskudd i 2019 på rammetilskudd for 2020 til ko</w:t>
      </w:r>
      <w:r>
        <w:t>m</w:t>
      </w:r>
      <w:r>
        <w:t>muner, jf. Innst. 5 S (2018–2019). På grunn av usikkerhet knyttet til skatteinngangen og skatteu</w:t>
      </w:r>
      <w:r>
        <w:t>t</w:t>
      </w:r>
      <w:r>
        <w:t>jevningen for siste utbetalingstermin i 2019, er det på nåværende tidspunkt ikke mulig med sikke</w:t>
      </w:r>
      <w:r>
        <w:t>r</w:t>
      </w:r>
      <w:r>
        <w:t>het å angi størrelsen på utbetalt forskudd på rammetilskudd i 2019. Fram til oktober 2019 er det ikke utbetalt forskudd på rammetilsku</w:t>
      </w:r>
      <w:r>
        <w:t>d</w:t>
      </w:r>
      <w:r>
        <w:t>det. Det fremmes derfor ikke bevilgningsforslag for 2020.</w:t>
      </w:r>
    </w:p>
    <w:p w:rsidR="00557A6F" w:rsidRDefault="00557A6F" w:rsidP="00557A6F">
      <w:pPr>
        <w:pStyle w:val="b-budkaptit"/>
      </w:pPr>
      <w:r>
        <w:t>Kap. 572 Rammetilskudd til fylkeskommuner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7A6F" w:rsidTr="00557A6F">
        <w:trPr>
          <w:trHeight w:val="640"/>
        </w:trPr>
        <w:tc>
          <w:tcPr>
            <w:tcW w:w="1140" w:type="dxa"/>
            <w:shd w:val="clear" w:color="auto" w:fill="FFFFFF"/>
          </w:tcPr>
          <w:p w:rsidR="00557A6F" w:rsidRDefault="00557A6F" w:rsidP="00557A6F">
            <w:pPr>
              <w:pStyle w:val="Tabellnavn"/>
            </w:pPr>
            <w:r>
              <w:t>KPAL</w:t>
            </w:r>
          </w:p>
        </w:tc>
        <w:tc>
          <w:tcPr>
            <w:tcW w:w="4560" w:type="dxa"/>
          </w:tcPr>
          <w:p w:rsidR="00557A6F" w:rsidRDefault="00557A6F" w:rsidP="00557A6F"/>
        </w:tc>
        <w:tc>
          <w:tcPr>
            <w:tcW w:w="1140" w:type="dxa"/>
          </w:tcPr>
          <w:p w:rsidR="00557A6F" w:rsidRDefault="00557A6F" w:rsidP="00557A6F">
            <w:pPr>
              <w:pStyle w:val="Tabellnavn"/>
              <w:jc w:val="right"/>
            </w:pPr>
          </w:p>
        </w:tc>
        <w:tc>
          <w:tcPr>
            <w:tcW w:w="1140" w:type="dxa"/>
          </w:tcPr>
          <w:p w:rsidR="00557A6F" w:rsidRDefault="00557A6F" w:rsidP="00557A6F">
            <w:pPr>
              <w:pStyle w:val="Tabellnavn"/>
              <w:jc w:val="right"/>
            </w:pPr>
          </w:p>
        </w:tc>
        <w:tc>
          <w:tcPr>
            <w:tcW w:w="1140" w:type="dxa"/>
          </w:tcPr>
          <w:p w:rsidR="00557A6F" w:rsidRDefault="00557A6F" w:rsidP="00557A6F">
            <w:pPr>
              <w:jc w:val="right"/>
            </w:pPr>
            <w:r>
              <w:t>(i 1 000 kr)</w:t>
            </w:r>
          </w:p>
        </w:tc>
      </w:tr>
      <w:tr w:rsidR="00557A6F" w:rsidTr="00557A6F">
        <w:trPr>
          <w:trHeight w:val="600"/>
        </w:trPr>
        <w:tc>
          <w:tcPr>
            <w:tcW w:w="1140" w:type="dxa"/>
          </w:tcPr>
          <w:p w:rsidR="00557A6F" w:rsidRDefault="00557A6F" w:rsidP="00557A6F">
            <w:r>
              <w:t>Post</w:t>
            </w:r>
          </w:p>
        </w:tc>
        <w:tc>
          <w:tcPr>
            <w:tcW w:w="4560" w:type="dxa"/>
          </w:tcPr>
          <w:p w:rsidR="00557A6F" w:rsidRDefault="00557A6F" w:rsidP="00557A6F">
            <w:r>
              <w:t>Betegnelse</w:t>
            </w:r>
          </w:p>
        </w:tc>
        <w:tc>
          <w:tcPr>
            <w:tcW w:w="1140" w:type="dxa"/>
          </w:tcPr>
          <w:p w:rsidR="00557A6F" w:rsidRDefault="00557A6F" w:rsidP="00557A6F">
            <w:pPr>
              <w:jc w:val="right"/>
            </w:pPr>
            <w:r>
              <w:t>Regnskap 2018</w:t>
            </w:r>
          </w:p>
        </w:tc>
        <w:tc>
          <w:tcPr>
            <w:tcW w:w="1140" w:type="dxa"/>
          </w:tcPr>
          <w:p w:rsidR="00557A6F" w:rsidRDefault="00557A6F" w:rsidP="00557A6F">
            <w:pPr>
              <w:jc w:val="right"/>
            </w:pPr>
            <w:r>
              <w:t xml:space="preserve">Saldert </w:t>
            </w:r>
            <w:r>
              <w:br/>
              <w:t>budsjett 2019</w:t>
            </w:r>
          </w:p>
        </w:tc>
        <w:tc>
          <w:tcPr>
            <w:tcW w:w="1140" w:type="dxa"/>
          </w:tcPr>
          <w:p w:rsidR="00557A6F" w:rsidRDefault="00557A6F" w:rsidP="00557A6F">
            <w:pPr>
              <w:jc w:val="right"/>
            </w:pPr>
            <w:r>
              <w:t xml:space="preserve">Forslag </w:t>
            </w:r>
            <w:r>
              <w:br/>
              <w:t>2020</w:t>
            </w:r>
          </w:p>
        </w:tc>
      </w:tr>
      <w:tr w:rsidR="00557A6F" w:rsidTr="00557A6F">
        <w:trPr>
          <w:trHeight w:val="380"/>
        </w:trPr>
        <w:tc>
          <w:tcPr>
            <w:tcW w:w="1140" w:type="dxa"/>
          </w:tcPr>
          <w:p w:rsidR="00557A6F" w:rsidRDefault="00557A6F" w:rsidP="00557A6F">
            <w:r>
              <w:t>60</w:t>
            </w:r>
          </w:p>
        </w:tc>
        <w:tc>
          <w:tcPr>
            <w:tcW w:w="4560" w:type="dxa"/>
          </w:tcPr>
          <w:p w:rsidR="00557A6F" w:rsidRDefault="00557A6F" w:rsidP="00557A6F">
            <w:r>
              <w:t xml:space="preserve">Innbyggertilskudd </w:t>
            </w:r>
          </w:p>
        </w:tc>
        <w:tc>
          <w:tcPr>
            <w:tcW w:w="1140" w:type="dxa"/>
          </w:tcPr>
          <w:p w:rsidR="00557A6F" w:rsidRDefault="00557A6F" w:rsidP="00557A6F">
            <w:pPr>
              <w:jc w:val="right"/>
            </w:pPr>
            <w:r>
              <w:t>32 698 545</w:t>
            </w:r>
          </w:p>
        </w:tc>
        <w:tc>
          <w:tcPr>
            <w:tcW w:w="1140" w:type="dxa"/>
          </w:tcPr>
          <w:p w:rsidR="00557A6F" w:rsidRDefault="00557A6F" w:rsidP="00557A6F">
            <w:pPr>
              <w:jc w:val="right"/>
            </w:pPr>
            <w:r>
              <w:t>33 563 319</w:t>
            </w:r>
          </w:p>
        </w:tc>
        <w:tc>
          <w:tcPr>
            <w:tcW w:w="1140" w:type="dxa"/>
          </w:tcPr>
          <w:p w:rsidR="00557A6F" w:rsidRDefault="00557A6F" w:rsidP="00557A6F">
            <w:pPr>
              <w:jc w:val="right"/>
            </w:pPr>
            <w:r>
              <w:t>35 761 708</w:t>
            </w:r>
          </w:p>
        </w:tc>
      </w:tr>
      <w:tr w:rsidR="00557A6F" w:rsidTr="00557A6F">
        <w:trPr>
          <w:trHeight w:val="380"/>
        </w:trPr>
        <w:tc>
          <w:tcPr>
            <w:tcW w:w="1140" w:type="dxa"/>
          </w:tcPr>
          <w:p w:rsidR="00557A6F" w:rsidRDefault="00557A6F" w:rsidP="00557A6F">
            <w:r>
              <w:t>62</w:t>
            </w:r>
          </w:p>
        </w:tc>
        <w:tc>
          <w:tcPr>
            <w:tcW w:w="4560" w:type="dxa"/>
          </w:tcPr>
          <w:p w:rsidR="00557A6F" w:rsidRDefault="00557A6F" w:rsidP="00557A6F">
            <w:r>
              <w:t xml:space="preserve">Nord-Norge-tilskudd </w:t>
            </w:r>
          </w:p>
        </w:tc>
        <w:tc>
          <w:tcPr>
            <w:tcW w:w="1140" w:type="dxa"/>
          </w:tcPr>
          <w:p w:rsidR="00557A6F" w:rsidRDefault="00557A6F" w:rsidP="00557A6F">
            <w:pPr>
              <w:jc w:val="right"/>
            </w:pPr>
            <w:r>
              <w:t>655 923</w:t>
            </w:r>
          </w:p>
        </w:tc>
        <w:tc>
          <w:tcPr>
            <w:tcW w:w="1140" w:type="dxa"/>
          </w:tcPr>
          <w:p w:rsidR="00557A6F" w:rsidRDefault="00557A6F" w:rsidP="00557A6F">
            <w:pPr>
              <w:jc w:val="right"/>
            </w:pPr>
            <w:r>
              <w:t>676 012</w:t>
            </w:r>
          </w:p>
        </w:tc>
        <w:tc>
          <w:tcPr>
            <w:tcW w:w="1140" w:type="dxa"/>
          </w:tcPr>
          <w:p w:rsidR="00557A6F" w:rsidRDefault="00557A6F" w:rsidP="00557A6F">
            <w:pPr>
              <w:jc w:val="right"/>
            </w:pPr>
            <w:r>
              <w:t>697 702</w:t>
            </w:r>
          </w:p>
        </w:tc>
      </w:tr>
      <w:tr w:rsidR="00557A6F" w:rsidTr="00557A6F">
        <w:trPr>
          <w:trHeight w:val="380"/>
        </w:trPr>
        <w:tc>
          <w:tcPr>
            <w:tcW w:w="1140" w:type="dxa"/>
          </w:tcPr>
          <w:p w:rsidR="00557A6F" w:rsidRDefault="00557A6F" w:rsidP="00557A6F">
            <w:r>
              <w:t>64</w:t>
            </w:r>
          </w:p>
        </w:tc>
        <w:tc>
          <w:tcPr>
            <w:tcW w:w="4560" w:type="dxa"/>
          </w:tcPr>
          <w:p w:rsidR="00557A6F" w:rsidRDefault="00557A6F" w:rsidP="00557A6F">
            <w:r>
              <w:t>Skjønnstilskudd</w:t>
            </w:r>
            <w:r>
              <w:rPr>
                <w:rStyle w:val="kursiv"/>
                <w:sz w:val="21"/>
                <w:szCs w:val="21"/>
              </w:rPr>
              <w:t xml:space="preserve">, kan nyttes under kap. 571, post 64 </w:t>
            </w:r>
          </w:p>
        </w:tc>
        <w:tc>
          <w:tcPr>
            <w:tcW w:w="1140" w:type="dxa"/>
          </w:tcPr>
          <w:p w:rsidR="00557A6F" w:rsidRDefault="00557A6F" w:rsidP="00557A6F">
            <w:pPr>
              <w:jc w:val="right"/>
            </w:pPr>
            <w:r>
              <w:t>369 900</w:t>
            </w:r>
          </w:p>
        </w:tc>
        <w:tc>
          <w:tcPr>
            <w:tcW w:w="1140" w:type="dxa"/>
          </w:tcPr>
          <w:p w:rsidR="00557A6F" w:rsidRDefault="00557A6F" w:rsidP="00557A6F">
            <w:pPr>
              <w:jc w:val="right"/>
            </w:pPr>
            <w:r>
              <w:t>382 000</w:t>
            </w:r>
          </w:p>
        </w:tc>
        <w:tc>
          <w:tcPr>
            <w:tcW w:w="1140" w:type="dxa"/>
          </w:tcPr>
          <w:p w:rsidR="00557A6F" w:rsidRDefault="00557A6F" w:rsidP="00557A6F">
            <w:pPr>
              <w:jc w:val="right"/>
            </w:pPr>
            <w:r>
              <w:t>382 000</w:t>
            </w:r>
          </w:p>
        </w:tc>
      </w:tr>
      <w:tr w:rsidR="00557A6F" w:rsidTr="00557A6F">
        <w:trPr>
          <w:trHeight w:val="380"/>
        </w:trPr>
        <w:tc>
          <w:tcPr>
            <w:tcW w:w="1140" w:type="dxa"/>
          </w:tcPr>
          <w:p w:rsidR="00557A6F" w:rsidRDefault="00557A6F" w:rsidP="00557A6F"/>
        </w:tc>
        <w:tc>
          <w:tcPr>
            <w:tcW w:w="4560" w:type="dxa"/>
          </w:tcPr>
          <w:p w:rsidR="00557A6F" w:rsidRDefault="00557A6F" w:rsidP="00557A6F">
            <w:r>
              <w:t>Sum kap. 0572</w:t>
            </w:r>
          </w:p>
        </w:tc>
        <w:tc>
          <w:tcPr>
            <w:tcW w:w="1140" w:type="dxa"/>
          </w:tcPr>
          <w:p w:rsidR="00557A6F" w:rsidRDefault="00557A6F" w:rsidP="00557A6F">
            <w:pPr>
              <w:jc w:val="right"/>
            </w:pPr>
            <w:r>
              <w:t>33 724 368</w:t>
            </w:r>
          </w:p>
        </w:tc>
        <w:tc>
          <w:tcPr>
            <w:tcW w:w="1140" w:type="dxa"/>
          </w:tcPr>
          <w:p w:rsidR="00557A6F" w:rsidRDefault="00557A6F" w:rsidP="00557A6F">
            <w:pPr>
              <w:jc w:val="right"/>
            </w:pPr>
            <w:r>
              <w:t>34 621 331</w:t>
            </w:r>
          </w:p>
        </w:tc>
        <w:tc>
          <w:tcPr>
            <w:tcW w:w="1140" w:type="dxa"/>
          </w:tcPr>
          <w:p w:rsidR="00557A6F" w:rsidRDefault="00557A6F" w:rsidP="00557A6F">
            <w:pPr>
              <w:jc w:val="right"/>
            </w:pPr>
            <w:r>
              <w:t>36 841 410</w:t>
            </w:r>
          </w:p>
        </w:tc>
      </w:tr>
    </w:tbl>
    <w:p w:rsidR="00557A6F" w:rsidRDefault="00557A6F" w:rsidP="00557A6F">
      <w:pPr>
        <w:pStyle w:val="tabell-noter"/>
      </w:pPr>
      <w:r>
        <w:t>Vedrørende 2019: Ved Stortingets vedtak av 21. juni 2019 ble post 60 økt med 56 mill. kroner til 33 619,3 mill. kroner, jf. Prop. 114 S og Innst. 391 S (2018–2019).</w:t>
      </w:r>
    </w:p>
    <w:p w:rsidR="00557A6F" w:rsidRDefault="00557A6F" w:rsidP="00557A6F">
      <w:pPr>
        <w:pStyle w:val="b-post"/>
      </w:pPr>
      <w:r>
        <w:t>Post 60 Innbyggertilskudd</w:t>
      </w:r>
    </w:p>
    <w:p w:rsidR="00557A6F" w:rsidRDefault="00557A6F" w:rsidP="00557A6F">
      <w:r>
        <w:t>Hoveddelen av rammetilskuddet fordeles gjennom innbyggertilskuddet. Innbyggertilskuddet fo</w:t>
      </w:r>
      <w:r>
        <w:t>r</w:t>
      </w:r>
      <w:r>
        <w:t>deles i utgangspunktet med et likt beløp per innbygger, før det omfordeles gjennom utgiftsutje</w:t>
      </w:r>
      <w:r>
        <w:t>v</w:t>
      </w:r>
      <w:r>
        <w:t>ningen, overgangsordningen og korreksjonsordningen for elever i statlige og private skoler. Se B</w:t>
      </w:r>
      <w:r>
        <w:t>e</w:t>
      </w:r>
      <w:r>
        <w:t>rekningsteknisk dokumentasjon til Prop. 1 S (2019–2020) Grønt hefte for nærmere omtale av in</w:t>
      </w:r>
      <w:r>
        <w:t>n</w:t>
      </w:r>
      <w:r>
        <w:t>byggertilskuddet.</w:t>
      </w:r>
    </w:p>
    <w:p w:rsidR="00557A6F" w:rsidRDefault="00557A6F" w:rsidP="00557A6F">
      <w:r>
        <w:lastRenderedPageBreak/>
        <w:t>Regjeringen la i kommuneproposisjonen for 2020 fram forslag til ny kostnadsnøkkel i utgiftsutje</w:t>
      </w:r>
      <w:r>
        <w:t>v</w:t>
      </w:r>
      <w:r>
        <w:t xml:space="preserve">ningen for fylkeskommunene, med virkning fra 2020. Stortinget sluttet seg til forslagene, jf. Innst. 405 S (2018–2019). For nærmere omtale av endringene vises det til Prop. 113 S (2018–2019) </w:t>
      </w:r>
      <w:r>
        <w:rPr>
          <w:rStyle w:val="kursiv"/>
          <w:sz w:val="21"/>
          <w:szCs w:val="21"/>
        </w:rPr>
        <w:t>Kommunepropos</w:t>
      </w:r>
      <w:r>
        <w:rPr>
          <w:rStyle w:val="kursiv"/>
          <w:sz w:val="21"/>
          <w:szCs w:val="21"/>
        </w:rPr>
        <w:t>i</w:t>
      </w:r>
      <w:r>
        <w:rPr>
          <w:rStyle w:val="kursiv"/>
          <w:sz w:val="21"/>
          <w:szCs w:val="21"/>
        </w:rPr>
        <w:t>sjonen 2020</w:t>
      </w:r>
      <w:r>
        <w:t xml:space="preserve">. </w:t>
      </w:r>
    </w:p>
    <w:p w:rsidR="00557A6F" w:rsidRDefault="00557A6F" w:rsidP="00557A6F">
      <w:r>
        <w:t>Som varslet i kommuneproposisjonen foreslås det at dagens kompensasjon for endringer i in</w:t>
      </w:r>
      <w:r>
        <w:t>n</w:t>
      </w:r>
      <w:r>
        <w:t>tektssystemet omfordeles til en ny kompensasjonsordning. Den nye kompensasjonen utgjør 335 mill. kroner og gis med en særskilt fordeling innenfor innbyggertilskuddet. Kompensasjonen er fordelt i tråd med prinsippene som ble foreslått i kommuneproposisjonen, og tar utgangspunkt i de endelige fordelingsvirkningene beregnet til statsbudsjettet for 2020. Kompensasjonen sikrer at ingen fylkeskommuner får en nedgang i rammetilskudd på mer enn om lag 70 kroner per innbygger som følge av endringene i kos</w:t>
      </w:r>
      <w:r>
        <w:t>t</w:t>
      </w:r>
      <w:r>
        <w:t>nadsnøkkelen, avviklingen av dagens kompensasjonsordning og omfordeling av midler som tidligere ble gitt med særskilt fordeling. Det foreslås at kompensasj</w:t>
      </w:r>
      <w:r>
        <w:t>o</w:t>
      </w:r>
      <w:r>
        <w:t>nen ligger fast på nominelt nivå så lenge fylkeskommunene står i en omstilling som følge av r</w:t>
      </w:r>
      <w:r>
        <w:t>e</w:t>
      </w:r>
      <w:r>
        <w:t xml:space="preserve">gionreformen. </w:t>
      </w:r>
    </w:p>
    <w:p w:rsidR="00557A6F" w:rsidRDefault="00557A6F" w:rsidP="00557A6F">
      <w:r>
        <w:t>Det foreslås videre en overgangsordning innenfor innbyggertilskuddet, der fordelingsvirkningene etter omford</w:t>
      </w:r>
      <w:r>
        <w:t>e</w:t>
      </w:r>
      <w:r>
        <w:t>lingen av kompensasjonsordningen fases inn over fire år.</w:t>
      </w:r>
    </w:p>
    <w:p w:rsidR="00557A6F" w:rsidRDefault="00557A6F" w:rsidP="00557A6F">
      <w:pPr>
        <w:pStyle w:val="avsnitt-tittel"/>
      </w:pPr>
      <w:r>
        <w:t>Budsjettforslag</w:t>
      </w:r>
    </w:p>
    <w:p w:rsidR="00557A6F" w:rsidRDefault="00557A6F" w:rsidP="00557A6F">
      <w:r>
        <w:t>Det foreslås at bevilgningen økes med 2 198,4 mill. kroner til 35 761,7 mill. kroner i 2020.</w:t>
      </w:r>
    </w:p>
    <w:p w:rsidR="00557A6F" w:rsidRDefault="00557A6F" w:rsidP="00557A6F">
      <w:pPr>
        <w:pStyle w:val="avsnitt-tittel"/>
      </w:pPr>
      <w:r>
        <w:t>Anmodningsvedtak nr. 88, 3. desember 2018</w:t>
      </w:r>
    </w:p>
    <w:p w:rsidR="00557A6F" w:rsidRDefault="00557A6F" w:rsidP="00557A6F">
      <w:r>
        <w:t>Det vises til omtale av følgende vedtak i del I, pkt. 4:</w:t>
      </w:r>
    </w:p>
    <w:p w:rsidR="00557A6F" w:rsidRDefault="00557A6F" w:rsidP="00557A6F">
      <w:pPr>
        <w:pStyle w:val="blokksit"/>
      </w:pPr>
      <w:r>
        <w:t>«Stortinget ber regjeringen foreslå mulige endringer av fergeavløsningsordningen slik at kapita</w:t>
      </w:r>
      <w:r>
        <w:t>l</w:t>
      </w:r>
      <w:r>
        <w:t>kostnader i mer fleksibel grad enn i dag kan dekkes av staten for fylkesveisamband.»</w:t>
      </w:r>
    </w:p>
    <w:p w:rsidR="00557A6F" w:rsidRDefault="00557A6F" w:rsidP="00557A6F">
      <w:r>
        <w:t>Vedtaket ble truffet ved behandling av Prop. 1 S (2018–2019), jf. Innst. 2 S (2018–2019).</w:t>
      </w:r>
    </w:p>
    <w:p w:rsidR="00557A6F" w:rsidRDefault="00557A6F" w:rsidP="00557A6F">
      <w:r>
        <w:t>Ferjeavløsningsordningen ble presentert for Stortinget i forbindelse med kommuneproposisjonen for 2016, jf. Prop. 121 S (2014–2015), og inngår som en del av inntektssystemet for fylkesko</w:t>
      </w:r>
      <w:r>
        <w:t>m</w:t>
      </w:r>
      <w:r>
        <w:t>munene. Retningslinjer for ferjeavløsningsordningen ble fastsatt av Kommunal- og modernis</w:t>
      </w:r>
      <w:r>
        <w:t>e</w:t>
      </w:r>
      <w:r>
        <w:t>ringsdepartementet og Samferdselsdepartementet 22. februar 2016, og presentert i kommuneprop</w:t>
      </w:r>
      <w:r>
        <w:t>o</w:t>
      </w:r>
      <w:r>
        <w:t>sisjonen for 2017, jf. Prop. 123 S (2015–2016). Oppdaterte retningslinjer ble presentert i komm</w:t>
      </w:r>
      <w:r>
        <w:t>u</w:t>
      </w:r>
      <w:r>
        <w:t>neproposisjonen for 2018, jf. Prop. 128 S (2016–2017). Retningslinjene er sist revidert 10. nove</w:t>
      </w:r>
      <w:r>
        <w:t>m</w:t>
      </w:r>
      <w:r>
        <w:t>ber 2017. Retningslinjene ble lagt ut på regjeringen.no, og fylkeskommunene ble orie</w:t>
      </w:r>
      <w:r>
        <w:t>n</w:t>
      </w:r>
      <w:r>
        <w:t>tert om den siste revisjonen i eget brev.</w:t>
      </w:r>
    </w:p>
    <w:p w:rsidR="00557A6F" w:rsidRDefault="00557A6F" w:rsidP="00557A6F">
      <w:r>
        <w:t>Et ferjeavløsningsprosjekt innebærer at det blir bygget et nytt veisamband, det vil si en bro eller undersjøisk tunnel, som erstatter eller innkorter et ferjesamband. Gjennom ferjeavløsningsor</w:t>
      </w:r>
      <w:r>
        <w:t>d</w:t>
      </w:r>
      <w:r>
        <w:t>ningen kan fylkeskommunene delfinansiere slike prosjekter med midlene de ville fått for ferjesa</w:t>
      </w:r>
      <w:r>
        <w:t>m</w:t>
      </w:r>
      <w:r>
        <w:t>bandet gjennom utgiftsutjevningen i inntektssystemet. Samlet beløp som kan dekkes med ferjea</w:t>
      </w:r>
      <w:r>
        <w:t>v</w:t>
      </w:r>
      <w:r>
        <w:t>løsningsmidler beregnes i dag med utgangspunkt i byggekostnaden, eksklusive renteutgifter, me</w:t>
      </w:r>
      <w:r>
        <w:t>r</w:t>
      </w:r>
      <w:r>
        <w:t>verdiavgiftskompensasjon og eventuelle bompengeinntekter. Dette beløpet fastsettes i forbindelse med behandling av endelig søknad fra fylkeskommunen.</w:t>
      </w:r>
    </w:p>
    <w:p w:rsidR="00557A6F" w:rsidRDefault="00557A6F" w:rsidP="00557A6F">
      <w:r>
        <w:t>Ferjeavløsningsmidler blir utbetalt som en del av rammetilskuddet til fylkeskommunene. Årlig beløp i ferjeavløsningsmidler beregnes ut ifra reduksjon i rammetilskuddet når et veiprosjekt e</w:t>
      </w:r>
      <w:r>
        <w:t>r</w:t>
      </w:r>
      <w:r>
        <w:t>statter eller korter inn på et fe</w:t>
      </w:r>
      <w:r>
        <w:t>r</w:t>
      </w:r>
      <w:r>
        <w:t>jesamband, det vil si det reduserte tilskuddet gjennom ferjenøkkelen, justert for tilskudd grunnet nytt veinett. Dette beløpet ligger fast i hele utbetalingsperioden, men gis en årlig prisjustering på 2,5 pst. Det årlige beløpet utbetales til den nominelle byggekostnaden fr</w:t>
      </w:r>
      <w:r>
        <w:t>a</w:t>
      </w:r>
      <w:r>
        <w:t>trukket rentekostnader, merverdiavgiftskompensasjon og event</w:t>
      </w:r>
      <w:r>
        <w:t>u</w:t>
      </w:r>
      <w:r>
        <w:t>elle bompengeinntekter er nådd, eller i maksimalt 40 år.</w:t>
      </w:r>
    </w:p>
    <w:p w:rsidR="00557A6F" w:rsidRDefault="00557A6F" w:rsidP="00557A6F">
      <w:r>
        <w:t>Ved behandlingen av kommuneproposisjonen for 2019, jf. Prop. 88 S og Innst. 393 S (2017–2018), fattet Stortinget anmodningsvedtak nr. 931, 13. juni 2018, der regjeringen ble bedt om å endre fe</w:t>
      </w:r>
      <w:r>
        <w:t>r</w:t>
      </w:r>
      <w:r>
        <w:t>jeavløsningsordningen slik at også kapitalkostnader kan dekkes av ordningen. Som et svar på Sto</w:t>
      </w:r>
      <w:r>
        <w:t>r</w:t>
      </w:r>
      <w:r>
        <w:t>tingets anmodningsvedtak foreslo departementet i Prop. 1 S (2018–2019) en utvidelse av ferjea</w:t>
      </w:r>
      <w:r>
        <w:t>v</w:t>
      </w:r>
      <w:r>
        <w:t>løsningsordningen til å dekke inntil 30 pst. av rentekostnadene knyttet til byggekostnaden, ekskl</w:t>
      </w:r>
      <w:r>
        <w:t>u</w:t>
      </w:r>
      <w:r>
        <w:t>sive merverdiavgiftskom</w:t>
      </w:r>
      <w:r>
        <w:lastRenderedPageBreak/>
        <w:t>pensasjon og eventuelle bompengein</w:t>
      </w:r>
      <w:r>
        <w:t>n</w:t>
      </w:r>
      <w:r>
        <w:t>tekter. Videre ble det foreslått en delvis dekning av rentekostnader ved å øke antall år med utbetaling av ferjeavløsningsmidler, fremdeles begrenset til maksimalt 40 år. Det årlige beløpet med ferjeavløsningsmidler holdes fast, noe som sikrer at ferjeavløsningsmidlene ikke blir høyere enn årlig netto reduksjon i rammeti</w:t>
      </w:r>
      <w:r>
        <w:t>l</w:t>
      </w:r>
      <w:r>
        <w:t>skuddet ved å avløse eller korte inn på et ferjesamband.</w:t>
      </w:r>
    </w:p>
    <w:p w:rsidR="00557A6F" w:rsidRDefault="00557A6F" w:rsidP="00557A6F">
      <w:r>
        <w:t>Kommunal- og forvaltningskomiteen kommenterte ikke departementets forslag da statsbudsjettet ble behandlet, men Stortinget fattet anmodningsvedtak nr. 88.</w:t>
      </w:r>
    </w:p>
    <w:p w:rsidR="00557A6F" w:rsidRDefault="00557A6F" w:rsidP="00557A6F">
      <w:r>
        <w:t>Ferjeavløsningsordningen finansieres innenfor rammetilskuddet til fylkeskommunene, og ved en utvidelse av ordningen må bidraget fra de øvrige fylkeskommunene økes ytterligere. En fylke</w:t>
      </w:r>
      <w:r>
        <w:t>s</w:t>
      </w:r>
      <w:r>
        <w:t>kommunal medfinansiering av ferjeavløsningsprosjekter vil også bidra til at samfunnsnyttige pr</w:t>
      </w:r>
      <w:r>
        <w:t>o</w:t>
      </w:r>
      <w:r>
        <w:t>sjekter og en effektiv ressursbruk prioriteres. Ferjeavløsningsordningen er allerede en svært god ordning for fylkeskommuner som benytter seg av den. Den enkelte fylkeskommune bør, på linje med andre fylkeskommunale investeringsprosjekter, bidra med egne midler for å dekke renteutgi</w:t>
      </w:r>
      <w:r>
        <w:t>f</w:t>
      </w:r>
      <w:r>
        <w:t>ter knyttet til egne låneopptak. Dette taler for at finansiering gjennom rammetilskuddet fortsatt b</w:t>
      </w:r>
      <w:r>
        <w:t>e</w:t>
      </w:r>
      <w:r>
        <w:t xml:space="preserve">grenses. </w:t>
      </w:r>
    </w:p>
    <w:p w:rsidR="00557A6F" w:rsidRDefault="00557A6F" w:rsidP="00557A6F">
      <w:r>
        <w:t>På bakgrunn av dette foreslår departementet en utvidelse av ferjeavløsningsordningen til å dekke inntil 50 pst. av rentekostnadene knyttet til byggekostnaden, eksklusive merverdiavgiftskompens</w:t>
      </w:r>
      <w:r>
        <w:t>a</w:t>
      </w:r>
      <w:r>
        <w:t>sjon og eventuelle bompeng</w:t>
      </w:r>
      <w:r>
        <w:t>e</w:t>
      </w:r>
      <w:r>
        <w:t>inntekter. Delvis dekning av rentekostnader gjøres, som foreslått i Prop. 1 (2018–2019), ved å øke antall år med utbetaling av ferjeavløsningsmidler. Departementet foreslår i tillegg at utbetalingen begrenses til maksimalt 45 år i stedet for 40 år. Årlig beløp i ferj</w:t>
      </w:r>
      <w:r>
        <w:t>e</w:t>
      </w:r>
      <w:r>
        <w:t>avløsningsmidler beregnes, som i dag, ut ifra netto reduksjon i rammeti</w:t>
      </w:r>
      <w:r>
        <w:t>l</w:t>
      </w:r>
      <w:r>
        <w:t>skuddet når et veiprosjekt erstatter eller korter inn på et ferjesamband. Beløpet ligger fast i hele utbetalingsperi</w:t>
      </w:r>
      <w:r>
        <w:t>o</w:t>
      </w:r>
      <w:r>
        <w:t>den, men gis en årlig prisjustering på 2,5 pst. Det årlige beløpet utbetales til den nominelle byggekostnaden fr</w:t>
      </w:r>
      <w:r>
        <w:t>a</w:t>
      </w:r>
      <w:r>
        <w:t>trukket merverdiavgiftskompensasjon og eventuelle bompengeinntekter, og inklusive 50 pst. av rentekostnader er nådd, eller i maksimalt 45 år.</w:t>
      </w:r>
    </w:p>
    <w:p w:rsidR="00557A6F" w:rsidRDefault="00557A6F" w:rsidP="00557A6F">
      <w:r>
        <w:t>Departementet foreslår at rentekostnadene som skal dekkes innenfor ferjeavløsningsordningen b</w:t>
      </w:r>
      <w:r>
        <w:t>a</w:t>
      </w:r>
      <w:r>
        <w:t>seres på en b</w:t>
      </w:r>
      <w:r>
        <w:t>e</w:t>
      </w:r>
      <w:r>
        <w:t>regnet størrelse når endelig søknad om ferjeavløsningsprosjektet foreligger. Dette sikrer at alle ferjeavløsning</w:t>
      </w:r>
      <w:r>
        <w:t>s</w:t>
      </w:r>
      <w:r>
        <w:t>prosjekter behandles likt, uavhengig av fylkeskommunenes faktiske låneavtaler og rentebetingelser. Det foreslås videre at det benyttes et flytende rentenivå. Dette gjør at den samlede utbetalingen av ferjeavløsningsmidler ikke vil være kjent når endelig søknad b</w:t>
      </w:r>
      <w:r>
        <w:t>e</w:t>
      </w:r>
      <w:r>
        <w:t>handles, men det gir mindre risiko for fylkeskommunene for at ferjeavlø</w:t>
      </w:r>
      <w:r>
        <w:t>s</w:t>
      </w:r>
      <w:r>
        <w:t>ningsmidlene ikke dekker den gitte andelen av rentekostn</w:t>
      </w:r>
      <w:r>
        <w:t>a</w:t>
      </w:r>
      <w:r>
        <w:t>dene.</w:t>
      </w:r>
    </w:p>
    <w:p w:rsidR="00557A6F" w:rsidRDefault="00557A6F" w:rsidP="00557A6F">
      <w:r>
        <w:t>Beregning av rentekostnader foreslås gjort på samme måte som foreslått i Prop. 1 S (2018–2019), det vil si en gitt referanserente som oppdateres årlig, tilsvarende retningslinjene for beregning av selvkost av kommunale tjene</w:t>
      </w:r>
      <w:r>
        <w:t>s</w:t>
      </w:r>
      <w:r>
        <w:t xml:space="preserve">ter. </w:t>
      </w:r>
    </w:p>
    <w:p w:rsidR="00557A6F" w:rsidRDefault="00557A6F" w:rsidP="00557A6F">
      <w:r>
        <w:t>Departementet anser med dette at anmodningsvedtaket er fulgt opp.</w:t>
      </w:r>
    </w:p>
    <w:p w:rsidR="00557A6F" w:rsidRDefault="00557A6F" w:rsidP="00557A6F">
      <w:pPr>
        <w:pStyle w:val="b-post"/>
      </w:pPr>
      <w:r>
        <w:t>Post 62 Nord-Norge-tilskudd</w:t>
      </w:r>
    </w:p>
    <w:p w:rsidR="00557A6F" w:rsidRDefault="00557A6F" w:rsidP="00557A6F">
      <w:r>
        <w:t xml:space="preserve">Tilskuddet blir utbetalt med et kronebeløp per innbygger til fylkeskommunene i Nord-Norge, jf. tabell 6.19. Satsene for 2019 er prisjustert. Som varslet i Prop. 113 S (2018–2019) foreslås det at satsen for Troms og Finnmark fylkeskommune justeres slik at den nye fylkeskommunen mottar det samme i Nord-Norge-tilskudd som de tidligere fylkeskommunene ellers ville mottatt hver for seg. </w:t>
      </w:r>
    </w:p>
    <w:p w:rsidR="00557A6F" w:rsidRDefault="00557A6F" w:rsidP="00557A6F">
      <w:pPr>
        <w:pStyle w:val="avsnitt-tittel"/>
      </w:pPr>
      <w:r>
        <w:t>Budsjettforslag</w:t>
      </w:r>
    </w:p>
    <w:p w:rsidR="00557A6F" w:rsidRDefault="00557A6F" w:rsidP="00557A6F">
      <w:r>
        <w:t>Det foreslås at bevilgningen økes med 21,7 mill. kroner til 697,7 mill. kroner i 2020.</w:t>
      </w:r>
    </w:p>
    <w:p w:rsidR="009017E2" w:rsidRDefault="009017E2" w:rsidP="009017E2">
      <w:pPr>
        <w:pStyle w:val="tabell-tittel"/>
      </w:pPr>
      <w:r>
        <w:t>Satser for Nord-Norge-tilskudd 2020</w:t>
      </w:r>
    </w:p>
    <w:p w:rsidR="00557A6F" w:rsidRDefault="00557A6F" w:rsidP="00557A6F">
      <w:pPr>
        <w:pStyle w:val="Tabellnavn"/>
      </w:pPr>
      <w:r>
        <w:t>02J1xt2</w:t>
      </w:r>
    </w:p>
    <w:tbl>
      <w:tblPr>
        <w:tblStyle w:val="StandardTabell"/>
        <w:tblW w:w="0" w:type="auto"/>
        <w:tblLayout w:type="fixed"/>
        <w:tblLook w:val="04A0" w:firstRow="1" w:lastRow="0" w:firstColumn="1" w:lastColumn="0" w:noHBand="0" w:noVBand="1"/>
      </w:tblPr>
      <w:tblGrid>
        <w:gridCol w:w="7360"/>
        <w:gridCol w:w="1840"/>
      </w:tblGrid>
      <w:tr w:rsidR="00557A6F" w:rsidTr="009017E2">
        <w:trPr>
          <w:trHeight w:val="360"/>
        </w:trPr>
        <w:tc>
          <w:tcPr>
            <w:tcW w:w="7360" w:type="dxa"/>
            <w:shd w:val="clear" w:color="auto" w:fill="FFFFFF"/>
          </w:tcPr>
          <w:p w:rsidR="00557A6F" w:rsidRDefault="00557A6F" w:rsidP="009017E2">
            <w:r>
              <w:t>Fylkeskommune</w:t>
            </w:r>
          </w:p>
        </w:tc>
        <w:tc>
          <w:tcPr>
            <w:tcW w:w="1840" w:type="dxa"/>
          </w:tcPr>
          <w:p w:rsidR="00557A6F" w:rsidRDefault="00557A6F" w:rsidP="009017E2">
            <w:pPr>
              <w:jc w:val="right"/>
            </w:pPr>
            <w:r>
              <w:t>Kroner per in</w:t>
            </w:r>
            <w:r>
              <w:t>n</w:t>
            </w:r>
            <w:r>
              <w:t>bygger</w:t>
            </w:r>
          </w:p>
        </w:tc>
      </w:tr>
      <w:tr w:rsidR="00557A6F" w:rsidTr="009017E2">
        <w:trPr>
          <w:trHeight w:val="380"/>
        </w:trPr>
        <w:tc>
          <w:tcPr>
            <w:tcW w:w="7360" w:type="dxa"/>
          </w:tcPr>
          <w:p w:rsidR="00557A6F" w:rsidRDefault="00557A6F" w:rsidP="009017E2">
            <w:r>
              <w:t>Nordland</w:t>
            </w:r>
          </w:p>
        </w:tc>
        <w:tc>
          <w:tcPr>
            <w:tcW w:w="1840" w:type="dxa"/>
          </w:tcPr>
          <w:p w:rsidR="00557A6F" w:rsidRDefault="00557A6F" w:rsidP="009017E2">
            <w:pPr>
              <w:jc w:val="right"/>
            </w:pPr>
            <w:r>
              <w:t>1 264</w:t>
            </w:r>
          </w:p>
        </w:tc>
      </w:tr>
      <w:tr w:rsidR="00557A6F" w:rsidTr="009017E2">
        <w:trPr>
          <w:trHeight w:val="380"/>
        </w:trPr>
        <w:tc>
          <w:tcPr>
            <w:tcW w:w="7360" w:type="dxa"/>
          </w:tcPr>
          <w:p w:rsidR="00557A6F" w:rsidRDefault="00557A6F" w:rsidP="009017E2">
            <w:r>
              <w:t>Troms og Finnmark</w:t>
            </w:r>
          </w:p>
        </w:tc>
        <w:tc>
          <w:tcPr>
            <w:tcW w:w="1840" w:type="dxa"/>
          </w:tcPr>
          <w:p w:rsidR="00557A6F" w:rsidRDefault="00557A6F" w:rsidP="009017E2">
            <w:pPr>
              <w:jc w:val="right"/>
            </w:pPr>
            <w:r>
              <w:t>1 603</w:t>
            </w:r>
          </w:p>
        </w:tc>
      </w:tr>
    </w:tbl>
    <w:p w:rsidR="00557A6F" w:rsidRDefault="00557A6F" w:rsidP="00557A6F">
      <w:pPr>
        <w:pStyle w:val="b-post"/>
      </w:pPr>
      <w:r>
        <w:t>Post 64 Skjønnstilskudd, kan nyttes under kap. 571, post 64</w:t>
      </w:r>
    </w:p>
    <w:p w:rsidR="00557A6F" w:rsidRDefault="00557A6F" w:rsidP="00557A6F">
      <w:r>
        <w:t>Den samlede fordelingen av skjønnstilskudd til kommuner og fylkeskommuner er beskrevet under kap. 571, post 64 Skjønnstilskudd.</w:t>
      </w:r>
    </w:p>
    <w:p w:rsidR="00557A6F" w:rsidRDefault="00557A6F" w:rsidP="00557A6F">
      <w:r>
        <w:t>Det foreslås en bevilgning til skjønnstilskudd til fylkeskommunene på 382 mill. kroner. Dette er en økning på 32 mill. kroner sammenliknet med vedtak ved behandlingen av kommuneproposisjonen, jf. nærmere omtale u</w:t>
      </w:r>
      <w:r>
        <w:t>n</w:t>
      </w:r>
      <w:r>
        <w:t>der kap. 571, post 64.</w:t>
      </w:r>
    </w:p>
    <w:p w:rsidR="00557A6F" w:rsidRDefault="00557A6F" w:rsidP="00557A6F">
      <w:pPr>
        <w:pStyle w:val="b-post"/>
      </w:pPr>
      <w:r>
        <w:t>Post 90 Forskudd på rammetilskudd</w:t>
      </w:r>
    </w:p>
    <w:p w:rsidR="00557A6F" w:rsidRDefault="00557A6F" w:rsidP="00557A6F">
      <w:r>
        <w:t>Skatteutjevningen i inntektssystemet omfordeler inntekter gjennom rammetilskuddet og blir a</w:t>
      </w:r>
      <w:r>
        <w:t>v</w:t>
      </w:r>
      <w:r>
        <w:t>regnet fortløpende basert på siste opplysninger om skatteinngangen. Siden endelig skatteinngang for 2020 ikke er kjent før i februar 2021, kan departementet i den løpende skatteutjevningen ha behov for å u</w:t>
      </w:r>
      <w:r>
        <w:t>t</w:t>
      </w:r>
      <w:r>
        <w:t>betale forskudd på rammetilskuddet for 2021 i 2020. I forslag til romertallsvedtak bes det om Stortin</w:t>
      </w:r>
      <w:r>
        <w:t>g</w:t>
      </w:r>
      <w:r>
        <w:t>ets samtykke til at det kan utbetales inntil 150 mill. kroner i 2020 som forskudd på rammetilskudd til fylkeskommunene for 2021.</w:t>
      </w:r>
    </w:p>
    <w:p w:rsidR="00557A6F" w:rsidRDefault="00557A6F" w:rsidP="00557A6F">
      <w:pPr>
        <w:pStyle w:val="b-budkaptit"/>
      </w:pPr>
      <w:r>
        <w:t>Kap. 3572 Tilbakeføring av forskudd</w:t>
      </w:r>
    </w:p>
    <w:p w:rsidR="00557A6F" w:rsidRDefault="00557A6F" w:rsidP="00557A6F">
      <w:pPr>
        <w:pStyle w:val="b-post"/>
      </w:pPr>
      <w:r>
        <w:t>Post 90 Tilbakeføring av forskudd</w:t>
      </w:r>
    </w:p>
    <w:p w:rsidR="00557A6F" w:rsidRDefault="00557A6F" w:rsidP="00557A6F">
      <w:r>
        <w:t>Ved behandlingen av Prop. 1 S (2018–2019) fikk Kommunal- og moderniseringsdepartementet fullmakt til å utbetale inntil 150 mill. kroner i forskudd i 2019 på rammetilskudd for 2020 til fy</w:t>
      </w:r>
      <w:r>
        <w:t>l</w:t>
      </w:r>
      <w:r>
        <w:t>keskommuner, jf. Innst. 5 S (2018–2019). Fram til oktober 2019 er det ikke utbetalt forskudd på rammetilskuddet. Det fremmes derfor ikke bevilgningsforslag for 2020.</w:t>
      </w:r>
    </w:p>
    <w:p w:rsidR="00557A6F" w:rsidRDefault="00557A6F" w:rsidP="00557A6F">
      <w:pPr>
        <w:pStyle w:val="Undertittel"/>
      </w:pPr>
      <w:r>
        <w:t>Tilskudd gjennom inntektssystemet i 2019 og 2020</w:t>
      </w:r>
    </w:p>
    <w:p w:rsidR="00557A6F" w:rsidRDefault="00557A6F" w:rsidP="00557A6F">
      <w:r>
        <w:t>Tabell 6.20 gir en oversikt over tilskudd på kapittel og post gjennom inntektssystemet for komm</w:t>
      </w:r>
      <w:r>
        <w:t>u</w:t>
      </w:r>
      <w:r>
        <w:t>ner og fylkeskommuner i 2019 og 2020. Anslag på regnskap 2019 tilsvarer vedtatt bevilgning for 2019 ved framle</w:t>
      </w:r>
      <w:r>
        <w:t>g</w:t>
      </w:r>
      <w:r>
        <w:t>gelsen av denne proposisjonen. I korrigert anslag på regnskap 2019 er det tatt hensyn til endringer fra 2019 til 2020 i oppgavefordelingen mellom forvaltningsnivåene, regelen</w:t>
      </w:r>
      <w:r>
        <w:t>d</w:t>
      </w:r>
      <w:r>
        <w:t>ringer, innlemming av øremerkede ti</w:t>
      </w:r>
      <w:r>
        <w:t>l</w:t>
      </w:r>
      <w:r>
        <w:t>skudd mv. Det gjør tallene for 2019 og 2020 sammenliknbare. Se tabell 6.21 med tilhørende omtale av ko</w:t>
      </w:r>
      <w:r>
        <w:t>r</w:t>
      </w:r>
      <w:r>
        <w:t>reksjonene.</w:t>
      </w:r>
    </w:p>
    <w:p w:rsidR="009017E2" w:rsidRDefault="009017E2" w:rsidP="009017E2">
      <w:pPr>
        <w:pStyle w:val="tabell-tittel"/>
      </w:pPr>
      <w:r>
        <w:t>Tilskudd gjennom inntektssystemet i 2019 og 2020</w:t>
      </w:r>
    </w:p>
    <w:p w:rsidR="00557A6F" w:rsidRDefault="00557A6F" w:rsidP="00557A6F">
      <w:pPr>
        <w:pStyle w:val="Tabellnavn"/>
      </w:pPr>
      <w:r>
        <w:t>08J2xt2</w:t>
      </w:r>
    </w:p>
    <w:tbl>
      <w:tblPr>
        <w:tblStyle w:val="StandardTabell"/>
        <w:tblW w:w="0" w:type="auto"/>
        <w:tblLayout w:type="fixed"/>
        <w:tblLook w:val="04A0" w:firstRow="1" w:lastRow="0" w:firstColumn="1" w:lastColumn="0" w:noHBand="0" w:noVBand="1"/>
      </w:tblPr>
      <w:tblGrid>
        <w:gridCol w:w="500"/>
        <w:gridCol w:w="500"/>
        <w:gridCol w:w="2640"/>
        <w:gridCol w:w="1240"/>
        <w:gridCol w:w="1240"/>
        <w:gridCol w:w="1260"/>
        <w:gridCol w:w="1060"/>
        <w:gridCol w:w="1100"/>
      </w:tblGrid>
      <w:tr w:rsidR="00557A6F" w:rsidTr="009017E2">
        <w:trPr>
          <w:trHeight w:val="360"/>
        </w:trPr>
        <w:tc>
          <w:tcPr>
            <w:tcW w:w="500" w:type="dxa"/>
            <w:shd w:val="clear" w:color="auto" w:fill="FFFFFF"/>
          </w:tcPr>
          <w:p w:rsidR="00557A6F" w:rsidRDefault="00557A6F" w:rsidP="00557A6F"/>
        </w:tc>
        <w:tc>
          <w:tcPr>
            <w:tcW w:w="500" w:type="dxa"/>
          </w:tcPr>
          <w:p w:rsidR="00557A6F" w:rsidRDefault="00557A6F" w:rsidP="00557A6F"/>
        </w:tc>
        <w:tc>
          <w:tcPr>
            <w:tcW w:w="2640" w:type="dxa"/>
          </w:tcPr>
          <w:p w:rsidR="00557A6F" w:rsidRDefault="00557A6F" w:rsidP="00557A6F"/>
        </w:tc>
        <w:tc>
          <w:tcPr>
            <w:tcW w:w="5900" w:type="dxa"/>
            <w:gridSpan w:val="5"/>
          </w:tcPr>
          <w:p w:rsidR="00557A6F" w:rsidRDefault="00557A6F" w:rsidP="009017E2">
            <w:pPr>
              <w:jc w:val="right"/>
            </w:pPr>
            <w:r>
              <w:t>(nominelle priser i 1 000 kroner)</w:t>
            </w:r>
          </w:p>
        </w:tc>
      </w:tr>
      <w:tr w:rsidR="00557A6F" w:rsidTr="009017E2">
        <w:trPr>
          <w:trHeight w:val="1120"/>
        </w:trPr>
        <w:tc>
          <w:tcPr>
            <w:tcW w:w="500" w:type="dxa"/>
          </w:tcPr>
          <w:p w:rsidR="00557A6F" w:rsidRDefault="00557A6F" w:rsidP="00557A6F">
            <w:r>
              <w:t>Kap.</w:t>
            </w:r>
          </w:p>
        </w:tc>
        <w:tc>
          <w:tcPr>
            <w:tcW w:w="500" w:type="dxa"/>
          </w:tcPr>
          <w:p w:rsidR="00557A6F" w:rsidRDefault="00557A6F" w:rsidP="00557A6F">
            <w:r>
              <w:t>Post</w:t>
            </w:r>
          </w:p>
        </w:tc>
        <w:tc>
          <w:tcPr>
            <w:tcW w:w="2640" w:type="dxa"/>
          </w:tcPr>
          <w:p w:rsidR="00557A6F" w:rsidRDefault="00557A6F" w:rsidP="00557A6F"/>
        </w:tc>
        <w:tc>
          <w:tcPr>
            <w:tcW w:w="1240" w:type="dxa"/>
          </w:tcPr>
          <w:p w:rsidR="00557A6F" w:rsidRDefault="00557A6F" w:rsidP="009017E2">
            <w:pPr>
              <w:jc w:val="right"/>
            </w:pPr>
            <w:r>
              <w:t>Anslag på regnskap 2019</w:t>
            </w:r>
          </w:p>
        </w:tc>
        <w:tc>
          <w:tcPr>
            <w:tcW w:w="1240" w:type="dxa"/>
          </w:tcPr>
          <w:p w:rsidR="00557A6F" w:rsidRDefault="00557A6F" w:rsidP="009017E2">
            <w:pPr>
              <w:jc w:val="right"/>
            </w:pPr>
            <w:r>
              <w:t xml:space="preserve">Korrigert </w:t>
            </w:r>
            <w:r>
              <w:br/>
              <w:t>anslag på regnskap 2019</w:t>
            </w:r>
          </w:p>
        </w:tc>
        <w:tc>
          <w:tcPr>
            <w:tcW w:w="1260" w:type="dxa"/>
          </w:tcPr>
          <w:p w:rsidR="00557A6F" w:rsidRDefault="00557A6F" w:rsidP="009017E2">
            <w:pPr>
              <w:jc w:val="right"/>
            </w:pPr>
            <w:r>
              <w:t xml:space="preserve">Forslag </w:t>
            </w:r>
            <w:r>
              <w:br/>
              <w:t>2020</w:t>
            </w:r>
          </w:p>
        </w:tc>
        <w:tc>
          <w:tcPr>
            <w:tcW w:w="1060" w:type="dxa"/>
          </w:tcPr>
          <w:p w:rsidR="00557A6F" w:rsidRDefault="00557A6F" w:rsidP="009017E2">
            <w:pPr>
              <w:jc w:val="right"/>
            </w:pPr>
            <w:r>
              <w:t xml:space="preserve">Faktisk vekst </w:t>
            </w:r>
            <w:r>
              <w:br/>
              <w:t>2019–2020</w:t>
            </w:r>
          </w:p>
          <w:p w:rsidR="00557A6F" w:rsidRDefault="00557A6F" w:rsidP="009017E2">
            <w:pPr>
              <w:jc w:val="right"/>
            </w:pPr>
            <w:r>
              <w:t>(pst.)</w:t>
            </w:r>
          </w:p>
        </w:tc>
        <w:tc>
          <w:tcPr>
            <w:tcW w:w="1100" w:type="dxa"/>
          </w:tcPr>
          <w:p w:rsidR="00557A6F" w:rsidRDefault="00557A6F" w:rsidP="009017E2">
            <w:pPr>
              <w:jc w:val="right"/>
            </w:pPr>
            <w:r>
              <w:t xml:space="preserve">Korrigert vekst </w:t>
            </w:r>
            <w:r>
              <w:br/>
              <w:t>2019–2020</w:t>
            </w:r>
          </w:p>
          <w:p w:rsidR="00557A6F" w:rsidRDefault="00557A6F" w:rsidP="009017E2">
            <w:pPr>
              <w:jc w:val="right"/>
            </w:pPr>
            <w:r>
              <w:t>(pst.)</w:t>
            </w:r>
          </w:p>
        </w:tc>
      </w:tr>
      <w:tr w:rsidR="00557A6F" w:rsidTr="009017E2">
        <w:trPr>
          <w:trHeight w:val="380"/>
        </w:trPr>
        <w:tc>
          <w:tcPr>
            <w:tcW w:w="500" w:type="dxa"/>
          </w:tcPr>
          <w:p w:rsidR="00557A6F" w:rsidRDefault="00557A6F" w:rsidP="00557A6F">
            <w:r>
              <w:t>571</w:t>
            </w:r>
          </w:p>
        </w:tc>
        <w:tc>
          <w:tcPr>
            <w:tcW w:w="500" w:type="dxa"/>
          </w:tcPr>
          <w:p w:rsidR="00557A6F" w:rsidRDefault="00557A6F" w:rsidP="00557A6F">
            <w:r>
              <w:t>60</w:t>
            </w:r>
          </w:p>
        </w:tc>
        <w:tc>
          <w:tcPr>
            <w:tcW w:w="2640" w:type="dxa"/>
          </w:tcPr>
          <w:p w:rsidR="00557A6F" w:rsidRDefault="00557A6F" w:rsidP="00557A6F">
            <w:r>
              <w:t>Innbyggertilskudd</w:t>
            </w:r>
          </w:p>
        </w:tc>
        <w:tc>
          <w:tcPr>
            <w:tcW w:w="1240" w:type="dxa"/>
          </w:tcPr>
          <w:p w:rsidR="00557A6F" w:rsidRDefault="00557A6F" w:rsidP="009017E2">
            <w:pPr>
              <w:jc w:val="right"/>
            </w:pPr>
            <w:r>
              <w:t>131 751 689</w:t>
            </w:r>
          </w:p>
        </w:tc>
        <w:tc>
          <w:tcPr>
            <w:tcW w:w="1240" w:type="dxa"/>
          </w:tcPr>
          <w:p w:rsidR="00557A6F" w:rsidRDefault="00557A6F" w:rsidP="009017E2">
            <w:pPr>
              <w:jc w:val="right"/>
            </w:pPr>
            <w:r>
              <w:t>133 552 281</w:t>
            </w:r>
          </w:p>
        </w:tc>
        <w:tc>
          <w:tcPr>
            <w:tcW w:w="1260" w:type="dxa"/>
          </w:tcPr>
          <w:p w:rsidR="00557A6F" w:rsidRDefault="00557A6F" w:rsidP="009017E2">
            <w:pPr>
              <w:jc w:val="right"/>
            </w:pPr>
            <w:r>
              <w:t>137 050 768</w:t>
            </w:r>
          </w:p>
        </w:tc>
        <w:tc>
          <w:tcPr>
            <w:tcW w:w="1060" w:type="dxa"/>
          </w:tcPr>
          <w:p w:rsidR="00557A6F" w:rsidRDefault="00557A6F" w:rsidP="009017E2">
            <w:pPr>
              <w:jc w:val="right"/>
            </w:pPr>
            <w:r>
              <w:t>4,0</w:t>
            </w:r>
          </w:p>
        </w:tc>
        <w:tc>
          <w:tcPr>
            <w:tcW w:w="1100" w:type="dxa"/>
          </w:tcPr>
          <w:p w:rsidR="00557A6F" w:rsidRDefault="00557A6F" w:rsidP="009017E2">
            <w:pPr>
              <w:jc w:val="right"/>
            </w:pPr>
            <w:r>
              <w:t>2,6</w:t>
            </w:r>
          </w:p>
        </w:tc>
      </w:tr>
      <w:tr w:rsidR="00557A6F" w:rsidTr="009017E2">
        <w:trPr>
          <w:trHeight w:val="380"/>
        </w:trPr>
        <w:tc>
          <w:tcPr>
            <w:tcW w:w="500" w:type="dxa"/>
          </w:tcPr>
          <w:p w:rsidR="00557A6F" w:rsidRDefault="00557A6F" w:rsidP="00557A6F">
            <w:r>
              <w:t>571</w:t>
            </w:r>
          </w:p>
        </w:tc>
        <w:tc>
          <w:tcPr>
            <w:tcW w:w="500" w:type="dxa"/>
          </w:tcPr>
          <w:p w:rsidR="00557A6F" w:rsidRDefault="00557A6F" w:rsidP="00557A6F">
            <w:r>
              <w:t>61</w:t>
            </w:r>
          </w:p>
        </w:tc>
        <w:tc>
          <w:tcPr>
            <w:tcW w:w="2640" w:type="dxa"/>
          </w:tcPr>
          <w:p w:rsidR="00557A6F" w:rsidRDefault="00557A6F" w:rsidP="00557A6F">
            <w:r>
              <w:t>Distriktstilskudd Sør-Norge</w:t>
            </w:r>
          </w:p>
        </w:tc>
        <w:tc>
          <w:tcPr>
            <w:tcW w:w="1240" w:type="dxa"/>
          </w:tcPr>
          <w:p w:rsidR="00557A6F" w:rsidRDefault="00557A6F" w:rsidP="009017E2">
            <w:pPr>
              <w:jc w:val="right"/>
            </w:pPr>
            <w:r>
              <w:t>860 407</w:t>
            </w:r>
          </w:p>
        </w:tc>
        <w:tc>
          <w:tcPr>
            <w:tcW w:w="1240" w:type="dxa"/>
          </w:tcPr>
          <w:p w:rsidR="00557A6F" w:rsidRDefault="00557A6F" w:rsidP="009017E2">
            <w:pPr>
              <w:jc w:val="right"/>
            </w:pPr>
            <w:r>
              <w:t>860 407</w:t>
            </w:r>
          </w:p>
        </w:tc>
        <w:tc>
          <w:tcPr>
            <w:tcW w:w="1260" w:type="dxa"/>
          </w:tcPr>
          <w:p w:rsidR="00557A6F" w:rsidRDefault="00557A6F" w:rsidP="009017E2">
            <w:pPr>
              <w:jc w:val="right"/>
            </w:pPr>
            <w:r>
              <w:t>785 079</w:t>
            </w:r>
          </w:p>
        </w:tc>
        <w:tc>
          <w:tcPr>
            <w:tcW w:w="1060" w:type="dxa"/>
          </w:tcPr>
          <w:p w:rsidR="00557A6F" w:rsidRDefault="00557A6F" w:rsidP="009017E2">
            <w:pPr>
              <w:jc w:val="right"/>
            </w:pPr>
            <w:r>
              <w:t>-8,8</w:t>
            </w:r>
          </w:p>
        </w:tc>
        <w:tc>
          <w:tcPr>
            <w:tcW w:w="1100" w:type="dxa"/>
          </w:tcPr>
          <w:p w:rsidR="00557A6F" w:rsidRDefault="00557A6F" w:rsidP="009017E2">
            <w:pPr>
              <w:jc w:val="right"/>
            </w:pPr>
            <w:r>
              <w:t>-8,8</w:t>
            </w:r>
          </w:p>
        </w:tc>
      </w:tr>
      <w:tr w:rsidR="00557A6F" w:rsidTr="009017E2">
        <w:trPr>
          <w:trHeight w:val="640"/>
        </w:trPr>
        <w:tc>
          <w:tcPr>
            <w:tcW w:w="500" w:type="dxa"/>
          </w:tcPr>
          <w:p w:rsidR="00557A6F" w:rsidRDefault="00557A6F" w:rsidP="00557A6F">
            <w:r>
              <w:t>571</w:t>
            </w:r>
          </w:p>
        </w:tc>
        <w:tc>
          <w:tcPr>
            <w:tcW w:w="500" w:type="dxa"/>
          </w:tcPr>
          <w:p w:rsidR="00557A6F" w:rsidRDefault="00557A6F" w:rsidP="00557A6F">
            <w:r>
              <w:t>62</w:t>
            </w:r>
          </w:p>
        </w:tc>
        <w:tc>
          <w:tcPr>
            <w:tcW w:w="2640" w:type="dxa"/>
          </w:tcPr>
          <w:p w:rsidR="00557A6F" w:rsidRDefault="00557A6F" w:rsidP="00557A6F">
            <w:r>
              <w:t>Distriktstilskudd Nord-Norge</w:t>
            </w:r>
          </w:p>
        </w:tc>
        <w:tc>
          <w:tcPr>
            <w:tcW w:w="1240" w:type="dxa"/>
          </w:tcPr>
          <w:p w:rsidR="00557A6F" w:rsidRDefault="00557A6F" w:rsidP="009017E2">
            <w:pPr>
              <w:jc w:val="right"/>
            </w:pPr>
            <w:r>
              <w:t>2 199 842</w:t>
            </w:r>
          </w:p>
        </w:tc>
        <w:tc>
          <w:tcPr>
            <w:tcW w:w="1240" w:type="dxa"/>
          </w:tcPr>
          <w:p w:rsidR="00557A6F" w:rsidRDefault="00557A6F" w:rsidP="009017E2">
            <w:pPr>
              <w:jc w:val="right"/>
            </w:pPr>
            <w:r>
              <w:t>2 199 842</w:t>
            </w:r>
          </w:p>
        </w:tc>
        <w:tc>
          <w:tcPr>
            <w:tcW w:w="1260" w:type="dxa"/>
          </w:tcPr>
          <w:p w:rsidR="00557A6F" w:rsidRDefault="00557A6F" w:rsidP="009017E2">
            <w:pPr>
              <w:jc w:val="right"/>
            </w:pPr>
            <w:r>
              <w:t>2 204 969</w:t>
            </w:r>
          </w:p>
        </w:tc>
        <w:tc>
          <w:tcPr>
            <w:tcW w:w="1060" w:type="dxa"/>
          </w:tcPr>
          <w:p w:rsidR="00557A6F" w:rsidRDefault="00557A6F" w:rsidP="009017E2">
            <w:pPr>
              <w:jc w:val="right"/>
            </w:pPr>
            <w:r>
              <w:t>0,2</w:t>
            </w:r>
          </w:p>
        </w:tc>
        <w:tc>
          <w:tcPr>
            <w:tcW w:w="1100" w:type="dxa"/>
          </w:tcPr>
          <w:p w:rsidR="00557A6F" w:rsidRDefault="00557A6F" w:rsidP="009017E2">
            <w:pPr>
              <w:jc w:val="right"/>
            </w:pPr>
            <w:r>
              <w:t>0,2</w:t>
            </w:r>
          </w:p>
        </w:tc>
      </w:tr>
      <w:tr w:rsidR="00557A6F" w:rsidTr="009017E2">
        <w:trPr>
          <w:trHeight w:val="380"/>
        </w:trPr>
        <w:tc>
          <w:tcPr>
            <w:tcW w:w="500" w:type="dxa"/>
          </w:tcPr>
          <w:p w:rsidR="00557A6F" w:rsidRDefault="00557A6F" w:rsidP="00557A6F">
            <w:r>
              <w:t>571</w:t>
            </w:r>
          </w:p>
        </w:tc>
        <w:tc>
          <w:tcPr>
            <w:tcW w:w="500" w:type="dxa"/>
          </w:tcPr>
          <w:p w:rsidR="00557A6F" w:rsidRDefault="00557A6F" w:rsidP="00557A6F">
            <w:r>
              <w:t>64</w:t>
            </w:r>
          </w:p>
        </w:tc>
        <w:tc>
          <w:tcPr>
            <w:tcW w:w="2640" w:type="dxa"/>
          </w:tcPr>
          <w:p w:rsidR="00557A6F" w:rsidRDefault="00557A6F" w:rsidP="00557A6F">
            <w:r>
              <w:t>Skjønnstilskudd</w:t>
            </w:r>
          </w:p>
        </w:tc>
        <w:tc>
          <w:tcPr>
            <w:tcW w:w="1240" w:type="dxa"/>
          </w:tcPr>
          <w:p w:rsidR="00557A6F" w:rsidRDefault="00557A6F" w:rsidP="009017E2">
            <w:pPr>
              <w:jc w:val="right"/>
            </w:pPr>
            <w:r>
              <w:t>1 237 000</w:t>
            </w:r>
          </w:p>
        </w:tc>
        <w:tc>
          <w:tcPr>
            <w:tcW w:w="1240" w:type="dxa"/>
          </w:tcPr>
          <w:p w:rsidR="00557A6F" w:rsidRDefault="00557A6F" w:rsidP="009017E2">
            <w:pPr>
              <w:jc w:val="right"/>
            </w:pPr>
            <w:r>
              <w:t>1 166 000</w:t>
            </w:r>
          </w:p>
        </w:tc>
        <w:tc>
          <w:tcPr>
            <w:tcW w:w="1260" w:type="dxa"/>
          </w:tcPr>
          <w:p w:rsidR="00557A6F" w:rsidRDefault="00557A6F" w:rsidP="009017E2">
            <w:pPr>
              <w:jc w:val="right"/>
            </w:pPr>
            <w:r>
              <w:t>1 084 000</w:t>
            </w:r>
          </w:p>
        </w:tc>
        <w:tc>
          <w:tcPr>
            <w:tcW w:w="1060" w:type="dxa"/>
          </w:tcPr>
          <w:p w:rsidR="00557A6F" w:rsidRDefault="00557A6F" w:rsidP="009017E2">
            <w:pPr>
              <w:jc w:val="right"/>
            </w:pPr>
            <w:r>
              <w:t>-12,4</w:t>
            </w:r>
          </w:p>
        </w:tc>
        <w:tc>
          <w:tcPr>
            <w:tcW w:w="1100" w:type="dxa"/>
          </w:tcPr>
          <w:p w:rsidR="00557A6F" w:rsidRDefault="00557A6F" w:rsidP="009017E2">
            <w:pPr>
              <w:jc w:val="right"/>
            </w:pPr>
            <w:r>
              <w:t>-7,0</w:t>
            </w:r>
          </w:p>
        </w:tc>
      </w:tr>
      <w:tr w:rsidR="00557A6F" w:rsidTr="009017E2">
        <w:trPr>
          <w:trHeight w:val="380"/>
        </w:trPr>
        <w:tc>
          <w:tcPr>
            <w:tcW w:w="500" w:type="dxa"/>
          </w:tcPr>
          <w:p w:rsidR="00557A6F" w:rsidRDefault="00557A6F" w:rsidP="00557A6F">
            <w:r>
              <w:t>571</w:t>
            </w:r>
          </w:p>
        </w:tc>
        <w:tc>
          <w:tcPr>
            <w:tcW w:w="500" w:type="dxa"/>
          </w:tcPr>
          <w:p w:rsidR="00557A6F" w:rsidRDefault="00557A6F" w:rsidP="00557A6F">
            <w:r>
              <w:t>65</w:t>
            </w:r>
          </w:p>
        </w:tc>
        <w:tc>
          <w:tcPr>
            <w:tcW w:w="2640" w:type="dxa"/>
          </w:tcPr>
          <w:p w:rsidR="00557A6F" w:rsidRDefault="00557A6F" w:rsidP="00557A6F">
            <w:r>
              <w:t>Regionsentertilskudd</w:t>
            </w:r>
          </w:p>
        </w:tc>
        <w:tc>
          <w:tcPr>
            <w:tcW w:w="1240" w:type="dxa"/>
          </w:tcPr>
          <w:p w:rsidR="00557A6F" w:rsidRDefault="00557A6F" w:rsidP="009017E2">
            <w:pPr>
              <w:jc w:val="right"/>
            </w:pPr>
            <w:r>
              <w:t>200 000</w:t>
            </w:r>
          </w:p>
        </w:tc>
        <w:tc>
          <w:tcPr>
            <w:tcW w:w="1240" w:type="dxa"/>
          </w:tcPr>
          <w:p w:rsidR="00557A6F" w:rsidRDefault="00557A6F" w:rsidP="009017E2">
            <w:pPr>
              <w:jc w:val="right"/>
            </w:pPr>
            <w:r>
              <w:t>200 000</w:t>
            </w:r>
          </w:p>
        </w:tc>
        <w:tc>
          <w:tcPr>
            <w:tcW w:w="1260" w:type="dxa"/>
          </w:tcPr>
          <w:p w:rsidR="00557A6F" w:rsidRDefault="00557A6F" w:rsidP="009017E2">
            <w:pPr>
              <w:jc w:val="right"/>
            </w:pPr>
            <w:r>
              <w:t>196 855</w:t>
            </w:r>
          </w:p>
        </w:tc>
        <w:tc>
          <w:tcPr>
            <w:tcW w:w="1060" w:type="dxa"/>
          </w:tcPr>
          <w:p w:rsidR="00557A6F" w:rsidRDefault="00557A6F" w:rsidP="009017E2">
            <w:pPr>
              <w:jc w:val="right"/>
            </w:pPr>
            <w:r>
              <w:t>-1,6</w:t>
            </w:r>
          </w:p>
        </w:tc>
        <w:tc>
          <w:tcPr>
            <w:tcW w:w="1100" w:type="dxa"/>
          </w:tcPr>
          <w:p w:rsidR="00557A6F" w:rsidRDefault="00557A6F" w:rsidP="009017E2">
            <w:pPr>
              <w:jc w:val="right"/>
            </w:pPr>
            <w:r>
              <w:t>-1,6</w:t>
            </w:r>
          </w:p>
        </w:tc>
      </w:tr>
      <w:tr w:rsidR="00557A6F" w:rsidTr="009017E2">
        <w:trPr>
          <w:trHeight w:val="380"/>
        </w:trPr>
        <w:tc>
          <w:tcPr>
            <w:tcW w:w="500" w:type="dxa"/>
          </w:tcPr>
          <w:p w:rsidR="00557A6F" w:rsidRDefault="00557A6F" w:rsidP="00557A6F">
            <w:r>
              <w:lastRenderedPageBreak/>
              <w:t>571</w:t>
            </w:r>
          </w:p>
        </w:tc>
        <w:tc>
          <w:tcPr>
            <w:tcW w:w="500" w:type="dxa"/>
          </w:tcPr>
          <w:p w:rsidR="00557A6F" w:rsidRDefault="00557A6F" w:rsidP="00557A6F">
            <w:r>
              <w:t>66</w:t>
            </w:r>
          </w:p>
        </w:tc>
        <w:tc>
          <w:tcPr>
            <w:tcW w:w="2640" w:type="dxa"/>
          </w:tcPr>
          <w:p w:rsidR="00557A6F" w:rsidRDefault="00557A6F" w:rsidP="00557A6F">
            <w:r>
              <w:t>Veksttilskudd</w:t>
            </w:r>
          </w:p>
        </w:tc>
        <w:tc>
          <w:tcPr>
            <w:tcW w:w="1240" w:type="dxa"/>
          </w:tcPr>
          <w:p w:rsidR="00557A6F" w:rsidRDefault="00557A6F" w:rsidP="009017E2">
            <w:pPr>
              <w:jc w:val="right"/>
            </w:pPr>
            <w:r>
              <w:t>231 934</w:t>
            </w:r>
          </w:p>
        </w:tc>
        <w:tc>
          <w:tcPr>
            <w:tcW w:w="1240" w:type="dxa"/>
          </w:tcPr>
          <w:p w:rsidR="00557A6F" w:rsidRDefault="00557A6F" w:rsidP="009017E2">
            <w:pPr>
              <w:jc w:val="right"/>
            </w:pPr>
            <w:r>
              <w:t>231 934</w:t>
            </w:r>
          </w:p>
        </w:tc>
        <w:tc>
          <w:tcPr>
            <w:tcW w:w="1260" w:type="dxa"/>
          </w:tcPr>
          <w:p w:rsidR="00557A6F" w:rsidRDefault="00557A6F" w:rsidP="009017E2">
            <w:pPr>
              <w:jc w:val="right"/>
            </w:pPr>
            <w:r>
              <w:t>203 885</w:t>
            </w:r>
          </w:p>
        </w:tc>
        <w:tc>
          <w:tcPr>
            <w:tcW w:w="1060" w:type="dxa"/>
          </w:tcPr>
          <w:p w:rsidR="00557A6F" w:rsidRDefault="00557A6F" w:rsidP="009017E2">
            <w:pPr>
              <w:jc w:val="right"/>
            </w:pPr>
            <w:r>
              <w:t>-12,1</w:t>
            </w:r>
          </w:p>
        </w:tc>
        <w:tc>
          <w:tcPr>
            <w:tcW w:w="1100" w:type="dxa"/>
          </w:tcPr>
          <w:p w:rsidR="00557A6F" w:rsidRDefault="00557A6F" w:rsidP="009017E2">
            <w:pPr>
              <w:jc w:val="right"/>
            </w:pPr>
            <w:r>
              <w:t>-12,1</w:t>
            </w:r>
          </w:p>
        </w:tc>
      </w:tr>
      <w:tr w:rsidR="00557A6F" w:rsidTr="009017E2">
        <w:trPr>
          <w:trHeight w:val="380"/>
        </w:trPr>
        <w:tc>
          <w:tcPr>
            <w:tcW w:w="500" w:type="dxa"/>
          </w:tcPr>
          <w:p w:rsidR="00557A6F" w:rsidRDefault="00557A6F" w:rsidP="00557A6F">
            <w:r>
              <w:t>571</w:t>
            </w:r>
          </w:p>
        </w:tc>
        <w:tc>
          <w:tcPr>
            <w:tcW w:w="500" w:type="dxa"/>
          </w:tcPr>
          <w:p w:rsidR="00557A6F" w:rsidRDefault="00557A6F" w:rsidP="00557A6F">
            <w:r>
              <w:t>67</w:t>
            </w:r>
          </w:p>
        </w:tc>
        <w:tc>
          <w:tcPr>
            <w:tcW w:w="2640" w:type="dxa"/>
          </w:tcPr>
          <w:p w:rsidR="00557A6F" w:rsidRDefault="00557A6F" w:rsidP="00557A6F">
            <w:r>
              <w:t>Storbytilskudd</w:t>
            </w:r>
          </w:p>
        </w:tc>
        <w:tc>
          <w:tcPr>
            <w:tcW w:w="1240" w:type="dxa"/>
          </w:tcPr>
          <w:p w:rsidR="00557A6F" w:rsidRDefault="00557A6F" w:rsidP="009017E2">
            <w:pPr>
              <w:jc w:val="right"/>
            </w:pPr>
            <w:r>
              <w:t>508 768</w:t>
            </w:r>
          </w:p>
        </w:tc>
        <w:tc>
          <w:tcPr>
            <w:tcW w:w="1240" w:type="dxa"/>
          </w:tcPr>
          <w:p w:rsidR="00557A6F" w:rsidRDefault="00557A6F" w:rsidP="009017E2">
            <w:pPr>
              <w:jc w:val="right"/>
            </w:pPr>
            <w:r>
              <w:t>508 768</w:t>
            </w:r>
          </w:p>
        </w:tc>
        <w:tc>
          <w:tcPr>
            <w:tcW w:w="1260" w:type="dxa"/>
          </w:tcPr>
          <w:p w:rsidR="00557A6F" w:rsidRDefault="00557A6F" w:rsidP="009017E2">
            <w:pPr>
              <w:jc w:val="right"/>
            </w:pPr>
            <w:r>
              <w:t>581 233</w:t>
            </w:r>
          </w:p>
        </w:tc>
        <w:tc>
          <w:tcPr>
            <w:tcW w:w="1060" w:type="dxa"/>
          </w:tcPr>
          <w:p w:rsidR="00557A6F" w:rsidRDefault="00557A6F" w:rsidP="009017E2">
            <w:pPr>
              <w:jc w:val="right"/>
            </w:pPr>
            <w:r>
              <w:t>14,2</w:t>
            </w:r>
          </w:p>
        </w:tc>
        <w:tc>
          <w:tcPr>
            <w:tcW w:w="1100" w:type="dxa"/>
          </w:tcPr>
          <w:p w:rsidR="00557A6F" w:rsidRDefault="00557A6F" w:rsidP="009017E2">
            <w:pPr>
              <w:jc w:val="right"/>
            </w:pPr>
            <w:r>
              <w:t>14,2</w:t>
            </w:r>
          </w:p>
        </w:tc>
      </w:tr>
      <w:tr w:rsidR="00557A6F" w:rsidTr="009017E2">
        <w:trPr>
          <w:trHeight w:val="380"/>
        </w:trPr>
        <w:tc>
          <w:tcPr>
            <w:tcW w:w="500" w:type="dxa"/>
          </w:tcPr>
          <w:p w:rsidR="00557A6F" w:rsidRDefault="00557A6F" w:rsidP="00557A6F"/>
        </w:tc>
        <w:tc>
          <w:tcPr>
            <w:tcW w:w="500" w:type="dxa"/>
          </w:tcPr>
          <w:p w:rsidR="00557A6F" w:rsidRDefault="00557A6F" w:rsidP="00557A6F"/>
        </w:tc>
        <w:tc>
          <w:tcPr>
            <w:tcW w:w="2640" w:type="dxa"/>
          </w:tcPr>
          <w:p w:rsidR="00557A6F" w:rsidRDefault="00557A6F" w:rsidP="00557A6F">
            <w:r>
              <w:rPr>
                <w:rStyle w:val="kursiv"/>
                <w:sz w:val="21"/>
                <w:szCs w:val="21"/>
              </w:rPr>
              <w:t>Sum kommuner</w:t>
            </w:r>
          </w:p>
        </w:tc>
        <w:tc>
          <w:tcPr>
            <w:tcW w:w="1240" w:type="dxa"/>
          </w:tcPr>
          <w:p w:rsidR="00557A6F" w:rsidRDefault="00557A6F" w:rsidP="009017E2">
            <w:pPr>
              <w:jc w:val="right"/>
            </w:pPr>
            <w:r>
              <w:rPr>
                <w:rStyle w:val="kursiv"/>
                <w:sz w:val="21"/>
                <w:szCs w:val="21"/>
              </w:rPr>
              <w:t>136 989 640</w:t>
            </w:r>
          </w:p>
        </w:tc>
        <w:tc>
          <w:tcPr>
            <w:tcW w:w="1240" w:type="dxa"/>
          </w:tcPr>
          <w:p w:rsidR="00557A6F" w:rsidRDefault="00557A6F" w:rsidP="009017E2">
            <w:pPr>
              <w:jc w:val="right"/>
            </w:pPr>
            <w:r>
              <w:rPr>
                <w:rStyle w:val="kursiv"/>
                <w:sz w:val="21"/>
                <w:szCs w:val="21"/>
              </w:rPr>
              <w:t>138 719 232</w:t>
            </w:r>
          </w:p>
        </w:tc>
        <w:tc>
          <w:tcPr>
            <w:tcW w:w="1260" w:type="dxa"/>
          </w:tcPr>
          <w:p w:rsidR="00557A6F" w:rsidRDefault="00557A6F" w:rsidP="009017E2">
            <w:pPr>
              <w:jc w:val="right"/>
            </w:pPr>
            <w:r>
              <w:rPr>
                <w:rStyle w:val="kursiv"/>
                <w:sz w:val="21"/>
                <w:szCs w:val="21"/>
              </w:rPr>
              <w:t>142 106 789</w:t>
            </w:r>
          </w:p>
        </w:tc>
        <w:tc>
          <w:tcPr>
            <w:tcW w:w="1060" w:type="dxa"/>
          </w:tcPr>
          <w:p w:rsidR="00557A6F" w:rsidRDefault="00557A6F" w:rsidP="009017E2">
            <w:pPr>
              <w:jc w:val="right"/>
            </w:pPr>
            <w:r>
              <w:rPr>
                <w:rStyle w:val="kursiv"/>
                <w:sz w:val="21"/>
                <w:szCs w:val="21"/>
              </w:rPr>
              <w:t>3,7</w:t>
            </w:r>
          </w:p>
        </w:tc>
        <w:tc>
          <w:tcPr>
            <w:tcW w:w="1100" w:type="dxa"/>
          </w:tcPr>
          <w:p w:rsidR="00557A6F" w:rsidRDefault="00557A6F" w:rsidP="009017E2">
            <w:pPr>
              <w:jc w:val="right"/>
            </w:pPr>
            <w:r>
              <w:rPr>
                <w:rStyle w:val="kursiv"/>
                <w:sz w:val="21"/>
                <w:szCs w:val="21"/>
              </w:rPr>
              <w:t>2,4</w:t>
            </w:r>
          </w:p>
        </w:tc>
      </w:tr>
      <w:tr w:rsidR="00557A6F" w:rsidTr="009017E2">
        <w:trPr>
          <w:trHeight w:val="380"/>
        </w:trPr>
        <w:tc>
          <w:tcPr>
            <w:tcW w:w="500" w:type="dxa"/>
          </w:tcPr>
          <w:p w:rsidR="00557A6F" w:rsidRDefault="00557A6F" w:rsidP="00557A6F">
            <w:r>
              <w:t>572</w:t>
            </w:r>
          </w:p>
        </w:tc>
        <w:tc>
          <w:tcPr>
            <w:tcW w:w="500" w:type="dxa"/>
          </w:tcPr>
          <w:p w:rsidR="00557A6F" w:rsidRDefault="00557A6F" w:rsidP="00557A6F">
            <w:r>
              <w:t>60</w:t>
            </w:r>
          </w:p>
        </w:tc>
        <w:tc>
          <w:tcPr>
            <w:tcW w:w="2640" w:type="dxa"/>
          </w:tcPr>
          <w:p w:rsidR="00557A6F" w:rsidRDefault="00557A6F" w:rsidP="00557A6F">
            <w:r>
              <w:t>Innbyggertilskudd</w:t>
            </w:r>
          </w:p>
        </w:tc>
        <w:tc>
          <w:tcPr>
            <w:tcW w:w="1240" w:type="dxa"/>
          </w:tcPr>
          <w:p w:rsidR="00557A6F" w:rsidRDefault="00557A6F" w:rsidP="009017E2">
            <w:pPr>
              <w:jc w:val="right"/>
            </w:pPr>
            <w:r>
              <w:t>33 619 319</w:t>
            </w:r>
          </w:p>
        </w:tc>
        <w:tc>
          <w:tcPr>
            <w:tcW w:w="1240" w:type="dxa"/>
          </w:tcPr>
          <w:p w:rsidR="00557A6F" w:rsidRDefault="00557A6F" w:rsidP="009017E2">
            <w:pPr>
              <w:jc w:val="right"/>
            </w:pPr>
            <w:r>
              <w:t>34 897 139</w:t>
            </w:r>
          </w:p>
        </w:tc>
        <w:tc>
          <w:tcPr>
            <w:tcW w:w="1260" w:type="dxa"/>
          </w:tcPr>
          <w:p w:rsidR="00557A6F" w:rsidRDefault="00557A6F" w:rsidP="009017E2">
            <w:pPr>
              <w:jc w:val="right"/>
            </w:pPr>
            <w:r>
              <w:t>35 761 708</w:t>
            </w:r>
          </w:p>
        </w:tc>
        <w:tc>
          <w:tcPr>
            <w:tcW w:w="1060" w:type="dxa"/>
          </w:tcPr>
          <w:p w:rsidR="00557A6F" w:rsidRDefault="00557A6F" w:rsidP="009017E2">
            <w:pPr>
              <w:jc w:val="right"/>
            </w:pPr>
            <w:r>
              <w:t>6,4</w:t>
            </w:r>
          </w:p>
        </w:tc>
        <w:tc>
          <w:tcPr>
            <w:tcW w:w="1100" w:type="dxa"/>
          </w:tcPr>
          <w:p w:rsidR="00557A6F" w:rsidRDefault="00557A6F" w:rsidP="009017E2">
            <w:pPr>
              <w:jc w:val="right"/>
            </w:pPr>
            <w:r>
              <w:t>2,5</w:t>
            </w:r>
          </w:p>
        </w:tc>
      </w:tr>
      <w:tr w:rsidR="00557A6F" w:rsidTr="009017E2">
        <w:trPr>
          <w:trHeight w:val="380"/>
        </w:trPr>
        <w:tc>
          <w:tcPr>
            <w:tcW w:w="500" w:type="dxa"/>
          </w:tcPr>
          <w:p w:rsidR="00557A6F" w:rsidRDefault="00557A6F" w:rsidP="00557A6F">
            <w:r>
              <w:t>572</w:t>
            </w:r>
          </w:p>
        </w:tc>
        <w:tc>
          <w:tcPr>
            <w:tcW w:w="500" w:type="dxa"/>
          </w:tcPr>
          <w:p w:rsidR="00557A6F" w:rsidRDefault="00557A6F" w:rsidP="00557A6F">
            <w:r>
              <w:t>62</w:t>
            </w:r>
          </w:p>
        </w:tc>
        <w:tc>
          <w:tcPr>
            <w:tcW w:w="2640" w:type="dxa"/>
          </w:tcPr>
          <w:p w:rsidR="00557A6F" w:rsidRDefault="00557A6F" w:rsidP="00557A6F">
            <w:r>
              <w:t>Nord-Norge-tilskudd</w:t>
            </w:r>
          </w:p>
        </w:tc>
        <w:tc>
          <w:tcPr>
            <w:tcW w:w="1240" w:type="dxa"/>
          </w:tcPr>
          <w:p w:rsidR="00557A6F" w:rsidRDefault="00557A6F" w:rsidP="009017E2">
            <w:pPr>
              <w:jc w:val="right"/>
            </w:pPr>
            <w:r>
              <w:t>676 012</w:t>
            </w:r>
          </w:p>
        </w:tc>
        <w:tc>
          <w:tcPr>
            <w:tcW w:w="1240" w:type="dxa"/>
          </w:tcPr>
          <w:p w:rsidR="00557A6F" w:rsidRDefault="00557A6F" w:rsidP="009017E2">
            <w:pPr>
              <w:jc w:val="right"/>
            </w:pPr>
            <w:r>
              <w:t>676 012</w:t>
            </w:r>
          </w:p>
        </w:tc>
        <w:tc>
          <w:tcPr>
            <w:tcW w:w="1260" w:type="dxa"/>
          </w:tcPr>
          <w:p w:rsidR="00557A6F" w:rsidRDefault="00557A6F" w:rsidP="009017E2">
            <w:pPr>
              <w:jc w:val="right"/>
            </w:pPr>
            <w:r>
              <w:t>697 702</w:t>
            </w:r>
          </w:p>
        </w:tc>
        <w:tc>
          <w:tcPr>
            <w:tcW w:w="1060" w:type="dxa"/>
          </w:tcPr>
          <w:p w:rsidR="00557A6F" w:rsidRDefault="00557A6F" w:rsidP="009017E2">
            <w:pPr>
              <w:jc w:val="right"/>
            </w:pPr>
            <w:r>
              <w:t>3,2</w:t>
            </w:r>
          </w:p>
        </w:tc>
        <w:tc>
          <w:tcPr>
            <w:tcW w:w="1100" w:type="dxa"/>
          </w:tcPr>
          <w:p w:rsidR="00557A6F" w:rsidRDefault="00557A6F" w:rsidP="009017E2">
            <w:pPr>
              <w:jc w:val="right"/>
            </w:pPr>
            <w:r>
              <w:t>3,2</w:t>
            </w:r>
          </w:p>
        </w:tc>
      </w:tr>
      <w:tr w:rsidR="00557A6F" w:rsidTr="009017E2">
        <w:trPr>
          <w:trHeight w:val="380"/>
        </w:trPr>
        <w:tc>
          <w:tcPr>
            <w:tcW w:w="500" w:type="dxa"/>
          </w:tcPr>
          <w:p w:rsidR="00557A6F" w:rsidRDefault="00557A6F" w:rsidP="00557A6F">
            <w:r>
              <w:t>572</w:t>
            </w:r>
          </w:p>
        </w:tc>
        <w:tc>
          <w:tcPr>
            <w:tcW w:w="500" w:type="dxa"/>
          </w:tcPr>
          <w:p w:rsidR="00557A6F" w:rsidRDefault="00557A6F" w:rsidP="00557A6F">
            <w:r>
              <w:t>64</w:t>
            </w:r>
          </w:p>
        </w:tc>
        <w:tc>
          <w:tcPr>
            <w:tcW w:w="2640" w:type="dxa"/>
          </w:tcPr>
          <w:p w:rsidR="00557A6F" w:rsidRDefault="00557A6F" w:rsidP="00557A6F">
            <w:r>
              <w:t>Skjønnstilskudd</w:t>
            </w:r>
          </w:p>
        </w:tc>
        <w:tc>
          <w:tcPr>
            <w:tcW w:w="1240" w:type="dxa"/>
          </w:tcPr>
          <w:p w:rsidR="00557A6F" w:rsidRDefault="00557A6F" w:rsidP="009017E2">
            <w:pPr>
              <w:jc w:val="right"/>
            </w:pPr>
            <w:r>
              <w:t>382 000</w:t>
            </w:r>
          </w:p>
        </w:tc>
        <w:tc>
          <w:tcPr>
            <w:tcW w:w="1240" w:type="dxa"/>
          </w:tcPr>
          <w:p w:rsidR="00557A6F" w:rsidRDefault="00557A6F" w:rsidP="009017E2">
            <w:pPr>
              <w:jc w:val="right"/>
            </w:pPr>
            <w:r>
              <w:t>382 000</w:t>
            </w:r>
          </w:p>
        </w:tc>
        <w:tc>
          <w:tcPr>
            <w:tcW w:w="1260" w:type="dxa"/>
          </w:tcPr>
          <w:p w:rsidR="00557A6F" w:rsidRDefault="00557A6F" w:rsidP="009017E2">
            <w:pPr>
              <w:jc w:val="right"/>
            </w:pPr>
            <w:r>
              <w:t>382 000</w:t>
            </w:r>
          </w:p>
        </w:tc>
        <w:tc>
          <w:tcPr>
            <w:tcW w:w="1060" w:type="dxa"/>
          </w:tcPr>
          <w:p w:rsidR="00557A6F" w:rsidRDefault="00557A6F" w:rsidP="009017E2">
            <w:pPr>
              <w:jc w:val="right"/>
            </w:pPr>
            <w:r>
              <w:t>0,0</w:t>
            </w:r>
          </w:p>
        </w:tc>
        <w:tc>
          <w:tcPr>
            <w:tcW w:w="1100" w:type="dxa"/>
          </w:tcPr>
          <w:p w:rsidR="00557A6F" w:rsidRDefault="00557A6F" w:rsidP="009017E2">
            <w:pPr>
              <w:jc w:val="right"/>
            </w:pPr>
            <w:r>
              <w:t>0,0</w:t>
            </w:r>
          </w:p>
        </w:tc>
      </w:tr>
      <w:tr w:rsidR="00557A6F" w:rsidTr="009017E2">
        <w:trPr>
          <w:trHeight w:val="380"/>
        </w:trPr>
        <w:tc>
          <w:tcPr>
            <w:tcW w:w="500" w:type="dxa"/>
          </w:tcPr>
          <w:p w:rsidR="00557A6F" w:rsidRDefault="00557A6F" w:rsidP="00557A6F"/>
        </w:tc>
        <w:tc>
          <w:tcPr>
            <w:tcW w:w="500" w:type="dxa"/>
          </w:tcPr>
          <w:p w:rsidR="00557A6F" w:rsidRDefault="00557A6F" w:rsidP="00557A6F"/>
        </w:tc>
        <w:tc>
          <w:tcPr>
            <w:tcW w:w="2640" w:type="dxa"/>
          </w:tcPr>
          <w:p w:rsidR="00557A6F" w:rsidRDefault="00557A6F" w:rsidP="00557A6F">
            <w:r>
              <w:rPr>
                <w:rStyle w:val="kursiv"/>
                <w:sz w:val="21"/>
                <w:szCs w:val="21"/>
              </w:rPr>
              <w:t>Sum fylkeskommuner</w:t>
            </w:r>
          </w:p>
        </w:tc>
        <w:tc>
          <w:tcPr>
            <w:tcW w:w="1240" w:type="dxa"/>
          </w:tcPr>
          <w:p w:rsidR="00557A6F" w:rsidRDefault="00557A6F" w:rsidP="009017E2">
            <w:pPr>
              <w:jc w:val="right"/>
            </w:pPr>
            <w:r>
              <w:rPr>
                <w:rStyle w:val="kursiv"/>
                <w:sz w:val="21"/>
                <w:szCs w:val="21"/>
              </w:rPr>
              <w:t>34 677 331</w:t>
            </w:r>
          </w:p>
        </w:tc>
        <w:tc>
          <w:tcPr>
            <w:tcW w:w="1240" w:type="dxa"/>
          </w:tcPr>
          <w:p w:rsidR="00557A6F" w:rsidRDefault="00557A6F" w:rsidP="009017E2">
            <w:pPr>
              <w:jc w:val="right"/>
            </w:pPr>
            <w:r>
              <w:rPr>
                <w:rStyle w:val="kursiv"/>
                <w:sz w:val="21"/>
                <w:szCs w:val="21"/>
              </w:rPr>
              <w:t>35 955 151</w:t>
            </w:r>
          </w:p>
        </w:tc>
        <w:tc>
          <w:tcPr>
            <w:tcW w:w="1260" w:type="dxa"/>
          </w:tcPr>
          <w:p w:rsidR="00557A6F" w:rsidRDefault="00557A6F" w:rsidP="009017E2">
            <w:pPr>
              <w:jc w:val="right"/>
            </w:pPr>
            <w:r>
              <w:rPr>
                <w:rStyle w:val="kursiv"/>
                <w:sz w:val="21"/>
                <w:szCs w:val="21"/>
              </w:rPr>
              <w:t>36 841 410</w:t>
            </w:r>
          </w:p>
        </w:tc>
        <w:tc>
          <w:tcPr>
            <w:tcW w:w="1060" w:type="dxa"/>
          </w:tcPr>
          <w:p w:rsidR="00557A6F" w:rsidRDefault="00557A6F" w:rsidP="009017E2">
            <w:pPr>
              <w:jc w:val="right"/>
            </w:pPr>
            <w:r>
              <w:rPr>
                <w:rStyle w:val="kursiv"/>
                <w:sz w:val="21"/>
                <w:szCs w:val="21"/>
              </w:rPr>
              <w:t>6,2</w:t>
            </w:r>
          </w:p>
        </w:tc>
        <w:tc>
          <w:tcPr>
            <w:tcW w:w="1100" w:type="dxa"/>
          </w:tcPr>
          <w:p w:rsidR="00557A6F" w:rsidRDefault="00557A6F" w:rsidP="009017E2">
            <w:pPr>
              <w:jc w:val="right"/>
            </w:pPr>
            <w:r>
              <w:rPr>
                <w:rStyle w:val="kursiv"/>
                <w:sz w:val="21"/>
                <w:szCs w:val="21"/>
              </w:rPr>
              <w:t>2,5</w:t>
            </w:r>
          </w:p>
        </w:tc>
      </w:tr>
      <w:tr w:rsidR="00557A6F" w:rsidTr="009017E2">
        <w:trPr>
          <w:trHeight w:val="380"/>
        </w:trPr>
        <w:tc>
          <w:tcPr>
            <w:tcW w:w="500" w:type="dxa"/>
          </w:tcPr>
          <w:p w:rsidR="00557A6F" w:rsidRDefault="00557A6F" w:rsidP="00557A6F"/>
        </w:tc>
        <w:tc>
          <w:tcPr>
            <w:tcW w:w="500" w:type="dxa"/>
          </w:tcPr>
          <w:p w:rsidR="00557A6F" w:rsidRDefault="00557A6F" w:rsidP="00557A6F"/>
        </w:tc>
        <w:tc>
          <w:tcPr>
            <w:tcW w:w="2640" w:type="dxa"/>
          </w:tcPr>
          <w:p w:rsidR="00557A6F" w:rsidRDefault="00557A6F" w:rsidP="00557A6F">
            <w:r>
              <w:rPr>
                <w:rStyle w:val="kursiv"/>
                <w:sz w:val="21"/>
                <w:szCs w:val="21"/>
              </w:rPr>
              <w:t>Sum kommunesektor</w:t>
            </w:r>
          </w:p>
        </w:tc>
        <w:tc>
          <w:tcPr>
            <w:tcW w:w="1240" w:type="dxa"/>
          </w:tcPr>
          <w:p w:rsidR="00557A6F" w:rsidRDefault="00557A6F" w:rsidP="009017E2">
            <w:pPr>
              <w:jc w:val="right"/>
            </w:pPr>
            <w:r>
              <w:rPr>
                <w:rStyle w:val="kursiv"/>
                <w:sz w:val="21"/>
                <w:szCs w:val="21"/>
              </w:rPr>
              <w:t>171 666 971</w:t>
            </w:r>
          </w:p>
        </w:tc>
        <w:tc>
          <w:tcPr>
            <w:tcW w:w="1240" w:type="dxa"/>
          </w:tcPr>
          <w:p w:rsidR="00557A6F" w:rsidRDefault="00557A6F" w:rsidP="009017E2">
            <w:pPr>
              <w:jc w:val="right"/>
            </w:pPr>
            <w:r>
              <w:rPr>
                <w:rStyle w:val="kursiv"/>
                <w:sz w:val="21"/>
                <w:szCs w:val="21"/>
              </w:rPr>
              <w:t>174 674 383</w:t>
            </w:r>
          </w:p>
        </w:tc>
        <w:tc>
          <w:tcPr>
            <w:tcW w:w="1260" w:type="dxa"/>
          </w:tcPr>
          <w:p w:rsidR="00557A6F" w:rsidRDefault="00557A6F" w:rsidP="009017E2">
            <w:pPr>
              <w:jc w:val="right"/>
            </w:pPr>
            <w:r>
              <w:rPr>
                <w:rStyle w:val="kursiv"/>
                <w:sz w:val="21"/>
                <w:szCs w:val="21"/>
              </w:rPr>
              <w:t>178 948 199</w:t>
            </w:r>
          </w:p>
        </w:tc>
        <w:tc>
          <w:tcPr>
            <w:tcW w:w="1060" w:type="dxa"/>
          </w:tcPr>
          <w:p w:rsidR="00557A6F" w:rsidRDefault="00557A6F" w:rsidP="009017E2">
            <w:pPr>
              <w:jc w:val="right"/>
            </w:pPr>
            <w:r>
              <w:rPr>
                <w:rStyle w:val="kursiv"/>
                <w:sz w:val="21"/>
                <w:szCs w:val="21"/>
              </w:rPr>
              <w:t>4,2</w:t>
            </w:r>
          </w:p>
        </w:tc>
        <w:tc>
          <w:tcPr>
            <w:tcW w:w="1100" w:type="dxa"/>
          </w:tcPr>
          <w:p w:rsidR="00557A6F" w:rsidRDefault="00557A6F" w:rsidP="009017E2">
            <w:pPr>
              <w:jc w:val="right"/>
            </w:pPr>
            <w:r>
              <w:rPr>
                <w:rStyle w:val="kursiv"/>
                <w:sz w:val="21"/>
                <w:szCs w:val="21"/>
              </w:rPr>
              <w:t>2,4</w:t>
            </w:r>
          </w:p>
        </w:tc>
      </w:tr>
    </w:tbl>
    <w:p w:rsidR="00557A6F" w:rsidRDefault="00557A6F" w:rsidP="00557A6F">
      <w:pPr>
        <w:pStyle w:val="Undertittel"/>
      </w:pPr>
      <w:r>
        <w:t>Endringer i oppgavefordelingen mellom forvaltningsnivåene, rege</w:t>
      </w:r>
      <w:r>
        <w:t>l</w:t>
      </w:r>
      <w:r>
        <w:t>endringer og finansiering (inkl. innlemming av øremerkede tilskudd)</w:t>
      </w:r>
    </w:p>
    <w:p w:rsidR="00557A6F" w:rsidRDefault="00557A6F" w:rsidP="00557A6F">
      <w:r>
        <w:t>Regjeringen foreslår en realvekst i kommunesektorens frie inntekter på 1,3 mrd. kroner i 2020, jf. nærmere omtale i kapittel 3. Veksten er korrigert for endringer i oppgavefordelingen mellom fo</w:t>
      </w:r>
      <w:r>
        <w:t>r</w:t>
      </w:r>
      <w:r>
        <w:t>valtningsnivåene, regelendringer, innlemming av øremerkede tilskudd mv. Tabell 6.21 gir en ove</w:t>
      </w:r>
      <w:r>
        <w:t>r</w:t>
      </w:r>
      <w:r>
        <w:t>sikt over endrin</w:t>
      </w:r>
      <w:r>
        <w:t>g</w:t>
      </w:r>
      <w:r>
        <w:t>ene som veksten er korrigert for, med påfølgende omtale av de enkelte sakene. Korreksjonene gjøres i rammetilskuddet til kommuner og fylkeskommuner. Se også Berekning</w:t>
      </w:r>
      <w:r>
        <w:t>s</w:t>
      </w:r>
      <w:r>
        <w:t>teknisk dokumentasjon til Prop. 1 S (2019–2020) Grønt hefte (H-2454 N).</w:t>
      </w:r>
    </w:p>
    <w:p w:rsidR="009017E2" w:rsidRDefault="009017E2" w:rsidP="009017E2">
      <w:pPr>
        <w:pStyle w:val="tabell-tittel"/>
      </w:pPr>
      <w:r>
        <w:t>Endringer i rammetilskuddet til kommuner og fylkeskommuner som følge av endringer i oppgavefordelingen, regelendringer, innlemming av øremerkede tilskudd mv.</w:t>
      </w:r>
    </w:p>
    <w:p w:rsidR="00557A6F" w:rsidRDefault="00557A6F" w:rsidP="00557A6F">
      <w:pPr>
        <w:pStyle w:val="Tabellnavn"/>
      </w:pPr>
      <w:r>
        <w:t>03J2xt2</w:t>
      </w:r>
    </w:p>
    <w:tbl>
      <w:tblPr>
        <w:tblStyle w:val="StandardTabell"/>
        <w:tblW w:w="0" w:type="auto"/>
        <w:tblLayout w:type="fixed"/>
        <w:tblLook w:val="04A0" w:firstRow="1" w:lastRow="0" w:firstColumn="1" w:lastColumn="0" w:noHBand="0" w:noVBand="1"/>
      </w:tblPr>
      <w:tblGrid>
        <w:gridCol w:w="6860"/>
        <w:gridCol w:w="1100"/>
        <w:gridCol w:w="1600"/>
      </w:tblGrid>
      <w:tr w:rsidR="00557A6F" w:rsidTr="009017E2">
        <w:trPr>
          <w:trHeight w:val="360"/>
        </w:trPr>
        <w:tc>
          <w:tcPr>
            <w:tcW w:w="9560" w:type="dxa"/>
            <w:gridSpan w:val="3"/>
            <w:shd w:val="clear" w:color="auto" w:fill="FFFFFF"/>
          </w:tcPr>
          <w:p w:rsidR="00557A6F" w:rsidRDefault="00557A6F" w:rsidP="009017E2">
            <w:pPr>
              <w:jc w:val="right"/>
            </w:pPr>
            <w:r>
              <w:t>(1 000 2020-kroner)</w:t>
            </w:r>
          </w:p>
        </w:tc>
      </w:tr>
      <w:tr w:rsidR="00557A6F" w:rsidTr="009017E2">
        <w:trPr>
          <w:trHeight w:val="360"/>
        </w:trPr>
        <w:tc>
          <w:tcPr>
            <w:tcW w:w="6860" w:type="dxa"/>
          </w:tcPr>
          <w:p w:rsidR="00557A6F" w:rsidRDefault="00557A6F" w:rsidP="00557A6F"/>
        </w:tc>
        <w:tc>
          <w:tcPr>
            <w:tcW w:w="1100" w:type="dxa"/>
          </w:tcPr>
          <w:p w:rsidR="00557A6F" w:rsidRDefault="00557A6F" w:rsidP="009017E2">
            <w:pPr>
              <w:jc w:val="right"/>
            </w:pPr>
            <w:r>
              <w:t>Komm</w:t>
            </w:r>
            <w:r>
              <w:t>u</w:t>
            </w:r>
            <w:r>
              <w:t>ner</w:t>
            </w:r>
          </w:p>
        </w:tc>
        <w:tc>
          <w:tcPr>
            <w:tcW w:w="1600" w:type="dxa"/>
          </w:tcPr>
          <w:p w:rsidR="00557A6F" w:rsidRDefault="00557A6F" w:rsidP="009017E2">
            <w:pPr>
              <w:jc w:val="right"/>
            </w:pPr>
            <w:r>
              <w:t>Fylkesko</w:t>
            </w:r>
            <w:r>
              <w:t>m</w:t>
            </w:r>
            <w:r>
              <w:t>muner</w:t>
            </w:r>
          </w:p>
        </w:tc>
      </w:tr>
      <w:tr w:rsidR="00557A6F" w:rsidTr="009017E2">
        <w:trPr>
          <w:trHeight w:val="380"/>
        </w:trPr>
        <w:tc>
          <w:tcPr>
            <w:tcW w:w="6860" w:type="dxa"/>
          </w:tcPr>
          <w:p w:rsidR="00557A6F" w:rsidRDefault="00557A6F" w:rsidP="00557A6F">
            <w:r>
              <w:t>Statlige og private skoler, endring i elevtall</w:t>
            </w:r>
          </w:p>
        </w:tc>
        <w:tc>
          <w:tcPr>
            <w:tcW w:w="1100" w:type="dxa"/>
          </w:tcPr>
          <w:p w:rsidR="00557A6F" w:rsidRDefault="00557A6F" w:rsidP="009017E2">
            <w:pPr>
              <w:jc w:val="right"/>
            </w:pPr>
            <w:r>
              <w:t>-171 135</w:t>
            </w:r>
          </w:p>
        </w:tc>
        <w:tc>
          <w:tcPr>
            <w:tcW w:w="1600" w:type="dxa"/>
          </w:tcPr>
          <w:p w:rsidR="00557A6F" w:rsidRDefault="00557A6F" w:rsidP="009017E2">
            <w:pPr>
              <w:jc w:val="right"/>
            </w:pPr>
            <w:r>
              <w:t>13 957</w:t>
            </w:r>
          </w:p>
        </w:tc>
      </w:tr>
      <w:tr w:rsidR="00557A6F" w:rsidTr="009017E2">
        <w:trPr>
          <w:trHeight w:val="380"/>
        </w:trPr>
        <w:tc>
          <w:tcPr>
            <w:tcW w:w="6860" w:type="dxa"/>
          </w:tcPr>
          <w:p w:rsidR="00557A6F" w:rsidRDefault="00557A6F" w:rsidP="00557A6F">
            <w:r>
              <w:t>Ny gjennomføringsløsning for prøver og eksamener</w:t>
            </w:r>
          </w:p>
        </w:tc>
        <w:tc>
          <w:tcPr>
            <w:tcW w:w="1100" w:type="dxa"/>
          </w:tcPr>
          <w:p w:rsidR="00557A6F" w:rsidRDefault="00557A6F" w:rsidP="009017E2">
            <w:pPr>
              <w:jc w:val="right"/>
            </w:pPr>
            <w:r>
              <w:t>-1 290</w:t>
            </w:r>
          </w:p>
        </w:tc>
        <w:tc>
          <w:tcPr>
            <w:tcW w:w="1600" w:type="dxa"/>
          </w:tcPr>
          <w:p w:rsidR="00557A6F" w:rsidRDefault="00557A6F" w:rsidP="009017E2">
            <w:pPr>
              <w:jc w:val="right"/>
            </w:pPr>
            <w:r>
              <w:t>-1 290</w:t>
            </w:r>
          </w:p>
        </w:tc>
      </w:tr>
      <w:tr w:rsidR="00557A6F" w:rsidTr="009017E2">
        <w:trPr>
          <w:trHeight w:val="380"/>
        </w:trPr>
        <w:tc>
          <w:tcPr>
            <w:tcW w:w="6860" w:type="dxa"/>
          </w:tcPr>
          <w:p w:rsidR="00557A6F" w:rsidRDefault="00557A6F" w:rsidP="00557A6F">
            <w:r>
              <w:t xml:space="preserve">Innlemming av tilskudd til gang- og sykkelveier </w:t>
            </w:r>
          </w:p>
        </w:tc>
        <w:tc>
          <w:tcPr>
            <w:tcW w:w="1100" w:type="dxa"/>
          </w:tcPr>
          <w:p w:rsidR="00557A6F" w:rsidRDefault="00557A6F" w:rsidP="009017E2">
            <w:pPr>
              <w:jc w:val="right"/>
            </w:pPr>
            <w:r>
              <w:t>48 607</w:t>
            </w:r>
          </w:p>
        </w:tc>
        <w:tc>
          <w:tcPr>
            <w:tcW w:w="1600" w:type="dxa"/>
          </w:tcPr>
          <w:p w:rsidR="00557A6F" w:rsidRDefault="00557A6F" w:rsidP="009017E2">
            <w:pPr>
              <w:jc w:val="right"/>
            </w:pPr>
            <w:r>
              <w:t>32 405</w:t>
            </w:r>
          </w:p>
        </w:tc>
      </w:tr>
      <w:tr w:rsidR="00557A6F" w:rsidTr="009017E2">
        <w:trPr>
          <w:trHeight w:val="640"/>
        </w:trPr>
        <w:tc>
          <w:tcPr>
            <w:tcW w:w="6860" w:type="dxa"/>
          </w:tcPr>
          <w:p w:rsidR="00557A6F" w:rsidRDefault="00557A6F" w:rsidP="00557A6F">
            <w:r>
              <w:t xml:space="preserve">Overføring av førstelinje for sosiale tjenester fra Bergen og </w:t>
            </w:r>
            <w:r>
              <w:br/>
              <w:t>Oslo kommuner til NAV Kontaktsenter</w:t>
            </w:r>
          </w:p>
        </w:tc>
        <w:tc>
          <w:tcPr>
            <w:tcW w:w="1100" w:type="dxa"/>
          </w:tcPr>
          <w:p w:rsidR="00557A6F" w:rsidRDefault="00557A6F" w:rsidP="009017E2">
            <w:pPr>
              <w:jc w:val="right"/>
            </w:pPr>
            <w:r>
              <w:t>-7 500</w:t>
            </w:r>
          </w:p>
        </w:tc>
        <w:tc>
          <w:tcPr>
            <w:tcW w:w="1600" w:type="dxa"/>
          </w:tcPr>
          <w:p w:rsidR="00557A6F" w:rsidRDefault="00557A6F" w:rsidP="009017E2">
            <w:pPr>
              <w:jc w:val="right"/>
            </w:pPr>
            <w:r>
              <w:t>0</w:t>
            </w:r>
          </w:p>
        </w:tc>
      </w:tr>
      <w:tr w:rsidR="00557A6F" w:rsidTr="009017E2">
        <w:trPr>
          <w:trHeight w:val="380"/>
        </w:trPr>
        <w:tc>
          <w:tcPr>
            <w:tcW w:w="6860" w:type="dxa"/>
          </w:tcPr>
          <w:p w:rsidR="00557A6F" w:rsidRDefault="00557A6F" w:rsidP="00557A6F">
            <w:r>
              <w:t>Forsøk med ny oppgave- og ansvarsdeling i barnevernet</w:t>
            </w:r>
          </w:p>
        </w:tc>
        <w:tc>
          <w:tcPr>
            <w:tcW w:w="1100" w:type="dxa"/>
          </w:tcPr>
          <w:p w:rsidR="00557A6F" w:rsidRDefault="00557A6F" w:rsidP="009017E2">
            <w:pPr>
              <w:jc w:val="right"/>
            </w:pPr>
            <w:r>
              <w:t>-22 352</w:t>
            </w:r>
          </w:p>
        </w:tc>
        <w:tc>
          <w:tcPr>
            <w:tcW w:w="1600" w:type="dxa"/>
          </w:tcPr>
          <w:p w:rsidR="00557A6F" w:rsidRDefault="00557A6F" w:rsidP="009017E2">
            <w:pPr>
              <w:jc w:val="right"/>
            </w:pPr>
            <w:r>
              <w:t>0</w:t>
            </w:r>
          </w:p>
        </w:tc>
      </w:tr>
      <w:tr w:rsidR="00557A6F" w:rsidTr="009017E2">
        <w:trPr>
          <w:trHeight w:val="380"/>
        </w:trPr>
        <w:tc>
          <w:tcPr>
            <w:tcW w:w="6860" w:type="dxa"/>
          </w:tcPr>
          <w:p w:rsidR="00557A6F" w:rsidRDefault="00557A6F" w:rsidP="00557A6F">
            <w:r>
              <w:t>Overføring av skatteoppkrevingen til Skatteetaten</w:t>
            </w:r>
          </w:p>
        </w:tc>
        <w:tc>
          <w:tcPr>
            <w:tcW w:w="1100" w:type="dxa"/>
          </w:tcPr>
          <w:p w:rsidR="00557A6F" w:rsidRDefault="00557A6F" w:rsidP="009017E2">
            <w:pPr>
              <w:jc w:val="right"/>
            </w:pPr>
            <w:r>
              <w:t>-644 400</w:t>
            </w:r>
          </w:p>
        </w:tc>
        <w:tc>
          <w:tcPr>
            <w:tcW w:w="1600" w:type="dxa"/>
          </w:tcPr>
          <w:p w:rsidR="00557A6F" w:rsidRDefault="00557A6F" w:rsidP="009017E2">
            <w:pPr>
              <w:jc w:val="right"/>
            </w:pPr>
            <w:r>
              <w:t>0</w:t>
            </w:r>
          </w:p>
        </w:tc>
      </w:tr>
      <w:tr w:rsidR="00557A6F" w:rsidTr="009017E2">
        <w:trPr>
          <w:trHeight w:val="380"/>
        </w:trPr>
        <w:tc>
          <w:tcPr>
            <w:tcW w:w="6860" w:type="dxa"/>
          </w:tcPr>
          <w:p w:rsidR="00557A6F" w:rsidRDefault="00557A6F" w:rsidP="00557A6F">
            <w:r>
              <w:t>Innlemming av tilskudd til rekruttering av psykologer</w:t>
            </w:r>
          </w:p>
        </w:tc>
        <w:tc>
          <w:tcPr>
            <w:tcW w:w="1100" w:type="dxa"/>
          </w:tcPr>
          <w:p w:rsidR="00557A6F" w:rsidRDefault="00557A6F" w:rsidP="009017E2">
            <w:pPr>
              <w:jc w:val="right"/>
            </w:pPr>
            <w:r>
              <w:t>211 600</w:t>
            </w:r>
          </w:p>
        </w:tc>
        <w:tc>
          <w:tcPr>
            <w:tcW w:w="1600" w:type="dxa"/>
          </w:tcPr>
          <w:p w:rsidR="00557A6F" w:rsidRDefault="00557A6F" w:rsidP="009017E2">
            <w:pPr>
              <w:jc w:val="right"/>
            </w:pPr>
            <w:r>
              <w:t>0</w:t>
            </w:r>
          </w:p>
        </w:tc>
      </w:tr>
      <w:tr w:rsidR="00557A6F" w:rsidTr="009017E2">
        <w:trPr>
          <w:trHeight w:val="640"/>
        </w:trPr>
        <w:tc>
          <w:tcPr>
            <w:tcW w:w="6860" w:type="dxa"/>
          </w:tcPr>
          <w:p w:rsidR="00557A6F" w:rsidRDefault="00557A6F" w:rsidP="00557A6F">
            <w:r>
              <w:t>Innlemming av tilskudd til dagaktivitetstilbud til hjemmeboende personer med demens</w:t>
            </w:r>
          </w:p>
        </w:tc>
        <w:tc>
          <w:tcPr>
            <w:tcW w:w="1100" w:type="dxa"/>
          </w:tcPr>
          <w:p w:rsidR="00557A6F" w:rsidRDefault="00557A6F" w:rsidP="009017E2">
            <w:pPr>
              <w:jc w:val="right"/>
            </w:pPr>
            <w:r>
              <w:t>369 144</w:t>
            </w:r>
          </w:p>
        </w:tc>
        <w:tc>
          <w:tcPr>
            <w:tcW w:w="1600" w:type="dxa"/>
          </w:tcPr>
          <w:p w:rsidR="00557A6F" w:rsidRDefault="00557A6F" w:rsidP="009017E2">
            <w:pPr>
              <w:jc w:val="right"/>
            </w:pPr>
            <w:r>
              <w:t>0</w:t>
            </w:r>
          </w:p>
        </w:tc>
      </w:tr>
      <w:tr w:rsidR="00557A6F" w:rsidTr="009017E2">
        <w:trPr>
          <w:trHeight w:val="380"/>
        </w:trPr>
        <w:tc>
          <w:tcPr>
            <w:tcW w:w="6860" w:type="dxa"/>
          </w:tcPr>
          <w:p w:rsidR="00557A6F" w:rsidRDefault="00557A6F" w:rsidP="00557A6F">
            <w:r>
              <w:lastRenderedPageBreak/>
              <w:t xml:space="preserve">Innlemming av tilskudd til habilitering og rehabilitering </w:t>
            </w:r>
          </w:p>
        </w:tc>
        <w:tc>
          <w:tcPr>
            <w:tcW w:w="1100" w:type="dxa"/>
          </w:tcPr>
          <w:p w:rsidR="00557A6F" w:rsidRDefault="00557A6F" w:rsidP="009017E2">
            <w:pPr>
              <w:jc w:val="right"/>
            </w:pPr>
            <w:r>
              <w:t>87 000</w:t>
            </w:r>
          </w:p>
        </w:tc>
        <w:tc>
          <w:tcPr>
            <w:tcW w:w="1600" w:type="dxa"/>
          </w:tcPr>
          <w:p w:rsidR="00557A6F" w:rsidRDefault="00557A6F" w:rsidP="009017E2">
            <w:pPr>
              <w:jc w:val="right"/>
            </w:pPr>
            <w:r>
              <w:t>0</w:t>
            </w:r>
          </w:p>
        </w:tc>
      </w:tr>
      <w:tr w:rsidR="00557A6F" w:rsidTr="009017E2">
        <w:trPr>
          <w:trHeight w:val="380"/>
        </w:trPr>
        <w:tc>
          <w:tcPr>
            <w:tcW w:w="6860" w:type="dxa"/>
          </w:tcPr>
          <w:p w:rsidR="00557A6F" w:rsidRDefault="00557A6F" w:rsidP="00557A6F">
            <w:r>
              <w:t xml:space="preserve">Forsøk med statlig finansiering av omsorgstjenestene </w:t>
            </w:r>
          </w:p>
        </w:tc>
        <w:tc>
          <w:tcPr>
            <w:tcW w:w="1100" w:type="dxa"/>
          </w:tcPr>
          <w:p w:rsidR="00557A6F" w:rsidRDefault="00557A6F" w:rsidP="009017E2">
            <w:pPr>
              <w:jc w:val="right"/>
            </w:pPr>
            <w:r>
              <w:t>-33 204</w:t>
            </w:r>
          </w:p>
        </w:tc>
        <w:tc>
          <w:tcPr>
            <w:tcW w:w="1600" w:type="dxa"/>
          </w:tcPr>
          <w:p w:rsidR="00557A6F" w:rsidRDefault="00557A6F" w:rsidP="009017E2">
            <w:pPr>
              <w:jc w:val="right"/>
            </w:pPr>
            <w:r>
              <w:t>0</w:t>
            </w:r>
          </w:p>
        </w:tc>
      </w:tr>
      <w:tr w:rsidR="00557A6F" w:rsidTr="009017E2">
        <w:trPr>
          <w:trHeight w:val="640"/>
        </w:trPr>
        <w:tc>
          <w:tcPr>
            <w:tcW w:w="6860" w:type="dxa"/>
          </w:tcPr>
          <w:p w:rsidR="00557A6F" w:rsidRDefault="00557A6F" w:rsidP="00557A6F">
            <w:r>
              <w:t>Innlemming av tilskudd til samordning av lokale rus- og kriminalitetsf</w:t>
            </w:r>
            <w:r>
              <w:t>o</w:t>
            </w:r>
            <w:r>
              <w:t>rebyggende tiltak</w:t>
            </w:r>
          </w:p>
        </w:tc>
        <w:tc>
          <w:tcPr>
            <w:tcW w:w="1100" w:type="dxa"/>
          </w:tcPr>
          <w:p w:rsidR="00557A6F" w:rsidRDefault="00557A6F" w:rsidP="009017E2">
            <w:pPr>
              <w:jc w:val="right"/>
            </w:pPr>
            <w:r>
              <w:t>6 340</w:t>
            </w:r>
          </w:p>
        </w:tc>
        <w:tc>
          <w:tcPr>
            <w:tcW w:w="1600" w:type="dxa"/>
          </w:tcPr>
          <w:p w:rsidR="00557A6F" w:rsidRDefault="00557A6F" w:rsidP="009017E2">
            <w:pPr>
              <w:jc w:val="right"/>
            </w:pPr>
            <w:r>
              <w:t>0</w:t>
            </w:r>
          </w:p>
        </w:tc>
      </w:tr>
      <w:tr w:rsidR="00557A6F" w:rsidTr="009017E2">
        <w:trPr>
          <w:trHeight w:val="380"/>
        </w:trPr>
        <w:tc>
          <w:tcPr>
            <w:tcW w:w="6860" w:type="dxa"/>
          </w:tcPr>
          <w:p w:rsidR="00557A6F" w:rsidRDefault="00557A6F" w:rsidP="00557A6F">
            <w:r>
              <w:t xml:space="preserve">Overføring av myndighet etter naturmangfoldloven (kommunereformen) </w:t>
            </w:r>
          </w:p>
        </w:tc>
        <w:tc>
          <w:tcPr>
            <w:tcW w:w="1100" w:type="dxa"/>
          </w:tcPr>
          <w:p w:rsidR="00557A6F" w:rsidRDefault="00557A6F" w:rsidP="009017E2">
            <w:pPr>
              <w:jc w:val="right"/>
            </w:pPr>
            <w:r>
              <w:t>2 500</w:t>
            </w:r>
          </w:p>
        </w:tc>
        <w:tc>
          <w:tcPr>
            <w:tcW w:w="1600" w:type="dxa"/>
          </w:tcPr>
          <w:p w:rsidR="00557A6F" w:rsidRDefault="00557A6F" w:rsidP="009017E2">
            <w:pPr>
              <w:jc w:val="right"/>
            </w:pPr>
            <w:r>
              <w:t>0</w:t>
            </w:r>
          </w:p>
        </w:tc>
      </w:tr>
      <w:tr w:rsidR="00557A6F" w:rsidTr="009017E2">
        <w:trPr>
          <w:trHeight w:val="380"/>
        </w:trPr>
        <w:tc>
          <w:tcPr>
            <w:tcW w:w="6860" w:type="dxa"/>
          </w:tcPr>
          <w:p w:rsidR="00557A6F" w:rsidRDefault="00557A6F" w:rsidP="00557A6F">
            <w:r>
              <w:t>Overføring av myndighet etter forurensningsloven (kommunereformen)</w:t>
            </w:r>
          </w:p>
        </w:tc>
        <w:tc>
          <w:tcPr>
            <w:tcW w:w="1100" w:type="dxa"/>
          </w:tcPr>
          <w:p w:rsidR="00557A6F" w:rsidRDefault="00557A6F" w:rsidP="009017E2">
            <w:pPr>
              <w:jc w:val="right"/>
            </w:pPr>
            <w:r>
              <w:t>1 700</w:t>
            </w:r>
          </w:p>
        </w:tc>
        <w:tc>
          <w:tcPr>
            <w:tcW w:w="1600" w:type="dxa"/>
          </w:tcPr>
          <w:p w:rsidR="00557A6F" w:rsidRDefault="00557A6F" w:rsidP="009017E2">
            <w:pPr>
              <w:jc w:val="right"/>
            </w:pPr>
            <w:r>
              <w:t>0</w:t>
            </w:r>
          </w:p>
        </w:tc>
      </w:tr>
      <w:tr w:rsidR="00557A6F" w:rsidTr="009017E2">
        <w:trPr>
          <w:trHeight w:val="640"/>
        </w:trPr>
        <w:tc>
          <w:tcPr>
            <w:tcW w:w="6860" w:type="dxa"/>
          </w:tcPr>
          <w:p w:rsidR="00557A6F" w:rsidRDefault="00557A6F" w:rsidP="00557A6F">
            <w:r>
              <w:t>Innlemming av tilskudd til etablering og tilpasning av egen bolig (ko</w:t>
            </w:r>
            <w:r>
              <w:t>m</w:t>
            </w:r>
            <w:r>
              <w:t>munereformen)</w:t>
            </w:r>
          </w:p>
        </w:tc>
        <w:tc>
          <w:tcPr>
            <w:tcW w:w="1100" w:type="dxa"/>
          </w:tcPr>
          <w:p w:rsidR="00557A6F" w:rsidRDefault="00557A6F" w:rsidP="009017E2">
            <w:pPr>
              <w:jc w:val="right"/>
            </w:pPr>
            <w:r>
              <w:t>496 503</w:t>
            </w:r>
          </w:p>
        </w:tc>
        <w:tc>
          <w:tcPr>
            <w:tcW w:w="1600" w:type="dxa"/>
          </w:tcPr>
          <w:p w:rsidR="00557A6F" w:rsidRDefault="00557A6F" w:rsidP="009017E2">
            <w:pPr>
              <w:jc w:val="right"/>
            </w:pPr>
            <w:r>
              <w:t>0</w:t>
            </w:r>
          </w:p>
        </w:tc>
      </w:tr>
      <w:tr w:rsidR="00557A6F" w:rsidTr="009017E2">
        <w:trPr>
          <w:trHeight w:val="640"/>
        </w:trPr>
        <w:tc>
          <w:tcPr>
            <w:tcW w:w="6860" w:type="dxa"/>
          </w:tcPr>
          <w:p w:rsidR="00557A6F" w:rsidRDefault="00557A6F" w:rsidP="00557A6F">
            <w:r>
              <w:t xml:space="preserve">Innlemming av tilskudd til tidlig innsats gjennom økt lærertetthet </w:t>
            </w:r>
            <w:r>
              <w:br/>
              <w:t>1.–10. trinn</w:t>
            </w:r>
          </w:p>
        </w:tc>
        <w:tc>
          <w:tcPr>
            <w:tcW w:w="1100" w:type="dxa"/>
          </w:tcPr>
          <w:p w:rsidR="00557A6F" w:rsidRDefault="00557A6F" w:rsidP="009017E2">
            <w:pPr>
              <w:jc w:val="right"/>
            </w:pPr>
            <w:r>
              <w:t>1 316 832</w:t>
            </w:r>
          </w:p>
        </w:tc>
        <w:tc>
          <w:tcPr>
            <w:tcW w:w="1600" w:type="dxa"/>
          </w:tcPr>
          <w:p w:rsidR="00557A6F" w:rsidRDefault="00557A6F" w:rsidP="009017E2">
            <w:pPr>
              <w:jc w:val="right"/>
            </w:pPr>
            <w:r>
              <w:t>0</w:t>
            </w:r>
          </w:p>
        </w:tc>
      </w:tr>
      <w:tr w:rsidR="00557A6F" w:rsidTr="009017E2">
        <w:trPr>
          <w:trHeight w:val="380"/>
        </w:trPr>
        <w:tc>
          <w:tcPr>
            <w:tcW w:w="6860" w:type="dxa"/>
          </w:tcPr>
          <w:p w:rsidR="00557A6F" w:rsidRDefault="00557A6F" w:rsidP="00557A6F">
            <w:r>
              <w:t xml:space="preserve">Innlemming av tilskudd til leirskoleopplæring </w:t>
            </w:r>
          </w:p>
        </w:tc>
        <w:tc>
          <w:tcPr>
            <w:tcW w:w="1100" w:type="dxa"/>
          </w:tcPr>
          <w:p w:rsidR="00557A6F" w:rsidRDefault="00557A6F" w:rsidP="009017E2">
            <w:pPr>
              <w:jc w:val="right"/>
            </w:pPr>
            <w:r>
              <w:t>56 066</w:t>
            </w:r>
          </w:p>
        </w:tc>
        <w:tc>
          <w:tcPr>
            <w:tcW w:w="1600" w:type="dxa"/>
          </w:tcPr>
          <w:p w:rsidR="00557A6F" w:rsidRDefault="00557A6F" w:rsidP="009017E2">
            <w:pPr>
              <w:jc w:val="right"/>
            </w:pPr>
            <w:r>
              <w:t>0</w:t>
            </w:r>
          </w:p>
        </w:tc>
      </w:tr>
      <w:tr w:rsidR="00557A6F" w:rsidTr="009017E2">
        <w:trPr>
          <w:trHeight w:val="640"/>
        </w:trPr>
        <w:tc>
          <w:tcPr>
            <w:tcW w:w="6860" w:type="dxa"/>
          </w:tcPr>
          <w:p w:rsidR="00557A6F" w:rsidRDefault="00557A6F" w:rsidP="00557A6F">
            <w:r>
              <w:t xml:space="preserve">A.C. Møller skole – overføring fra Statped til Trondheim kommune, </w:t>
            </w:r>
            <w:r>
              <w:br/>
              <w:t xml:space="preserve">2020-effekt </w:t>
            </w:r>
          </w:p>
        </w:tc>
        <w:tc>
          <w:tcPr>
            <w:tcW w:w="1100" w:type="dxa"/>
          </w:tcPr>
          <w:p w:rsidR="00557A6F" w:rsidRDefault="00557A6F" w:rsidP="009017E2">
            <w:pPr>
              <w:jc w:val="right"/>
            </w:pPr>
            <w:r>
              <w:t>2 308</w:t>
            </w:r>
          </w:p>
        </w:tc>
        <w:tc>
          <w:tcPr>
            <w:tcW w:w="1600" w:type="dxa"/>
          </w:tcPr>
          <w:p w:rsidR="00557A6F" w:rsidRDefault="00557A6F" w:rsidP="009017E2">
            <w:pPr>
              <w:jc w:val="right"/>
            </w:pPr>
            <w:r>
              <w:t>0</w:t>
            </w:r>
          </w:p>
        </w:tc>
      </w:tr>
      <w:tr w:rsidR="00557A6F" w:rsidTr="009017E2">
        <w:trPr>
          <w:trHeight w:val="380"/>
        </w:trPr>
        <w:tc>
          <w:tcPr>
            <w:tcW w:w="6860" w:type="dxa"/>
          </w:tcPr>
          <w:p w:rsidR="00557A6F" w:rsidRDefault="00557A6F" w:rsidP="00557A6F">
            <w:r>
              <w:t>Inntektsgradert foreldrebetaling i SFO 1.–2. trinn</w:t>
            </w:r>
          </w:p>
        </w:tc>
        <w:tc>
          <w:tcPr>
            <w:tcW w:w="1100" w:type="dxa"/>
          </w:tcPr>
          <w:p w:rsidR="00557A6F" w:rsidRDefault="00557A6F" w:rsidP="009017E2">
            <w:pPr>
              <w:jc w:val="right"/>
            </w:pPr>
            <w:r>
              <w:t>58 200</w:t>
            </w:r>
          </w:p>
        </w:tc>
        <w:tc>
          <w:tcPr>
            <w:tcW w:w="1600" w:type="dxa"/>
          </w:tcPr>
          <w:p w:rsidR="00557A6F" w:rsidRDefault="00557A6F" w:rsidP="009017E2">
            <w:pPr>
              <w:jc w:val="right"/>
            </w:pPr>
            <w:r>
              <w:t>0</w:t>
            </w:r>
          </w:p>
        </w:tc>
      </w:tr>
      <w:tr w:rsidR="00557A6F" w:rsidTr="009017E2">
        <w:trPr>
          <w:trHeight w:val="380"/>
        </w:trPr>
        <w:tc>
          <w:tcPr>
            <w:tcW w:w="6860" w:type="dxa"/>
          </w:tcPr>
          <w:p w:rsidR="00557A6F" w:rsidRDefault="00557A6F" w:rsidP="00557A6F">
            <w:r>
              <w:t>Gratis SFO til barn med særskilte behov 5.–7. trinn</w:t>
            </w:r>
          </w:p>
        </w:tc>
        <w:tc>
          <w:tcPr>
            <w:tcW w:w="1100" w:type="dxa"/>
          </w:tcPr>
          <w:p w:rsidR="00557A6F" w:rsidRDefault="00557A6F" w:rsidP="009017E2">
            <w:pPr>
              <w:jc w:val="right"/>
            </w:pPr>
            <w:r>
              <w:t>21 000</w:t>
            </w:r>
          </w:p>
        </w:tc>
        <w:tc>
          <w:tcPr>
            <w:tcW w:w="1600" w:type="dxa"/>
          </w:tcPr>
          <w:p w:rsidR="00557A6F" w:rsidRDefault="00557A6F" w:rsidP="009017E2">
            <w:pPr>
              <w:jc w:val="right"/>
            </w:pPr>
            <w:r>
              <w:t>0</w:t>
            </w:r>
          </w:p>
        </w:tc>
      </w:tr>
      <w:tr w:rsidR="00557A6F" w:rsidTr="009017E2">
        <w:trPr>
          <w:trHeight w:val="640"/>
        </w:trPr>
        <w:tc>
          <w:tcPr>
            <w:tcW w:w="6860" w:type="dxa"/>
          </w:tcPr>
          <w:p w:rsidR="00557A6F" w:rsidRDefault="00557A6F" w:rsidP="00557A6F">
            <w:r>
              <w:t xml:space="preserve">Gratis kjernetid i barnehage for toåringer fra familier med lav inntekt, </w:t>
            </w:r>
            <w:r>
              <w:br/>
              <w:t>helårseffekt av endring i 2019</w:t>
            </w:r>
          </w:p>
        </w:tc>
        <w:tc>
          <w:tcPr>
            <w:tcW w:w="1100" w:type="dxa"/>
          </w:tcPr>
          <w:p w:rsidR="00557A6F" w:rsidRDefault="00557A6F" w:rsidP="009017E2">
            <w:pPr>
              <w:jc w:val="right"/>
            </w:pPr>
            <w:r>
              <w:t>57 783</w:t>
            </w:r>
          </w:p>
        </w:tc>
        <w:tc>
          <w:tcPr>
            <w:tcW w:w="1600" w:type="dxa"/>
          </w:tcPr>
          <w:p w:rsidR="00557A6F" w:rsidRDefault="00557A6F" w:rsidP="009017E2">
            <w:pPr>
              <w:jc w:val="right"/>
            </w:pPr>
            <w:r>
              <w:t>0</w:t>
            </w:r>
          </w:p>
        </w:tc>
      </w:tr>
      <w:tr w:rsidR="00557A6F" w:rsidTr="009017E2">
        <w:trPr>
          <w:trHeight w:val="380"/>
        </w:trPr>
        <w:tc>
          <w:tcPr>
            <w:tcW w:w="6860" w:type="dxa"/>
          </w:tcPr>
          <w:p w:rsidR="00557A6F" w:rsidRDefault="00557A6F" w:rsidP="00557A6F">
            <w:r>
              <w:t>Økt foreldrebetaling barnehage, helårseffekt av endring i 2019</w:t>
            </w:r>
          </w:p>
        </w:tc>
        <w:tc>
          <w:tcPr>
            <w:tcW w:w="1100" w:type="dxa"/>
          </w:tcPr>
          <w:p w:rsidR="00557A6F" w:rsidRDefault="00557A6F" w:rsidP="009017E2">
            <w:pPr>
              <w:jc w:val="right"/>
            </w:pPr>
            <w:r>
              <w:t>-82 892</w:t>
            </w:r>
          </w:p>
        </w:tc>
        <w:tc>
          <w:tcPr>
            <w:tcW w:w="1600" w:type="dxa"/>
          </w:tcPr>
          <w:p w:rsidR="00557A6F" w:rsidRDefault="00557A6F" w:rsidP="009017E2">
            <w:pPr>
              <w:jc w:val="right"/>
            </w:pPr>
            <w:r>
              <w:t>0</w:t>
            </w:r>
          </w:p>
        </w:tc>
      </w:tr>
      <w:tr w:rsidR="00557A6F" w:rsidTr="009017E2">
        <w:trPr>
          <w:trHeight w:val="380"/>
        </w:trPr>
        <w:tc>
          <w:tcPr>
            <w:tcW w:w="6860" w:type="dxa"/>
          </w:tcPr>
          <w:p w:rsidR="00557A6F" w:rsidRDefault="00557A6F" w:rsidP="00557A6F">
            <w:r>
              <w:t xml:space="preserve">Overføring av oppgaver på landbruksområdet (kommunereformen) </w:t>
            </w:r>
          </w:p>
        </w:tc>
        <w:tc>
          <w:tcPr>
            <w:tcW w:w="1100" w:type="dxa"/>
          </w:tcPr>
          <w:p w:rsidR="00557A6F" w:rsidRDefault="00557A6F" w:rsidP="009017E2">
            <w:pPr>
              <w:jc w:val="right"/>
            </w:pPr>
            <w:r>
              <w:t>10 400</w:t>
            </w:r>
          </w:p>
        </w:tc>
        <w:tc>
          <w:tcPr>
            <w:tcW w:w="1600" w:type="dxa"/>
          </w:tcPr>
          <w:p w:rsidR="00557A6F" w:rsidRDefault="00557A6F" w:rsidP="009017E2">
            <w:pPr>
              <w:jc w:val="right"/>
            </w:pPr>
            <w:r>
              <w:t>0</w:t>
            </w:r>
          </w:p>
        </w:tc>
      </w:tr>
      <w:tr w:rsidR="00557A6F" w:rsidTr="009017E2">
        <w:trPr>
          <w:trHeight w:val="380"/>
        </w:trPr>
        <w:tc>
          <w:tcPr>
            <w:tcW w:w="6860" w:type="dxa"/>
          </w:tcPr>
          <w:p w:rsidR="00557A6F" w:rsidRDefault="00557A6F" w:rsidP="00557A6F">
            <w:r>
              <w:t>Overføring av ansvaret for arbeidsmarkedstiltaket BIO (regionreformen)</w:t>
            </w:r>
          </w:p>
        </w:tc>
        <w:tc>
          <w:tcPr>
            <w:tcW w:w="1100" w:type="dxa"/>
          </w:tcPr>
          <w:p w:rsidR="00557A6F" w:rsidRDefault="00557A6F" w:rsidP="009017E2">
            <w:pPr>
              <w:jc w:val="right"/>
            </w:pPr>
            <w:r>
              <w:t>0</w:t>
            </w:r>
          </w:p>
        </w:tc>
        <w:tc>
          <w:tcPr>
            <w:tcW w:w="1600" w:type="dxa"/>
          </w:tcPr>
          <w:p w:rsidR="00557A6F" w:rsidRDefault="00557A6F" w:rsidP="009017E2">
            <w:pPr>
              <w:jc w:val="right"/>
            </w:pPr>
            <w:r>
              <w:t>55 000</w:t>
            </w:r>
          </w:p>
        </w:tc>
      </w:tr>
      <w:tr w:rsidR="00557A6F" w:rsidTr="009017E2">
        <w:trPr>
          <w:trHeight w:val="640"/>
        </w:trPr>
        <w:tc>
          <w:tcPr>
            <w:tcW w:w="6860" w:type="dxa"/>
          </w:tcPr>
          <w:p w:rsidR="00557A6F" w:rsidRDefault="00557A6F" w:rsidP="00557A6F">
            <w:r>
              <w:t>Overføring av tilskuddsmidler til tverrfaglig innsats på rusfeltet (regionr</w:t>
            </w:r>
            <w:r>
              <w:t>e</w:t>
            </w:r>
            <w:r>
              <w:t>formen)</w:t>
            </w:r>
          </w:p>
        </w:tc>
        <w:tc>
          <w:tcPr>
            <w:tcW w:w="1100" w:type="dxa"/>
          </w:tcPr>
          <w:p w:rsidR="00557A6F" w:rsidRDefault="00557A6F" w:rsidP="009017E2">
            <w:pPr>
              <w:jc w:val="right"/>
            </w:pPr>
            <w:r>
              <w:t>0</w:t>
            </w:r>
          </w:p>
        </w:tc>
        <w:tc>
          <w:tcPr>
            <w:tcW w:w="1600" w:type="dxa"/>
          </w:tcPr>
          <w:p w:rsidR="00557A6F" w:rsidRDefault="00557A6F" w:rsidP="009017E2">
            <w:pPr>
              <w:jc w:val="right"/>
            </w:pPr>
            <w:r>
              <w:t>3 200</w:t>
            </w:r>
          </w:p>
        </w:tc>
      </w:tr>
      <w:tr w:rsidR="00557A6F" w:rsidTr="009017E2">
        <w:trPr>
          <w:trHeight w:val="640"/>
        </w:trPr>
        <w:tc>
          <w:tcPr>
            <w:tcW w:w="6860" w:type="dxa"/>
          </w:tcPr>
          <w:p w:rsidR="00557A6F" w:rsidRDefault="00557A6F" w:rsidP="00557A6F">
            <w:r>
              <w:t>Overføring av oppgaver knyttet til Skjærgårdstjenesten og statlig sikrede friluftsområder (regionreformen)</w:t>
            </w:r>
          </w:p>
        </w:tc>
        <w:tc>
          <w:tcPr>
            <w:tcW w:w="1100" w:type="dxa"/>
          </w:tcPr>
          <w:p w:rsidR="00557A6F" w:rsidRDefault="00557A6F" w:rsidP="009017E2">
            <w:pPr>
              <w:jc w:val="right"/>
            </w:pPr>
            <w:r>
              <w:t>0</w:t>
            </w:r>
          </w:p>
        </w:tc>
        <w:tc>
          <w:tcPr>
            <w:tcW w:w="1600" w:type="dxa"/>
          </w:tcPr>
          <w:p w:rsidR="00557A6F" w:rsidRDefault="00557A6F" w:rsidP="009017E2">
            <w:pPr>
              <w:jc w:val="right"/>
            </w:pPr>
            <w:r>
              <w:t>2 700</w:t>
            </w:r>
          </w:p>
        </w:tc>
      </w:tr>
      <w:tr w:rsidR="00557A6F" w:rsidTr="009017E2">
        <w:trPr>
          <w:trHeight w:val="380"/>
        </w:trPr>
        <w:tc>
          <w:tcPr>
            <w:tcW w:w="6860" w:type="dxa"/>
          </w:tcPr>
          <w:p w:rsidR="00557A6F" w:rsidRDefault="00557A6F" w:rsidP="00557A6F">
            <w:r>
              <w:t>Overføring av oppgaver innenfor kulturminneområdet (regionrefo</w:t>
            </w:r>
            <w:r>
              <w:t>r</w:t>
            </w:r>
            <w:r>
              <w:t>men)</w:t>
            </w:r>
          </w:p>
        </w:tc>
        <w:tc>
          <w:tcPr>
            <w:tcW w:w="1100" w:type="dxa"/>
          </w:tcPr>
          <w:p w:rsidR="00557A6F" w:rsidRDefault="00557A6F" w:rsidP="009017E2">
            <w:pPr>
              <w:jc w:val="right"/>
            </w:pPr>
            <w:r>
              <w:t>0</w:t>
            </w:r>
          </w:p>
        </w:tc>
        <w:tc>
          <w:tcPr>
            <w:tcW w:w="1600" w:type="dxa"/>
          </w:tcPr>
          <w:p w:rsidR="00557A6F" w:rsidRDefault="00557A6F" w:rsidP="009017E2">
            <w:pPr>
              <w:jc w:val="right"/>
            </w:pPr>
            <w:r>
              <w:t>2 000</w:t>
            </w:r>
          </w:p>
        </w:tc>
      </w:tr>
      <w:tr w:rsidR="00557A6F" w:rsidTr="009017E2">
        <w:trPr>
          <w:trHeight w:val="640"/>
        </w:trPr>
        <w:tc>
          <w:tcPr>
            <w:tcW w:w="6860" w:type="dxa"/>
          </w:tcPr>
          <w:p w:rsidR="00557A6F" w:rsidRDefault="00557A6F" w:rsidP="00557A6F">
            <w:r>
              <w:t>Pensjonskostnader fylkeskommunene – Statens vegvesen (teknisk korre</w:t>
            </w:r>
            <w:r>
              <w:t>k</w:t>
            </w:r>
            <w:r>
              <w:t>sjon)</w:t>
            </w:r>
          </w:p>
        </w:tc>
        <w:tc>
          <w:tcPr>
            <w:tcW w:w="1100" w:type="dxa"/>
          </w:tcPr>
          <w:p w:rsidR="00557A6F" w:rsidRDefault="00557A6F" w:rsidP="009017E2">
            <w:pPr>
              <w:jc w:val="right"/>
            </w:pPr>
            <w:r>
              <w:t>0</w:t>
            </w:r>
          </w:p>
        </w:tc>
        <w:tc>
          <w:tcPr>
            <w:tcW w:w="1600" w:type="dxa"/>
          </w:tcPr>
          <w:p w:rsidR="00557A6F" w:rsidRDefault="00557A6F" w:rsidP="009017E2">
            <w:pPr>
              <w:jc w:val="right"/>
            </w:pPr>
            <w:r>
              <w:t>-636</w:t>
            </w:r>
          </w:p>
        </w:tc>
      </w:tr>
      <w:tr w:rsidR="00557A6F" w:rsidTr="009017E2">
        <w:trPr>
          <w:trHeight w:val="640"/>
        </w:trPr>
        <w:tc>
          <w:tcPr>
            <w:tcW w:w="6860" w:type="dxa"/>
          </w:tcPr>
          <w:p w:rsidR="00557A6F" w:rsidRDefault="00557A6F" w:rsidP="00557A6F">
            <w:r>
              <w:t>Innlemming av tilskudd til inkluderende og vekstkraftige lokalsa</w:t>
            </w:r>
            <w:r>
              <w:t>m</w:t>
            </w:r>
            <w:r>
              <w:t>funn (regionreformen)</w:t>
            </w:r>
          </w:p>
        </w:tc>
        <w:tc>
          <w:tcPr>
            <w:tcW w:w="1100" w:type="dxa"/>
          </w:tcPr>
          <w:p w:rsidR="00557A6F" w:rsidRDefault="00557A6F" w:rsidP="009017E2">
            <w:pPr>
              <w:jc w:val="right"/>
            </w:pPr>
            <w:r>
              <w:t>0</w:t>
            </w:r>
          </w:p>
        </w:tc>
        <w:tc>
          <w:tcPr>
            <w:tcW w:w="1600" w:type="dxa"/>
          </w:tcPr>
          <w:p w:rsidR="00557A6F" w:rsidRDefault="00557A6F" w:rsidP="009017E2">
            <w:pPr>
              <w:jc w:val="right"/>
            </w:pPr>
            <w:r>
              <w:t>51 600</w:t>
            </w:r>
          </w:p>
        </w:tc>
      </w:tr>
      <w:tr w:rsidR="00557A6F" w:rsidTr="009017E2">
        <w:trPr>
          <w:trHeight w:val="640"/>
        </w:trPr>
        <w:tc>
          <w:tcPr>
            <w:tcW w:w="6860" w:type="dxa"/>
          </w:tcPr>
          <w:p w:rsidR="00557A6F" w:rsidRDefault="00557A6F" w:rsidP="00557A6F">
            <w:r>
              <w:lastRenderedPageBreak/>
              <w:t>Innlemming av tilskudd til regionale tiltak for utvikling av næring</w:t>
            </w:r>
            <w:r>
              <w:t>s</w:t>
            </w:r>
            <w:r>
              <w:t>miljøer og tilgang til kompetanse (regionreformen)</w:t>
            </w:r>
          </w:p>
        </w:tc>
        <w:tc>
          <w:tcPr>
            <w:tcW w:w="1100" w:type="dxa"/>
          </w:tcPr>
          <w:p w:rsidR="00557A6F" w:rsidRDefault="00557A6F" w:rsidP="009017E2">
            <w:pPr>
              <w:jc w:val="right"/>
            </w:pPr>
            <w:r>
              <w:t>0</w:t>
            </w:r>
          </w:p>
        </w:tc>
        <w:tc>
          <w:tcPr>
            <w:tcW w:w="1600" w:type="dxa"/>
          </w:tcPr>
          <w:p w:rsidR="00557A6F" w:rsidRDefault="00557A6F" w:rsidP="009017E2">
            <w:pPr>
              <w:jc w:val="right"/>
            </w:pPr>
            <w:r>
              <w:t>48 504</w:t>
            </w:r>
          </w:p>
        </w:tc>
      </w:tr>
      <w:tr w:rsidR="00557A6F" w:rsidTr="009017E2">
        <w:trPr>
          <w:trHeight w:val="640"/>
        </w:trPr>
        <w:tc>
          <w:tcPr>
            <w:tcW w:w="6860" w:type="dxa"/>
          </w:tcPr>
          <w:p w:rsidR="00557A6F" w:rsidRDefault="00557A6F" w:rsidP="00557A6F">
            <w:r>
              <w:t>Innlemming av tilskudd til lærlinger, praksisbrevkandidater og lærekand</w:t>
            </w:r>
            <w:r>
              <w:t>i</w:t>
            </w:r>
            <w:r>
              <w:t xml:space="preserve">dater med særskilte behov </w:t>
            </w:r>
          </w:p>
        </w:tc>
        <w:tc>
          <w:tcPr>
            <w:tcW w:w="1100" w:type="dxa"/>
          </w:tcPr>
          <w:p w:rsidR="00557A6F" w:rsidRDefault="00557A6F" w:rsidP="009017E2">
            <w:pPr>
              <w:jc w:val="right"/>
            </w:pPr>
            <w:r>
              <w:t>0</w:t>
            </w:r>
          </w:p>
        </w:tc>
        <w:tc>
          <w:tcPr>
            <w:tcW w:w="1600" w:type="dxa"/>
          </w:tcPr>
          <w:p w:rsidR="00557A6F" w:rsidRDefault="00557A6F" w:rsidP="009017E2">
            <w:pPr>
              <w:jc w:val="right"/>
            </w:pPr>
            <w:r>
              <w:t>64 880</w:t>
            </w:r>
          </w:p>
        </w:tc>
      </w:tr>
      <w:tr w:rsidR="00557A6F" w:rsidTr="009017E2">
        <w:trPr>
          <w:trHeight w:val="640"/>
        </w:trPr>
        <w:tc>
          <w:tcPr>
            <w:tcW w:w="6860" w:type="dxa"/>
          </w:tcPr>
          <w:p w:rsidR="00557A6F" w:rsidRDefault="00557A6F" w:rsidP="00557A6F">
            <w:r>
              <w:t>Innlemming av tilskudd til fylkesvise partnerskap for karriereveile</w:t>
            </w:r>
            <w:r>
              <w:t>d</w:t>
            </w:r>
            <w:r>
              <w:t xml:space="preserve">ning (regionreformen) </w:t>
            </w:r>
          </w:p>
        </w:tc>
        <w:tc>
          <w:tcPr>
            <w:tcW w:w="1100" w:type="dxa"/>
          </w:tcPr>
          <w:p w:rsidR="00557A6F" w:rsidRDefault="00557A6F" w:rsidP="009017E2">
            <w:pPr>
              <w:jc w:val="right"/>
            </w:pPr>
            <w:r>
              <w:t>0</w:t>
            </w:r>
          </w:p>
        </w:tc>
        <w:tc>
          <w:tcPr>
            <w:tcW w:w="1600" w:type="dxa"/>
          </w:tcPr>
          <w:p w:rsidR="00557A6F" w:rsidRDefault="00557A6F" w:rsidP="009017E2">
            <w:pPr>
              <w:jc w:val="right"/>
            </w:pPr>
            <w:r>
              <w:t>35 630</w:t>
            </w:r>
          </w:p>
        </w:tc>
      </w:tr>
      <w:tr w:rsidR="00557A6F" w:rsidTr="009017E2">
        <w:trPr>
          <w:trHeight w:val="640"/>
        </w:trPr>
        <w:tc>
          <w:tcPr>
            <w:tcW w:w="6860" w:type="dxa"/>
          </w:tcPr>
          <w:p w:rsidR="00557A6F" w:rsidRDefault="00557A6F" w:rsidP="00557A6F">
            <w:r>
              <w:t>Innlemming av tilskudd til tidlig karriereveiledning for nyankomne in</w:t>
            </w:r>
            <w:r>
              <w:t>n</w:t>
            </w:r>
            <w:r>
              <w:t>vandrere</w:t>
            </w:r>
          </w:p>
        </w:tc>
        <w:tc>
          <w:tcPr>
            <w:tcW w:w="1100" w:type="dxa"/>
          </w:tcPr>
          <w:p w:rsidR="00557A6F" w:rsidRDefault="00557A6F" w:rsidP="009017E2">
            <w:pPr>
              <w:jc w:val="right"/>
            </w:pPr>
            <w:r>
              <w:t>0</w:t>
            </w:r>
          </w:p>
        </w:tc>
        <w:tc>
          <w:tcPr>
            <w:tcW w:w="1600" w:type="dxa"/>
          </w:tcPr>
          <w:p w:rsidR="00557A6F" w:rsidRDefault="00557A6F" w:rsidP="009017E2">
            <w:pPr>
              <w:jc w:val="right"/>
            </w:pPr>
            <w:r>
              <w:t>5 200</w:t>
            </w:r>
          </w:p>
        </w:tc>
      </w:tr>
      <w:tr w:rsidR="00557A6F" w:rsidTr="009017E2">
        <w:trPr>
          <w:trHeight w:val="380"/>
        </w:trPr>
        <w:tc>
          <w:tcPr>
            <w:tcW w:w="6860" w:type="dxa"/>
          </w:tcPr>
          <w:p w:rsidR="00557A6F" w:rsidRDefault="00557A6F" w:rsidP="00557A6F">
            <w:r>
              <w:t>Overføring av oppgaver fra IMDi (regionreformen)</w:t>
            </w:r>
          </w:p>
        </w:tc>
        <w:tc>
          <w:tcPr>
            <w:tcW w:w="1100" w:type="dxa"/>
          </w:tcPr>
          <w:p w:rsidR="00557A6F" w:rsidRDefault="00557A6F" w:rsidP="009017E2">
            <w:pPr>
              <w:jc w:val="right"/>
            </w:pPr>
            <w:r>
              <w:t>0</w:t>
            </w:r>
          </w:p>
        </w:tc>
        <w:tc>
          <w:tcPr>
            <w:tcW w:w="1600" w:type="dxa"/>
          </w:tcPr>
          <w:p w:rsidR="00557A6F" w:rsidRDefault="00557A6F" w:rsidP="009017E2">
            <w:pPr>
              <w:jc w:val="right"/>
            </w:pPr>
            <w:r>
              <w:t>29 073</w:t>
            </w:r>
          </w:p>
        </w:tc>
      </w:tr>
      <w:tr w:rsidR="00557A6F" w:rsidTr="009017E2">
        <w:trPr>
          <w:trHeight w:val="380"/>
        </w:trPr>
        <w:tc>
          <w:tcPr>
            <w:tcW w:w="6860" w:type="dxa"/>
          </w:tcPr>
          <w:p w:rsidR="00557A6F" w:rsidRDefault="00557A6F" w:rsidP="00557A6F">
            <w:r>
              <w:t>Overføring av tilskuddsmidler til Jobbsjansen del B (regionreformen)</w:t>
            </w:r>
          </w:p>
        </w:tc>
        <w:tc>
          <w:tcPr>
            <w:tcW w:w="1100" w:type="dxa"/>
          </w:tcPr>
          <w:p w:rsidR="00557A6F" w:rsidRDefault="00557A6F" w:rsidP="009017E2">
            <w:pPr>
              <w:jc w:val="right"/>
            </w:pPr>
            <w:r>
              <w:t>0</w:t>
            </w:r>
          </w:p>
        </w:tc>
        <w:tc>
          <w:tcPr>
            <w:tcW w:w="1600" w:type="dxa"/>
          </w:tcPr>
          <w:p w:rsidR="00557A6F" w:rsidRDefault="00557A6F" w:rsidP="009017E2">
            <w:pPr>
              <w:jc w:val="right"/>
            </w:pPr>
            <w:r>
              <w:t>95 000</w:t>
            </w:r>
          </w:p>
        </w:tc>
      </w:tr>
      <w:tr w:rsidR="00557A6F" w:rsidTr="009017E2">
        <w:trPr>
          <w:trHeight w:val="640"/>
        </w:trPr>
        <w:tc>
          <w:tcPr>
            <w:tcW w:w="6860" w:type="dxa"/>
          </w:tcPr>
          <w:p w:rsidR="00557A6F" w:rsidRDefault="00557A6F" w:rsidP="00557A6F">
            <w:r>
              <w:t>Overføring av tilskuddsmidler til etablereropplæring for innvandrere (r</w:t>
            </w:r>
            <w:r>
              <w:t>e</w:t>
            </w:r>
            <w:r>
              <w:t>gionreformen)</w:t>
            </w:r>
          </w:p>
        </w:tc>
        <w:tc>
          <w:tcPr>
            <w:tcW w:w="1100" w:type="dxa"/>
          </w:tcPr>
          <w:p w:rsidR="00557A6F" w:rsidRDefault="00557A6F" w:rsidP="009017E2">
            <w:pPr>
              <w:jc w:val="right"/>
            </w:pPr>
            <w:r>
              <w:t>0</w:t>
            </w:r>
          </w:p>
        </w:tc>
        <w:tc>
          <w:tcPr>
            <w:tcW w:w="1600" w:type="dxa"/>
          </w:tcPr>
          <w:p w:rsidR="00557A6F" w:rsidRDefault="00557A6F" w:rsidP="009017E2">
            <w:pPr>
              <w:jc w:val="right"/>
            </w:pPr>
            <w:r>
              <w:t>6 370</w:t>
            </w:r>
          </w:p>
        </w:tc>
      </w:tr>
      <w:tr w:rsidR="00557A6F" w:rsidTr="009017E2">
        <w:trPr>
          <w:trHeight w:val="640"/>
        </w:trPr>
        <w:tc>
          <w:tcPr>
            <w:tcW w:w="6860" w:type="dxa"/>
          </w:tcPr>
          <w:p w:rsidR="00557A6F" w:rsidRDefault="00557A6F" w:rsidP="00557A6F">
            <w:r>
              <w:t>Overføring av tilskuddsmidler til mentor- og traineeordninger (regionr</w:t>
            </w:r>
            <w:r>
              <w:t>e</w:t>
            </w:r>
            <w:r>
              <w:t>formen)</w:t>
            </w:r>
          </w:p>
        </w:tc>
        <w:tc>
          <w:tcPr>
            <w:tcW w:w="1100" w:type="dxa"/>
          </w:tcPr>
          <w:p w:rsidR="00557A6F" w:rsidRDefault="00557A6F" w:rsidP="009017E2">
            <w:pPr>
              <w:jc w:val="right"/>
            </w:pPr>
            <w:r>
              <w:t>0</w:t>
            </w:r>
          </w:p>
        </w:tc>
        <w:tc>
          <w:tcPr>
            <w:tcW w:w="1600" w:type="dxa"/>
          </w:tcPr>
          <w:p w:rsidR="00557A6F" w:rsidRDefault="00557A6F" w:rsidP="009017E2">
            <w:pPr>
              <w:jc w:val="right"/>
            </w:pPr>
            <w:r>
              <w:t>9 741</w:t>
            </w:r>
          </w:p>
        </w:tc>
      </w:tr>
      <w:tr w:rsidR="00557A6F" w:rsidTr="009017E2">
        <w:trPr>
          <w:trHeight w:val="380"/>
        </w:trPr>
        <w:tc>
          <w:tcPr>
            <w:tcW w:w="6860" w:type="dxa"/>
          </w:tcPr>
          <w:p w:rsidR="00557A6F" w:rsidRDefault="00557A6F" w:rsidP="00557A6F">
            <w:r>
              <w:t>Overføring av oppgaver på landbruksområdet (regionreformen)</w:t>
            </w:r>
          </w:p>
        </w:tc>
        <w:tc>
          <w:tcPr>
            <w:tcW w:w="1100" w:type="dxa"/>
          </w:tcPr>
          <w:p w:rsidR="00557A6F" w:rsidRDefault="00557A6F" w:rsidP="009017E2">
            <w:pPr>
              <w:jc w:val="right"/>
            </w:pPr>
            <w:r>
              <w:t>0</w:t>
            </w:r>
          </w:p>
        </w:tc>
        <w:tc>
          <w:tcPr>
            <w:tcW w:w="1600" w:type="dxa"/>
          </w:tcPr>
          <w:p w:rsidR="00557A6F" w:rsidRDefault="00557A6F" w:rsidP="009017E2">
            <w:pPr>
              <w:jc w:val="right"/>
            </w:pPr>
            <w:r>
              <w:t>8 000</w:t>
            </w:r>
          </w:p>
        </w:tc>
      </w:tr>
      <w:tr w:rsidR="00557A6F" w:rsidTr="009017E2">
        <w:trPr>
          <w:trHeight w:val="380"/>
        </w:trPr>
        <w:tc>
          <w:tcPr>
            <w:tcW w:w="6860" w:type="dxa"/>
          </w:tcPr>
          <w:p w:rsidR="00557A6F" w:rsidRDefault="00557A6F" w:rsidP="00557A6F">
            <w:r>
              <w:t xml:space="preserve">Innlemming av tilskudd til skredsikring </w:t>
            </w:r>
          </w:p>
        </w:tc>
        <w:tc>
          <w:tcPr>
            <w:tcW w:w="1100" w:type="dxa"/>
          </w:tcPr>
          <w:p w:rsidR="00557A6F" w:rsidRDefault="00557A6F" w:rsidP="009017E2">
            <w:pPr>
              <w:jc w:val="right"/>
            </w:pPr>
            <w:r>
              <w:t>0</w:t>
            </w:r>
          </w:p>
        </w:tc>
        <w:tc>
          <w:tcPr>
            <w:tcW w:w="1600" w:type="dxa"/>
          </w:tcPr>
          <w:p w:rsidR="00557A6F" w:rsidRDefault="00557A6F" w:rsidP="009017E2">
            <w:pPr>
              <w:jc w:val="right"/>
            </w:pPr>
            <w:r>
              <w:t>796 323</w:t>
            </w:r>
          </w:p>
        </w:tc>
      </w:tr>
      <w:tr w:rsidR="00557A6F" w:rsidTr="009017E2">
        <w:trPr>
          <w:trHeight w:val="380"/>
        </w:trPr>
        <w:tc>
          <w:tcPr>
            <w:tcW w:w="6860" w:type="dxa"/>
          </w:tcPr>
          <w:p w:rsidR="00557A6F" w:rsidRDefault="00557A6F" w:rsidP="00557A6F">
            <w:r>
              <w:t>Veibruksavgift naturgass</w:t>
            </w:r>
          </w:p>
        </w:tc>
        <w:tc>
          <w:tcPr>
            <w:tcW w:w="1100" w:type="dxa"/>
          </w:tcPr>
          <w:p w:rsidR="00557A6F" w:rsidRDefault="00557A6F" w:rsidP="009017E2">
            <w:pPr>
              <w:jc w:val="right"/>
            </w:pPr>
            <w:r>
              <w:t>0</w:t>
            </w:r>
          </w:p>
        </w:tc>
        <w:tc>
          <w:tcPr>
            <w:tcW w:w="1600" w:type="dxa"/>
          </w:tcPr>
          <w:p w:rsidR="00557A6F" w:rsidRDefault="00557A6F" w:rsidP="009017E2">
            <w:pPr>
              <w:jc w:val="right"/>
            </w:pPr>
            <w:r>
              <w:t>9 300</w:t>
            </w:r>
          </w:p>
        </w:tc>
      </w:tr>
      <w:tr w:rsidR="00557A6F" w:rsidTr="009017E2">
        <w:trPr>
          <w:trHeight w:val="380"/>
        </w:trPr>
        <w:tc>
          <w:tcPr>
            <w:tcW w:w="6860" w:type="dxa"/>
          </w:tcPr>
          <w:p w:rsidR="00557A6F" w:rsidRDefault="00557A6F" w:rsidP="00557A6F">
            <w:r>
              <w:t>Overføring av tilskudd til ikke-statlige flyplasser (regionreformen)</w:t>
            </w:r>
          </w:p>
        </w:tc>
        <w:tc>
          <w:tcPr>
            <w:tcW w:w="1100" w:type="dxa"/>
          </w:tcPr>
          <w:p w:rsidR="00557A6F" w:rsidRDefault="00557A6F" w:rsidP="009017E2">
            <w:pPr>
              <w:jc w:val="right"/>
            </w:pPr>
            <w:r>
              <w:t>0</w:t>
            </w:r>
          </w:p>
        </w:tc>
        <w:tc>
          <w:tcPr>
            <w:tcW w:w="1600" w:type="dxa"/>
          </w:tcPr>
          <w:p w:rsidR="00557A6F" w:rsidRDefault="00557A6F" w:rsidP="009017E2">
            <w:pPr>
              <w:jc w:val="right"/>
            </w:pPr>
            <w:r>
              <w:t>16 223</w:t>
            </w:r>
          </w:p>
        </w:tc>
      </w:tr>
      <w:tr w:rsidR="00557A6F" w:rsidTr="009017E2">
        <w:trPr>
          <w:trHeight w:val="380"/>
        </w:trPr>
        <w:tc>
          <w:tcPr>
            <w:tcW w:w="6860" w:type="dxa"/>
          </w:tcPr>
          <w:p w:rsidR="00557A6F" w:rsidRDefault="00557A6F" w:rsidP="00557A6F">
            <w:r>
              <w:t>Overføring av fiskerihavneanlegg (regionreformen)</w:t>
            </w:r>
          </w:p>
        </w:tc>
        <w:tc>
          <w:tcPr>
            <w:tcW w:w="1100" w:type="dxa"/>
          </w:tcPr>
          <w:p w:rsidR="00557A6F" w:rsidRDefault="00557A6F" w:rsidP="009017E2">
            <w:pPr>
              <w:jc w:val="right"/>
            </w:pPr>
            <w:r>
              <w:t>0</w:t>
            </w:r>
          </w:p>
        </w:tc>
        <w:tc>
          <w:tcPr>
            <w:tcW w:w="1600" w:type="dxa"/>
          </w:tcPr>
          <w:p w:rsidR="00557A6F" w:rsidRDefault="00557A6F" w:rsidP="009017E2">
            <w:pPr>
              <w:jc w:val="right"/>
            </w:pPr>
            <w:r>
              <w:t>34 252</w:t>
            </w:r>
          </w:p>
        </w:tc>
      </w:tr>
      <w:tr w:rsidR="00557A6F" w:rsidTr="009017E2">
        <w:trPr>
          <w:trHeight w:val="380"/>
        </w:trPr>
        <w:tc>
          <w:tcPr>
            <w:tcW w:w="6860" w:type="dxa"/>
          </w:tcPr>
          <w:p w:rsidR="00557A6F" w:rsidRDefault="00557A6F" w:rsidP="00557A6F">
            <w:r>
              <w:rPr>
                <w:rStyle w:val="kursiv"/>
                <w:sz w:val="21"/>
                <w:szCs w:val="21"/>
              </w:rPr>
              <w:t>Sum</w:t>
            </w:r>
          </w:p>
        </w:tc>
        <w:tc>
          <w:tcPr>
            <w:tcW w:w="1100" w:type="dxa"/>
          </w:tcPr>
          <w:p w:rsidR="00557A6F" w:rsidRDefault="00557A6F" w:rsidP="009017E2">
            <w:pPr>
              <w:jc w:val="right"/>
            </w:pPr>
            <w:r>
              <w:rPr>
                <w:rStyle w:val="kursiv"/>
                <w:sz w:val="21"/>
                <w:szCs w:val="21"/>
              </w:rPr>
              <w:t>1 783 210</w:t>
            </w:r>
          </w:p>
        </w:tc>
        <w:tc>
          <w:tcPr>
            <w:tcW w:w="1600" w:type="dxa"/>
          </w:tcPr>
          <w:p w:rsidR="00557A6F" w:rsidRDefault="00557A6F" w:rsidP="009017E2">
            <w:pPr>
              <w:jc w:val="right"/>
            </w:pPr>
            <w:r>
              <w:rPr>
                <w:rStyle w:val="kursiv"/>
                <w:sz w:val="21"/>
                <w:szCs w:val="21"/>
              </w:rPr>
              <w:t>1 317 432</w:t>
            </w:r>
          </w:p>
        </w:tc>
      </w:tr>
    </w:tbl>
    <w:p w:rsidR="00557A6F" w:rsidRDefault="00557A6F" w:rsidP="00557A6F">
      <w:pPr>
        <w:pStyle w:val="avsnitt-tittel"/>
      </w:pPr>
      <w:r>
        <w:t>Kommunene og fylkeskommunene</w:t>
      </w:r>
    </w:p>
    <w:p w:rsidR="00557A6F" w:rsidRDefault="00557A6F" w:rsidP="00557A6F">
      <w:pPr>
        <w:pStyle w:val="avsnitt-undertittel"/>
      </w:pPr>
      <w:r>
        <w:t>Statlige og private skoler</w:t>
      </w:r>
    </w:p>
    <w:p w:rsidR="00557A6F" w:rsidRDefault="00557A6F" w:rsidP="00557A6F">
      <w:r>
        <w:t>Som følge av økt antall elever i statlige og private skoler reduseres rammetilskuddet til kommun</w:t>
      </w:r>
      <w:r>
        <w:t>e</w:t>
      </w:r>
      <w:r>
        <w:t>ne med 171,1 mill. kroner. Som følge av redusert antall elever i statlige og private videregående skoler økes rammetilskuddet til fylkeskommunene med 14 mill. kroner. Se Grønt hefte (H-2454 N) for nærmere o</w:t>
      </w:r>
      <w:r>
        <w:t>m</w:t>
      </w:r>
      <w:r>
        <w:t xml:space="preserve">tale av trekk- og korreksjonsordningen for elever i statlige og private skoler. </w:t>
      </w:r>
    </w:p>
    <w:p w:rsidR="00557A6F" w:rsidRDefault="00557A6F" w:rsidP="00557A6F">
      <w:pPr>
        <w:pStyle w:val="avsnitt-undertittel"/>
      </w:pPr>
      <w:r>
        <w:t>Ny gjennomføringsløsning for prøver og eksamener</w:t>
      </w:r>
    </w:p>
    <w:p w:rsidR="00557A6F" w:rsidRDefault="00557A6F" w:rsidP="00557A6F">
      <w:r>
        <w:t>En ny, universelt utformet gjennomføringsløsning for prøver og eksamener avlaster kommunesek</w:t>
      </w:r>
      <w:r>
        <w:t>t</w:t>
      </w:r>
      <w:r>
        <w:t>oren og er anslått å gi besparelser i 2020 på 2,6 mill. kroner for sektoren samlet. Som følge av dette reduseres rammetilskuddet til kommuner og fylkeskommuner med 1,3 mill. kroner hver. Se næ</w:t>
      </w:r>
      <w:r>
        <w:t>r</w:t>
      </w:r>
      <w:r>
        <w:t>mere omtale i Prop. 1 S (2019–2020) for Kunnskapsdepartementet.</w:t>
      </w:r>
    </w:p>
    <w:p w:rsidR="00557A6F" w:rsidRDefault="00557A6F" w:rsidP="00557A6F">
      <w:r>
        <w:t xml:space="preserve"> </w:t>
      </w:r>
    </w:p>
    <w:p w:rsidR="00557A6F" w:rsidRDefault="00557A6F" w:rsidP="00557A6F">
      <w:pPr>
        <w:pStyle w:val="avsnitt-undertittel"/>
      </w:pPr>
      <w:r>
        <w:lastRenderedPageBreak/>
        <w:t>Innlemming av tilskudd til gang- og sykkelveier</w:t>
      </w:r>
    </w:p>
    <w:p w:rsidR="00557A6F" w:rsidRDefault="00557A6F" w:rsidP="00557A6F">
      <w:r>
        <w:t xml:space="preserve">Tilskuddsordningen for gang- og sykkelveier ble varslet innlemmet i rammetilskuddet i Meld. St. 6 (2018–2019) </w:t>
      </w:r>
      <w:r>
        <w:rPr>
          <w:rStyle w:val="kursiv"/>
          <w:spacing w:val="-3"/>
          <w:sz w:val="21"/>
          <w:szCs w:val="21"/>
        </w:rPr>
        <w:t>Oppgaver til nye regioner</w:t>
      </w:r>
      <w:r>
        <w:t>. Det overføres 81 mill. kroner fra kap. 1320, post 63. Or</w:t>
      </w:r>
      <w:r>
        <w:t>d</w:t>
      </w:r>
      <w:r>
        <w:t>ningen retter seg både mot kommuner og fylkeskommuner, med en fordeling på 60 pst. til ko</w:t>
      </w:r>
      <w:r>
        <w:t>m</w:t>
      </w:r>
      <w:r>
        <w:t>munene og 40 pst. til fy</w:t>
      </w:r>
      <w:r>
        <w:t>l</w:t>
      </w:r>
      <w:r>
        <w:t>keskommunene. Det innebærer at rammetilskuddet til kommunene økes med 48,6 mill. kroner, og rammetilskuddet til fylkeskommunene øker med 32,4 mill. kroner. Mi</w:t>
      </w:r>
      <w:r>
        <w:t>d</w:t>
      </w:r>
      <w:r>
        <w:t>lene til fylkeskommunene fordeles etter delkostnadsnøkkelen for fylkesvei. Se nærmere omtale i Prop. 1 S (2019–2020) for Samferdselsdeparteme</w:t>
      </w:r>
      <w:r>
        <w:t>n</w:t>
      </w:r>
      <w:r>
        <w:t>tet.</w:t>
      </w:r>
    </w:p>
    <w:p w:rsidR="00557A6F" w:rsidRDefault="00557A6F" w:rsidP="00557A6F">
      <w:pPr>
        <w:pStyle w:val="avsnitt-tittel"/>
      </w:pPr>
      <w:r>
        <w:t>Kommunene</w:t>
      </w:r>
    </w:p>
    <w:p w:rsidR="00557A6F" w:rsidRDefault="00557A6F" w:rsidP="00557A6F">
      <w:pPr>
        <w:pStyle w:val="avsnitt-undertittel"/>
      </w:pPr>
      <w:r>
        <w:t>Overføring av førstelinje for sosiale tjenester fra Bergen og Oslo kommuner til NAV Ko</w:t>
      </w:r>
      <w:r>
        <w:t>n</w:t>
      </w:r>
      <w:r>
        <w:t>taktsenter</w:t>
      </w:r>
    </w:p>
    <w:p w:rsidR="00557A6F" w:rsidRDefault="00557A6F" w:rsidP="00557A6F">
      <w:r>
        <w:t>NAV Kontaktsenter (NKS) har tidligere tilbudt en førstelinje for brukere av sosiale tjenester for alle kommuner med unntak av Oslo og Bergen. NKS overtok imidlertid ansvaret fra Bergen i 2018, og i løpet av 2019 overføres også oppgaven fra Oslo. Rammetilskuddet reduseres derfor med 7,5 mill. kroner mot en tilsvarende økning på kap. 605, post 01. Se nærmere omtale i Prop. 1 S (2019–2020) for Arbeids- og sosialdepartementet.</w:t>
      </w:r>
    </w:p>
    <w:p w:rsidR="00557A6F" w:rsidRDefault="00557A6F" w:rsidP="00557A6F">
      <w:pPr>
        <w:pStyle w:val="avsnitt-undertittel"/>
      </w:pPr>
      <w:r>
        <w:t>Forsøk med ny oppgave- og ansvarsdeling i barnevernet</w:t>
      </w:r>
    </w:p>
    <w:p w:rsidR="00557A6F" w:rsidRDefault="00557A6F" w:rsidP="00557A6F">
      <w:r>
        <w:t>Barne- og familiedepartementet iverksatte i 2016 et forsøk med økt kommunalt ansvar for barn</w:t>
      </w:r>
      <w:r>
        <w:t>e</w:t>
      </w:r>
      <w:r>
        <w:t>vern i (nåværende) Færder, Alta og Røyken. Kommunene har vært kompensert for forsøket over rammeti</w:t>
      </w:r>
      <w:r>
        <w:t>l</w:t>
      </w:r>
      <w:r>
        <w:t>skuddet. Forsøket i Røyken avvikles ved utgangen av 2019, og rammetilskuddet reduseres med 22,4 mill. kroner, som innebærer et trekk for nye Asker kommune (tabell C). Se nærmere o</w:t>
      </w:r>
      <w:r>
        <w:t>m</w:t>
      </w:r>
      <w:r>
        <w:t>tale i Prop. 1 S (2019–2020) for Barne- og familiedepartementet.</w:t>
      </w:r>
    </w:p>
    <w:p w:rsidR="00557A6F" w:rsidRDefault="00557A6F" w:rsidP="00557A6F">
      <w:pPr>
        <w:pStyle w:val="avsnitt-undertittel"/>
      </w:pPr>
      <w:r>
        <w:t>Overføring av skatteoppkrevingen fra kommunene til Skatteetaten</w:t>
      </w:r>
    </w:p>
    <w:p w:rsidR="00557A6F" w:rsidRDefault="00557A6F" w:rsidP="00557A6F">
      <w:r>
        <w:t xml:space="preserve">Regjeringen foreslår å overføre skatteoppkrevingen fra kommunene til Skatteetaten fra 1. juni 2020. Kommunenes utgifter til skatteoppkreving er anslått til 1 104,7 mill. kroner årlig. Effekten av dette er 644,4 mill. kroner i 2020, og rammetilskuddet reduseres tilsvarende. Se nærmere omtale i Prop. 1 LS (2019–2020) </w:t>
      </w:r>
      <w:r>
        <w:rPr>
          <w:rStyle w:val="kursiv"/>
          <w:sz w:val="21"/>
          <w:szCs w:val="21"/>
        </w:rPr>
        <w:t>Skatter, avgifter og toll 2020</w:t>
      </w:r>
      <w:r>
        <w:t>.</w:t>
      </w:r>
    </w:p>
    <w:p w:rsidR="00557A6F" w:rsidRDefault="00557A6F" w:rsidP="00557A6F">
      <w:pPr>
        <w:pStyle w:val="avsnitt-undertittel"/>
      </w:pPr>
      <w:r>
        <w:t>Innlemming av tilskudd til rekruttering av psykologer</w:t>
      </w:r>
    </w:p>
    <w:p w:rsidR="00557A6F" w:rsidRDefault="00557A6F" w:rsidP="00557A6F">
      <w:r>
        <w:t>Regjeringen har gjennom et rekrutteringstilskudd lagt til rette for at alle kommuner kan rekruttere psykologkompetanse før plikten til å ha slik kompetanse i de kommunale helse- og omsorgstjene</w:t>
      </w:r>
      <w:r>
        <w:t>s</w:t>
      </w:r>
      <w:r>
        <w:t>tene trer i kraft 1. januar 2020. Tilskuddet innlemmes i rammetilskuddet i 2020 gjennom en overf</w:t>
      </w:r>
      <w:r>
        <w:t>ø</w:t>
      </w:r>
      <w:r>
        <w:t>ring på 211,6 mill. kroner fra kap. 765, post 60. Midlene fordeles etter delkostnadsnøkkelen for kommunehelse. Se nærmere omtale i Prop. 1 S (2019–2020) for Helse- og omsorgsdepartementet.</w:t>
      </w:r>
    </w:p>
    <w:p w:rsidR="00557A6F" w:rsidRDefault="00557A6F" w:rsidP="00557A6F">
      <w:pPr>
        <w:pStyle w:val="avsnitt-undertittel"/>
      </w:pPr>
      <w:r>
        <w:t>Innlemming av tilskudd til dagaktivitetstilbud til hjemmeboende personer med demens</w:t>
      </w:r>
    </w:p>
    <w:p w:rsidR="00557A6F" w:rsidRDefault="00557A6F" w:rsidP="00557A6F">
      <w:r>
        <w:t>Kommunene har fra 1. januar 2020 plikt til å tilby et dagaktivitetstilbud til hjemmeboende personer med demens. For å bygge ut et slikt tilbud ble det i 2012 etablert en tilskuddsordning som innle</w:t>
      </w:r>
      <w:r>
        <w:t>m</w:t>
      </w:r>
      <w:r>
        <w:t>mes i rammetilskuddet i 2020. Det overføres derfor 369,1 mill. kroner fra kap. 761, post 62. Mi</w:t>
      </w:r>
      <w:r>
        <w:t>d</w:t>
      </w:r>
      <w:r>
        <w:t>lene fordeles etter delkostnadsnøkkelen for pleie og omsorg. Se nærmere omtale i Prop. 1 S (2019–2020) for Helse- og o</w:t>
      </w:r>
      <w:r>
        <w:t>m</w:t>
      </w:r>
      <w:r>
        <w:t>sorgsdepartementet.</w:t>
      </w:r>
    </w:p>
    <w:p w:rsidR="00557A6F" w:rsidRDefault="00557A6F" w:rsidP="00557A6F">
      <w:pPr>
        <w:pStyle w:val="avsnitt-undertittel"/>
      </w:pPr>
      <w:r>
        <w:t xml:space="preserve">Innlemming av tilskudd til habilitering og </w:t>
      </w:r>
      <w:r>
        <w:br/>
        <w:t>rehabilitering</w:t>
      </w:r>
    </w:p>
    <w:p w:rsidR="00557A6F" w:rsidRDefault="00557A6F" w:rsidP="00557A6F">
      <w:r>
        <w:t>Regjeringen la i statsbudsjettet for 2017 fram en treårig opptrappingsplan for habilitering og reh</w:t>
      </w:r>
      <w:r>
        <w:t>a</w:t>
      </w:r>
      <w:r>
        <w:t>bilitering og opprettet et øremerket stimuleringstilskudd. 2019 er siste år i opptrappingsplanen og stimuleringsti</w:t>
      </w:r>
      <w:r>
        <w:t>l</w:t>
      </w:r>
      <w:r>
        <w:t xml:space="preserve">skuddet innlemmes i rammetilskuddet i 2020. Det overføres derfor 87 mill. kroner fra kap. 762, post 64. </w:t>
      </w:r>
      <w:r>
        <w:lastRenderedPageBreak/>
        <w:t>Midlene fordeles etter delkostnadsnøkkelen for kommunehelse. I tillegg til det øremerkede tilskuddet er 200 mill. kroner av veksten i kommunesektorens frie inntekter i pla</w:t>
      </w:r>
      <w:r>
        <w:t>n</w:t>
      </w:r>
      <w:r>
        <w:t>perioden begrunnet med planen. Se nærmere omtale i Prop. 1 S (2019–2020) for Helse- og o</w:t>
      </w:r>
      <w:r>
        <w:t>m</w:t>
      </w:r>
      <w:r>
        <w:t>sorgsdepartementet.</w:t>
      </w:r>
    </w:p>
    <w:p w:rsidR="00557A6F" w:rsidRDefault="00557A6F" w:rsidP="00557A6F">
      <w:pPr>
        <w:pStyle w:val="avsnitt-undertittel"/>
      </w:pPr>
      <w:r>
        <w:t xml:space="preserve">Forsøk med statlig finansiering av omsorgstjenestene </w:t>
      </w:r>
    </w:p>
    <w:p w:rsidR="00557A6F" w:rsidRDefault="00557A6F" w:rsidP="00557A6F">
      <w:r>
        <w:t>Forsøk med statlig finansiering av omsorgstjenestene ble iverksatt 1. mai 2016 og administreres av Helse- og omsorgsdepartementet. Forsøket finansieres hovedsakelig ved at midler er trukket ut av forsøkskommunenes innbyggertilskudd</w:t>
      </w:r>
      <w:proofErr w:type="gramStart"/>
      <w:r>
        <w:t xml:space="preserve"> (kap.</w:t>
      </w:r>
      <w:proofErr w:type="gramEnd"/>
      <w:r>
        <w:t xml:space="preserve"> 571, post 60) og overført til kap. 761, post 65 på Helse- og o</w:t>
      </w:r>
      <w:r>
        <w:t>m</w:t>
      </w:r>
      <w:r>
        <w:t>sorgsdepartementets budsjett.</w:t>
      </w:r>
    </w:p>
    <w:p w:rsidR="00557A6F" w:rsidRDefault="00557A6F" w:rsidP="00557A6F">
      <w:r>
        <w:t>Forsøket skal videreføres og utvides ved at dagens deltakerkommuner og kommuner disse skal slå seg sammen med, fortsetter i forsøket fra 1. januar 2020/1. juli 2020. Trekket i rammetilskuddet på 33,2 mill. kroner er netto effekt av endringer i antall forsøkskommuner. Det legges opp til å utvide forsøket med ytterligere seks nye komm</w:t>
      </w:r>
      <w:r>
        <w:t>u</w:t>
      </w:r>
      <w:r>
        <w:t>ner med sikte på oppstart senest andre halvår 2020. Nytt uttrekk fra rammetilsku</w:t>
      </w:r>
      <w:r>
        <w:t>d</w:t>
      </w:r>
      <w:r>
        <w:t>det som følge av en eventuell utvidelse av forsøket vil bli gjort i revidert nasjonalbudsjett for 2020 og i statsbudsjettet for 2021. For nærmere o</w:t>
      </w:r>
      <w:r>
        <w:t>m</w:t>
      </w:r>
      <w:r>
        <w:t>tale av forsøket vises det til Prop. 1 S (2019–2020) for Helse- og o</w:t>
      </w:r>
      <w:r>
        <w:t>m</w:t>
      </w:r>
      <w:r>
        <w:t>sorgsdepartementet.</w:t>
      </w:r>
    </w:p>
    <w:p w:rsidR="00557A6F" w:rsidRDefault="00557A6F" w:rsidP="00557A6F">
      <w:pPr>
        <w:pStyle w:val="avsnitt-undertittel"/>
      </w:pPr>
      <w:r>
        <w:t>Innlemming av tilskudd til samordning av lokale rus- og kriminalitetsforebyggende tiltak</w:t>
      </w:r>
    </w:p>
    <w:p w:rsidR="00557A6F" w:rsidRDefault="00557A6F" w:rsidP="00557A6F">
      <w:r>
        <w:t>Tilskuddsordningen innlemmes i rammetilskuddet gjennom en overføring på 6,3 mill. kroner fra kap. 474, post 60. Innlemmingen underbygger kommunenes helhetlige ansvar for det kriminal</w:t>
      </w:r>
      <w:r>
        <w:t>i</w:t>
      </w:r>
      <w:r>
        <w:t>tetsforebyggende arbeidet. Se nærmere omtale i Prop. 1 S (2019–2020) for Justis- og beredskap</w:t>
      </w:r>
      <w:r>
        <w:t>s</w:t>
      </w:r>
      <w:r>
        <w:t>departementet.</w:t>
      </w:r>
    </w:p>
    <w:p w:rsidR="00557A6F" w:rsidRDefault="00557A6F" w:rsidP="00557A6F">
      <w:pPr>
        <w:pStyle w:val="avsnitt-undertittel"/>
      </w:pPr>
      <w:r>
        <w:t>Overføring av myndighet etter naturmangfoldloven</w:t>
      </w:r>
    </w:p>
    <w:p w:rsidR="00557A6F" w:rsidRDefault="00557A6F" w:rsidP="00557A6F">
      <w:r>
        <w:t>Som en del av kommunereformen overføres myndighet fra fylkesmannen til kommunene etter n</w:t>
      </w:r>
      <w:r>
        <w:t>a</w:t>
      </w:r>
      <w:r>
        <w:t>turmangfoldloven § 62 for mindre verneområder som ikke forvaltes av nasjona</w:t>
      </w:r>
      <w:r>
        <w:t>l</w:t>
      </w:r>
      <w:r>
        <w:t>park-/verneområdsstyrer. Med utgangspunkt i fylkesmannens ressursbruk i dag overføres det 2,5 mill. kroner fra kap. 525, post 01 til rammetilskuddet. Midlene fordeles etter delkostnadsnø</w:t>
      </w:r>
      <w:r>
        <w:t>k</w:t>
      </w:r>
      <w:r>
        <w:t>kelen for administrasjon og miljø. Se nærmere omtale under programkategori 13.25.</w:t>
      </w:r>
    </w:p>
    <w:p w:rsidR="00557A6F" w:rsidRDefault="00557A6F" w:rsidP="00557A6F">
      <w:pPr>
        <w:pStyle w:val="avsnitt-undertittel"/>
      </w:pPr>
      <w:r>
        <w:t>Overføring av myndighet etter forurensningsloven</w:t>
      </w:r>
    </w:p>
    <w:p w:rsidR="00557A6F" w:rsidRDefault="00557A6F" w:rsidP="00557A6F">
      <w:r>
        <w:t>Som en del av kommunereformen overføres myndighet fra fylkesmannen til kommunene etter fo</w:t>
      </w:r>
      <w:r>
        <w:t>r</w:t>
      </w:r>
      <w:r>
        <w:t>urensningsloven § 11 for behandling av støy fra motorsportbaner, skytebaner og vindmøller. Med u</w:t>
      </w:r>
      <w:r>
        <w:t>t</w:t>
      </w:r>
      <w:r>
        <w:t xml:space="preserve">gangspunkt i fylkesmannens ressursbruk i dag overføres det 1,7 mill. kroner fra kap. 525, post 01 til rammetilskuddet. Midlene fordeles etter delkostnadsnøkkelen for administrasjon og miljø. Se nærmere omtale under programkategori 13.25. </w:t>
      </w:r>
    </w:p>
    <w:p w:rsidR="00557A6F" w:rsidRDefault="00557A6F" w:rsidP="00557A6F">
      <w:pPr>
        <w:pStyle w:val="avsnitt-undertittel"/>
      </w:pPr>
      <w:r>
        <w:t>Innlemming av tilskudd til etablering og tilpasning av egen bolig</w:t>
      </w:r>
    </w:p>
    <w:p w:rsidR="00557A6F" w:rsidRDefault="00557A6F" w:rsidP="00557A6F">
      <w:r>
        <w:t>Som en del av kommunereformen overføres ansvaret for tilskudd til etablering i egen bolig og ti</w:t>
      </w:r>
      <w:r>
        <w:t>l</w:t>
      </w:r>
      <w:r>
        <w:t>skudd til tilpasning av bolig fra Husbanken til kommunene i 2020. Tilskuddet på kap. 581, post 75 innlemmes i rammetilskuddet som økes med 496,5 mill. kroner. Midlene fordeles etter delkos</w:t>
      </w:r>
      <w:r>
        <w:t>t</w:t>
      </w:r>
      <w:r>
        <w:t>nadsnøkkelen for s</w:t>
      </w:r>
      <w:r>
        <w:t>o</w:t>
      </w:r>
      <w:r>
        <w:t xml:space="preserve">sialhjelp. Se nærmere omtale under programkategori 13.80. </w:t>
      </w:r>
    </w:p>
    <w:p w:rsidR="00557A6F" w:rsidRDefault="00557A6F" w:rsidP="00557A6F">
      <w:pPr>
        <w:pStyle w:val="avsnitt-undertittel"/>
      </w:pPr>
      <w:r>
        <w:t>Innlemming av tilskuddet til tidlig innsats gjennom økt lærertetthet på 1.–10.-trinn</w:t>
      </w:r>
    </w:p>
    <w:p w:rsidR="00557A6F" w:rsidRDefault="00557A6F" w:rsidP="00557A6F">
      <w:r>
        <w:t>Som varslet i Prop. 1 S (2018–2019) skal midler til tidlig innsats i skolen gjennom økt lærertetthet på 1.–10. trinn på innlemmes i rammetilskuddet i 2020. Det overføres 1 316,8 mill. kroner fra kap. 226, post 63. Mi</w:t>
      </w:r>
      <w:r>
        <w:t>d</w:t>
      </w:r>
      <w:r>
        <w:t>lene blir fordelt særskilt i 2020 (tabell c) for å ivareta både kommuner med et relativt og med et absolutt behov for lærerårsverk. Fra 2021 vil midlene blir fordelt etter de o</w:t>
      </w:r>
      <w:r>
        <w:t>r</w:t>
      </w:r>
      <w:r>
        <w:t>dinære kriteriene i inntektssystemet. Innlemmingen må ses i sammenheng med midler til tidlig innsats innenfor veksten i de frie inntektene til kommunene. Se nærmere omtale i kapittel 3.3 og i Prop. 1 S (2019–2020) for Kunnskapsdepartementet.</w:t>
      </w:r>
    </w:p>
    <w:p w:rsidR="00557A6F" w:rsidRDefault="00557A6F" w:rsidP="00557A6F">
      <w:pPr>
        <w:pStyle w:val="avsnitt-undertittel"/>
      </w:pPr>
      <w:r>
        <w:lastRenderedPageBreak/>
        <w:t>Innlemming av tilskudd til leirskoleopplæring</w:t>
      </w:r>
    </w:p>
    <w:p w:rsidR="00557A6F" w:rsidRDefault="00557A6F" w:rsidP="00557A6F">
      <w:r>
        <w:t>Fra 1. august 2019 har kommunene plikt til å tilby leirskole eller annen skoletur med overnatting som del av grunnskoleopplæringen. Det øremerkede tilskuddet til leirskoleopplæring på kap. 225, post 60 innlemmes, og 56,1 mill. kroner overføres til rammetilskuddet. Midlene fordeles etter de</w:t>
      </w:r>
      <w:r>
        <w:t>l</w:t>
      </w:r>
      <w:r>
        <w:t>kostnadsnøkkelen for grunnskole. Se nærmere omtale i Prop. 1 S (2019–2020) for Kunnskapsd</w:t>
      </w:r>
      <w:r>
        <w:t>e</w:t>
      </w:r>
      <w:r>
        <w:t>partementet.</w:t>
      </w:r>
    </w:p>
    <w:p w:rsidR="00557A6F" w:rsidRDefault="00557A6F" w:rsidP="00557A6F">
      <w:pPr>
        <w:pStyle w:val="avsnitt-undertittel"/>
      </w:pPr>
      <w:r>
        <w:t>A. C. Møller skole, overføring fra Statped til Trondheim kommune – helårseffekt</w:t>
      </w:r>
    </w:p>
    <w:p w:rsidR="00557A6F" w:rsidRDefault="00557A6F" w:rsidP="00557A6F">
      <w:r>
        <w:t>Ansvaret for driften av A. C. Møller skole ble overført fra Statped til Trondheim kommune fra 1. juli 2017. Fra høsten 2019 kompenseres Trondheim kommune over rammetilskuddet. Effekten i 2020 er på 2,3 mill. kroner. Midlene fordeles særskilt (tabell C) til og med 2021. Fra 2022 vil mi</w:t>
      </w:r>
      <w:r>
        <w:t>d</w:t>
      </w:r>
      <w:r>
        <w:t>lene bli fordelt etter ordinære kriterier i inntektssystemet.</w:t>
      </w:r>
    </w:p>
    <w:p w:rsidR="00557A6F" w:rsidRDefault="00557A6F" w:rsidP="00557A6F">
      <w:pPr>
        <w:pStyle w:val="avsnitt-undertittel"/>
      </w:pPr>
      <w:r>
        <w:t>Inntektsgradert foreldrebetaling i SFO på 1.–2. trinn</w:t>
      </w:r>
    </w:p>
    <w:p w:rsidR="00557A6F" w:rsidRDefault="00557A6F" w:rsidP="00557A6F">
      <w:r>
        <w:t>Regjeringen foreslår å innføre en nasjonal ordning med inntektsgradert foreldrebetaling i SFO på 1. og 2. trinn fra skoleåret 2020/2021. Dette innebærer at foreldrebetaling for et heltidstilbud i SFO på 1.–2. trinn maksimalt skal utgjøre 6 pst. av den samlede person- og kapitalinntekten i hushol</w:t>
      </w:r>
      <w:r>
        <w:t>d</w:t>
      </w:r>
      <w:r>
        <w:t>ningen. Kommunene kompenseres i 2020 gjennom en økning i rammetilskuddet på 58,2 mill. kr</w:t>
      </w:r>
      <w:r>
        <w:t>o</w:t>
      </w:r>
      <w:r>
        <w:t>ner som fordeles etter de</w:t>
      </w:r>
      <w:r>
        <w:t>l</w:t>
      </w:r>
      <w:r>
        <w:t>kostnadsnøkkelen for grunnskole. Helårseffekten av tiltaket er 139,7 mill. kroner. Se nærmere omtale i Prop. 1 S (2019–2020) for Kunnskapsdepartementet.</w:t>
      </w:r>
    </w:p>
    <w:p w:rsidR="00557A6F" w:rsidRDefault="00557A6F" w:rsidP="00557A6F">
      <w:pPr>
        <w:pStyle w:val="avsnitt-undertittel"/>
      </w:pPr>
      <w:r>
        <w:t xml:space="preserve">Gratis SFO for elever med særskilte behov på 5.–7. trinn </w:t>
      </w:r>
    </w:p>
    <w:p w:rsidR="00557A6F" w:rsidRDefault="00557A6F" w:rsidP="00557A6F">
      <w:r>
        <w:t>Regjeringen foreslår å innføre gratis SFO for elever med særskilte behov på 5.–7. trinn fra skol</w:t>
      </w:r>
      <w:r>
        <w:t>e</w:t>
      </w:r>
      <w:r>
        <w:t>året 2020/21. Kommunene kompenseres gjennom en økning i rammetilskuddet på 21 mill. kroner i 2020. Helårseffekten av tiltaket er 50,4 mill. kroner. Midlene fordeles etter delkostnadsnøkkelen for grunnsk</w:t>
      </w:r>
      <w:r>
        <w:t>o</w:t>
      </w:r>
      <w:r>
        <w:t>le. Se nærmere omtale i Prop. 1 S (2019–2020) for Kunnskapsdepartementet.</w:t>
      </w:r>
    </w:p>
    <w:p w:rsidR="00557A6F" w:rsidRDefault="00557A6F" w:rsidP="00557A6F">
      <w:pPr>
        <w:pStyle w:val="avsnitt-undertittel"/>
      </w:pPr>
      <w:r>
        <w:t>Gratis kjernetid i barnehagen for toåringer fra familier med lav inntekt – helårseffekt</w:t>
      </w:r>
    </w:p>
    <w:p w:rsidR="00557A6F" w:rsidRDefault="00557A6F" w:rsidP="00557A6F">
      <w:r>
        <w:t>Ved behandlingen av statsbudsjettet for 2019 ble det besluttet å øke rammetilskuddet med 45,7 mill. kroner som kompensasjon for innføring av gratis kjernetid i barnehage fra 1. august 2019 for toåringer fra familier med lav inntekt. Endringen får helårseffekt i 2020, og rammetilskuddet økes derfor med ytterligere 57,8 mill. kroner. Midlene fordeles etter delkostnadsnøkkelen for ba</w:t>
      </w:r>
      <w:r>
        <w:t>r</w:t>
      </w:r>
      <w:r>
        <w:t>nehage. Se nærmere omtale i Prop. 1 S (2019–2020) for Kunnskapsdepartementet.</w:t>
      </w:r>
    </w:p>
    <w:p w:rsidR="00557A6F" w:rsidRDefault="00557A6F" w:rsidP="00557A6F">
      <w:pPr>
        <w:pStyle w:val="avsnitt-undertittel"/>
      </w:pPr>
      <w:r>
        <w:t>Økt maksimalpris i barnehagen – helårseffekt</w:t>
      </w:r>
    </w:p>
    <w:p w:rsidR="00557A6F" w:rsidRDefault="00557A6F" w:rsidP="00557A6F">
      <w:r>
        <w:t>Ved behandlingen av statsbudsjettet for 2019 ble det besluttet å øke maksimalprisen i barnehage med 50 kroner per måned fra 1. august 2019. Som følge av dette ble rammetilskuddet redusert med 65,8 mill. kroner. Endringen får helårseffekt i 2020, og rammetilskuddet reduseres derfor med y</w:t>
      </w:r>
      <w:r>
        <w:t>t</w:t>
      </w:r>
      <w:r>
        <w:t>terligere 82,9 mill. kroner. Se nærmere omtale i Prop. 1 S (2019–2020) for Kunnskapsdeparteme</w:t>
      </w:r>
      <w:r>
        <w:t>n</w:t>
      </w:r>
      <w:r>
        <w:t>tet.</w:t>
      </w:r>
    </w:p>
    <w:p w:rsidR="00557A6F" w:rsidRDefault="00557A6F" w:rsidP="00557A6F">
      <w:pPr>
        <w:pStyle w:val="avsnitt-undertittel"/>
      </w:pPr>
      <w:r>
        <w:t>Overføring av oppgaver på landbruksområdet</w:t>
      </w:r>
    </w:p>
    <w:p w:rsidR="00557A6F" w:rsidRDefault="00557A6F" w:rsidP="00557A6F">
      <w:r>
        <w:t>Som en del av kommunereformen får kommunene overført ansvaret fra fylkesmannen for forval</w:t>
      </w:r>
      <w:r>
        <w:t>t</w:t>
      </w:r>
      <w:r>
        <w:t>ning av nærings- og miljøtiltak i skogbruket, tilskudd til tiltak i beiteområder og tilskudd til utval</w:t>
      </w:r>
      <w:r>
        <w:t>g</w:t>
      </w:r>
      <w:r>
        <w:t>te kulturlan</w:t>
      </w:r>
      <w:r>
        <w:t>d</w:t>
      </w:r>
      <w:r>
        <w:t>skap i jordbruket og verdensarvområdene Vegaøyan og Vestnorsk fjordlandskap. Med utgangspunkt i fylkesmannens forvaltning av ordningene i dag innebærer oppgaveoverføringene at det overføres 10,4 mill. kroner fra kap. 525, post 01 til rammetilskuddet. Midlene fordeles etter delkostnadsnøkkelen for landbruk. Se nærmere omtale under programkategori 13.25 og i Prop. 1 S (2019–2020) for Landbruks- og matdepartementet.</w:t>
      </w:r>
    </w:p>
    <w:p w:rsidR="00557A6F" w:rsidRDefault="00557A6F" w:rsidP="00557A6F">
      <w:pPr>
        <w:pStyle w:val="avsnitt-tittel"/>
      </w:pPr>
      <w:r>
        <w:lastRenderedPageBreak/>
        <w:t>Fylkeskommunene</w:t>
      </w:r>
    </w:p>
    <w:p w:rsidR="00557A6F" w:rsidRDefault="00557A6F" w:rsidP="00557A6F">
      <w:pPr>
        <w:pStyle w:val="avsnitt-undertittel"/>
      </w:pPr>
      <w:r>
        <w:t>Overføring av ansvaret for arbeidsmarkedstiltaket bedriftsintern opplæring (BIO)</w:t>
      </w:r>
    </w:p>
    <w:p w:rsidR="00557A6F" w:rsidRDefault="00557A6F" w:rsidP="00557A6F">
      <w:r>
        <w:t>Fylkeskommunene får gjennom regionreformen en sterkere kompetansepolitisk rolle og vil ved overf</w:t>
      </w:r>
      <w:r>
        <w:t>ø</w:t>
      </w:r>
      <w:r>
        <w:t>ring av BIO få et nytt virkemiddel i sin portefølje. Som følge av dette øker rammetilskuddet med 55 mill. kroner, mot en tilsvarende reduksjon på kap. 634, post 76. Beløpet tilsvarer gjenno</w:t>
      </w:r>
      <w:r>
        <w:t>m</w:t>
      </w:r>
      <w:r>
        <w:t>snittet av de siste ti års utgifter til BIO. Se nærmere omtale i Prop. 1 S (2019–2020) for Arbeids- og sosialdepartementet.</w:t>
      </w:r>
    </w:p>
    <w:p w:rsidR="00557A6F" w:rsidRDefault="00557A6F" w:rsidP="00557A6F">
      <w:pPr>
        <w:pStyle w:val="avsnitt-undertittel"/>
      </w:pPr>
      <w:r>
        <w:t>Overføring av tilskuddsmidler til tverrfaglig innsats på rusfeltet</w:t>
      </w:r>
    </w:p>
    <w:p w:rsidR="00557A6F" w:rsidRDefault="00557A6F" w:rsidP="00557A6F">
      <w:r>
        <w:t>Ordningen forvaltes i dag av Helsedirektoratet og har som mål å bidra til at kommunene etablerer en struktur for tverrfaglig samhandling som er tilpasset lokale forhold og tjenester. Som en del av regionreformen overføres tilskuddsmidlene på 3,2 mill. kroner fra kap. 714, post 60 til rammeti</w:t>
      </w:r>
      <w:r>
        <w:t>l</w:t>
      </w:r>
      <w:r>
        <w:t>skuddet. Dette legger til rette for at fylkeskommunene kan bidra til tverrfaglig samhandling på ru</w:t>
      </w:r>
      <w:r>
        <w:t>s</w:t>
      </w:r>
      <w:r>
        <w:t>feltet dersom de ser behov for det. Se nærmere omtale i Prop. 1 S (2019–2020) for Helse- og o</w:t>
      </w:r>
      <w:r>
        <w:t>m</w:t>
      </w:r>
      <w:r>
        <w:t>sorgsdepartementet.</w:t>
      </w:r>
    </w:p>
    <w:p w:rsidR="00557A6F" w:rsidRDefault="00557A6F" w:rsidP="00557A6F">
      <w:pPr>
        <w:pStyle w:val="avsnitt-undertittel"/>
      </w:pPr>
      <w:r>
        <w:t>Overføring av oppgaver knyttet til Skjærgårdstjenesten og statlig sikrede friluftsområder</w:t>
      </w:r>
    </w:p>
    <w:p w:rsidR="00557A6F" w:rsidRDefault="00557A6F" w:rsidP="00557A6F">
      <w:r>
        <w:t>Som en del av regionreformen, overføres fylkesmannens oppgaver knyttet til Skjærgårdstjenesten og sta</w:t>
      </w:r>
      <w:r>
        <w:t>t</w:t>
      </w:r>
      <w:r>
        <w:t>lig sikrede</w:t>
      </w:r>
      <w:r>
        <w:rPr>
          <w:rStyle w:val="kursiv"/>
          <w:sz w:val="21"/>
          <w:szCs w:val="21"/>
        </w:rPr>
        <w:t xml:space="preserve"> </w:t>
      </w:r>
      <w:r>
        <w:t>friluftsområder til fylkeskommunene. Også Miljødirektoratets oppgaver knyttet til forvaltningsansvaret for de statlig sikrede friluftsområdene overføres. Med utgangspunkt i fy</w:t>
      </w:r>
      <w:r>
        <w:t>l</w:t>
      </w:r>
      <w:r>
        <w:t>kesmannens re</w:t>
      </w:r>
      <w:r>
        <w:t>s</w:t>
      </w:r>
      <w:r>
        <w:t>sursbruk overføres det 1,7 mill. kroner fra kap. 525, post 01 til rammetilskuddet. Miljødirektoratets re</w:t>
      </w:r>
      <w:r>
        <w:t>s</w:t>
      </w:r>
      <w:r>
        <w:t>sursbruk er beregnet til 1 mill. kroner som overføres fra kap. 1420, post 01 til rammetilskuddet. Se næ</w:t>
      </w:r>
      <w:r>
        <w:t>r</w:t>
      </w:r>
      <w:r>
        <w:t>mere omtale under programkategori 13.25 og i Prop. 1 S (2019–2020) for Klima- og miljødepartementet.</w:t>
      </w:r>
    </w:p>
    <w:p w:rsidR="00557A6F" w:rsidRDefault="00557A6F" w:rsidP="00557A6F">
      <w:pPr>
        <w:pStyle w:val="avsnitt-undertittel"/>
      </w:pPr>
      <w:r>
        <w:t>Overføring av oppgaver innenfor kulturminneområdet</w:t>
      </w:r>
    </w:p>
    <w:p w:rsidR="00557A6F" w:rsidRDefault="00557A6F" w:rsidP="00557A6F">
      <w:r>
        <w:t>Som en del av regionreformen skal det i perioden 2020 til 2022 gradvis overføres oppgaver på ku</w:t>
      </w:r>
      <w:r>
        <w:t>l</w:t>
      </w:r>
      <w:r>
        <w:t>turminneområdet fra Riksantikvaren til fylkeskommunene. I perioden skal det totalt overføres mi</w:t>
      </w:r>
      <w:r>
        <w:t>d</w:t>
      </w:r>
      <w:r>
        <w:t>ler tilsvarende ti årsverk, hvorav to i 2020, fire i 2021 og fire i 2022. Dette innebærer at rammeti</w:t>
      </w:r>
      <w:r>
        <w:t>l</w:t>
      </w:r>
      <w:r>
        <w:t>skuddet øker med 2 mill. kroner i 2020 mot en tilsvarende reduksjon på kap. 1429, post 01. Se nærmere omtale i Prop. 1 S (2019–2020) for Klima- og miljødepartementet.</w:t>
      </w:r>
    </w:p>
    <w:p w:rsidR="00557A6F" w:rsidRDefault="00557A6F" w:rsidP="00557A6F">
      <w:pPr>
        <w:pStyle w:val="avsnitt-undertittel"/>
      </w:pPr>
      <w:r>
        <w:t>Pensjonskostnader fylkeskommunene – Statens vegvesen</w:t>
      </w:r>
    </w:p>
    <w:p w:rsidR="00557A6F" w:rsidRDefault="00557A6F" w:rsidP="00557A6F">
      <w:r>
        <w:t xml:space="preserve">Ved behandlingen av Prop. 114 S (2018–2019) </w:t>
      </w:r>
      <w:r>
        <w:rPr>
          <w:rStyle w:val="kursiv"/>
          <w:sz w:val="21"/>
          <w:szCs w:val="21"/>
        </w:rPr>
        <w:t>Tilleggsbevilgninger og omprioriteringer i statsbudsjettet 2019</w:t>
      </w:r>
      <w:r>
        <w:t xml:space="preserve"> ble fylkeskommunene kompensert med 56 mill. kroner i 2019 for pensjonskostnader som de er belastet for av Statens vegvesen</w:t>
      </w:r>
      <w:proofErr w:type="gramStart"/>
      <w:r>
        <w:t xml:space="preserve"> (jf. kap.</w:t>
      </w:r>
      <w:proofErr w:type="gramEnd"/>
      <w:r>
        <w:t xml:space="preserve"> 572, post 60 i proposisjonen). Kompensasjonen vider</w:t>
      </w:r>
      <w:r>
        <w:t>e</w:t>
      </w:r>
      <w:r>
        <w:t>føres i statsbudsjettet for 2020. Det gjøres en teknisk nedjustering av kompensasjonen på 0,6 mill. kroner.</w:t>
      </w:r>
    </w:p>
    <w:p w:rsidR="00557A6F" w:rsidRDefault="00557A6F" w:rsidP="00557A6F">
      <w:pPr>
        <w:pStyle w:val="avsnitt-undertittel"/>
      </w:pPr>
      <w:r>
        <w:t>Innlemming av tilskudd til inkluderende og vekstkraftige lokalsamfunn</w:t>
      </w:r>
    </w:p>
    <w:p w:rsidR="00557A6F" w:rsidRDefault="00557A6F" w:rsidP="00557A6F">
      <w:r>
        <w:t>Tilskudd til inkluderende og vekstkraftige lokalsamfunn innlemmes i rammetilskuddet som en del av regionreformen. Innlemmingen bygger opp under fylkeskommunenes ansvar for nærings- og samfunn</w:t>
      </w:r>
      <w:r>
        <w:t>s</w:t>
      </w:r>
      <w:r>
        <w:t>utvikling. Det overføres 51,6 mill. kroner fra kap. 550, post 64. Midlene fordeles særskilt (tabell C). Se nærmere omtale under programkategori 13.50.</w:t>
      </w:r>
    </w:p>
    <w:p w:rsidR="00557A6F" w:rsidRDefault="00557A6F" w:rsidP="00557A6F">
      <w:pPr>
        <w:pStyle w:val="avsnitt-undertittel"/>
      </w:pPr>
      <w:r>
        <w:t>Innlemming av tilskudd til regionale tiltak for utvikling av næringsmiljøer og tilgang til kompetanse</w:t>
      </w:r>
    </w:p>
    <w:p w:rsidR="00557A6F" w:rsidRDefault="00557A6F" w:rsidP="00557A6F">
      <w:r>
        <w:t>Tilskudd til regionale tiltak for utvikling av næringsmiljøer og tilgang til kompetanse har hatt som mål å mobilisere til samarbeid mellom bedrifter i næringsmiljø, og bedre koblinger mellom bedri</w:t>
      </w:r>
      <w:r>
        <w:t>f</w:t>
      </w:r>
      <w:r>
        <w:t>ter og relevante utdanningsmiljøer for å møte næringslivets behov for kunnskap og relevant a</w:t>
      </w:r>
      <w:r>
        <w:t>r</w:t>
      </w:r>
      <w:r>
        <w:t>beidskraft. Tilskuddet innlemmes i rammetilskuddet som en del av regionreformen, og 48,5 mill. kroner overføres fra kap. 553, post 60. Midlene fordeles særskilt (tabell C). Se nærmere omtale under programkategori 13.50.</w:t>
      </w:r>
    </w:p>
    <w:p w:rsidR="00557A6F" w:rsidRDefault="00557A6F" w:rsidP="00557A6F">
      <w:pPr>
        <w:pStyle w:val="avsnitt-undertittel"/>
      </w:pPr>
      <w:r>
        <w:lastRenderedPageBreak/>
        <w:t>Innlemming av tilskudd til lærlinger, praksisbrevkandidater og lærekandidater med sær</w:t>
      </w:r>
      <w:r>
        <w:t>s</w:t>
      </w:r>
      <w:r>
        <w:t xml:space="preserve">kilte behov </w:t>
      </w:r>
    </w:p>
    <w:p w:rsidR="00557A6F" w:rsidRDefault="00557A6F" w:rsidP="00557A6F">
      <w:r>
        <w:t>Målgruppen for tilskuddet er lærlinger, praksisbrevkandidater og lærekandidater som ikke har, eller ikke kan få, tilfredsstillende utbytte av det ordinære opplæringstilbudet, og/eller har svake ferdi</w:t>
      </w:r>
      <w:r>
        <w:t>g</w:t>
      </w:r>
      <w:r>
        <w:t>heter i norsk og kort botid i landet. Formålet med tilskuddsordningen er at målgruppen skal få et bedre grunnlag for å delta i det ordinære arbeidslivet, noe som er nært knyttet til fylkeskommun</w:t>
      </w:r>
      <w:r>
        <w:t>e</w:t>
      </w:r>
      <w:r>
        <w:t>nes ansvar for videregående opplæring. Bruken av tilskuddet varierer mye mellom fylkeskomm</w:t>
      </w:r>
      <w:r>
        <w:t>u</w:t>
      </w:r>
      <w:r>
        <w:t>nene, selv om målgruppen for ordningen trolig er jevnt fordelt i landet. Det er også krevende å skille mellom de ekstraressursene som tilskuddet skal dekke, og ordinær spesialundervisning. Ti</w:t>
      </w:r>
      <w:r>
        <w:t>l</w:t>
      </w:r>
      <w:r>
        <w:t>skuddet innlemmes i rammetilskuddet, og det overføres 64,9 mill. kroner fra kap. 225, post 70. Midlene fordeles etter delkostnadsnøkkelen for vider</w:t>
      </w:r>
      <w:r>
        <w:t>e</w:t>
      </w:r>
      <w:r>
        <w:t>gående opplæring. Se nærmere omtale i Prop. 1 S (2019–2020) for Kunnskapsdepartementet.</w:t>
      </w:r>
    </w:p>
    <w:p w:rsidR="00557A6F" w:rsidRDefault="00557A6F" w:rsidP="00557A6F">
      <w:pPr>
        <w:pStyle w:val="avsnitt-undertittel"/>
      </w:pPr>
      <w:r>
        <w:t xml:space="preserve">Innlemming av tilskudd til fylkesvise partnerskap for karriereveiledning </w:t>
      </w:r>
    </w:p>
    <w:p w:rsidR="00557A6F" w:rsidRDefault="00557A6F" w:rsidP="00557A6F">
      <w:r>
        <w:t>Tilskudd til etablering av fylkesvise partnerskap for karriereveiledning har som formål at unge og voksne i alle livsfaser får et likeverdig tilbud om karriereveiledning i hele landet. Tilskuddet har blant annet gått til etablering og utvikling av karrieresentre i fylkene. Høsten 2019 har alle fylkene minst ett karrieresenter. Som en del av regionreformen skal fylkeskommunene bli en sterkere kompetansepolitisk aktør i sin region. Karriereveiledning er et viktig virkemiddel i kompetansep</w:t>
      </w:r>
      <w:r>
        <w:t>o</w:t>
      </w:r>
      <w:r>
        <w:t>litikken. For å underbygge dette innlemmes tilskuddet i rammetilskuddet, og 35,6 mill. kroner overføres fra kap. 258, post 60. Midlene fordeles særskilt (tabell C) som en overgangsordning i 2020. Fra 2021 vil midlene bli fordelt etter ordinære kriterier i inntektssystemet. I sammenheng med innlemmingen av tilskuddet har Kunnskapsdepartementet sendt ut på høring et forslag om å lovfeste at alle fylkeskommuner skal ha et tilbud om karriereveiledning. Se nærmere omtale i Prop. 1 S (2019–2020) for Kunnskapsdepartementet.</w:t>
      </w:r>
    </w:p>
    <w:p w:rsidR="00557A6F" w:rsidRDefault="00557A6F" w:rsidP="00557A6F">
      <w:pPr>
        <w:pStyle w:val="avsnitt-undertittel"/>
      </w:pPr>
      <w:r>
        <w:t>Innlemming av tilskudd til tidlig karriereveiledning for nyankomne innvandrere</w:t>
      </w:r>
    </w:p>
    <w:p w:rsidR="00557A6F" w:rsidRDefault="00557A6F" w:rsidP="00557A6F">
      <w:r>
        <w:t>Det innlemmes 5,2 mill. kroner i rammetilskuddet fra kap. 291, post 60 til tidlig karriereveiledning for nyankomne innvandrere som har rett til introduksjonsprogram. Formålet er at fylkeskommun</w:t>
      </w:r>
      <w:r>
        <w:t>e</w:t>
      </w:r>
      <w:r>
        <w:t>ne skal kunne tilby karriereveiledning til målgruppen fra 1. september 2020. Det vises også til fo</w:t>
      </w:r>
      <w:r>
        <w:t>r</w:t>
      </w:r>
      <w:r>
        <w:t>slag til ny integreringslov, der det foreslås at fylkes</w:t>
      </w:r>
      <w:r>
        <w:rPr>
          <w:spacing w:val="-2"/>
        </w:rPr>
        <w:t>kommunene skal sørge for tilbud om karrier</w:t>
      </w:r>
      <w:r>
        <w:rPr>
          <w:spacing w:val="-2"/>
        </w:rPr>
        <w:t>e</w:t>
      </w:r>
      <w:r>
        <w:rPr>
          <w:spacing w:val="-2"/>
        </w:rPr>
        <w:t>veiledning og at karriereveiledning gjøres til en rett og plikt for den enkelte i forkant av introdu</w:t>
      </w:r>
      <w:r>
        <w:rPr>
          <w:spacing w:val="-2"/>
        </w:rPr>
        <w:t>k</w:t>
      </w:r>
      <w:r>
        <w:rPr>
          <w:spacing w:val="-2"/>
        </w:rPr>
        <w:t>sjonsprogrammet. Kunnskapsdepart</w:t>
      </w:r>
      <w:r>
        <w:rPr>
          <w:spacing w:val="-2"/>
        </w:rPr>
        <w:t>e</w:t>
      </w:r>
      <w:r>
        <w:rPr>
          <w:spacing w:val="-2"/>
        </w:rPr>
        <w:t>mentet sendte</w:t>
      </w:r>
      <w:r>
        <w:t xml:space="preserve"> lovforslaget på offentlig høring høsten 2019. Se også omtale i Prop. 1 S (2019–2020) for Kunnskapsdepartementet.</w:t>
      </w:r>
    </w:p>
    <w:p w:rsidR="00557A6F" w:rsidRDefault="00557A6F" w:rsidP="00557A6F">
      <w:pPr>
        <w:pStyle w:val="avsnitt-undertittel"/>
      </w:pPr>
      <w:r>
        <w:t xml:space="preserve">Overføring av oppgaver fra IMDi til fylkeskommunene </w:t>
      </w:r>
    </w:p>
    <w:p w:rsidR="00557A6F" w:rsidRDefault="00557A6F" w:rsidP="00557A6F">
      <w:r>
        <w:t>Som en del av regionreformen skal fylkeskommunene overta ansvaret for bosetting internt i regi</w:t>
      </w:r>
      <w:r>
        <w:t>o</w:t>
      </w:r>
      <w:r>
        <w:t>nene og annen regional samordning av integreringsfeltet. Fylkeskommunene får også ansvar for ulike tilskudd</w:t>
      </w:r>
      <w:r>
        <w:t>s</w:t>
      </w:r>
      <w:r>
        <w:t>ordninger knyttet til integrering (se nedenfor). Rammetilskuddet økes derfor med 29,1 mill. kroner som følge av overføring av stillingsmidler fra IMDi. Se nærmere omtale i Prop. 1 S (2019–2020) for Kun</w:t>
      </w:r>
      <w:r>
        <w:t>n</w:t>
      </w:r>
      <w:r>
        <w:t>skapsdepartementet.</w:t>
      </w:r>
    </w:p>
    <w:p w:rsidR="00557A6F" w:rsidRDefault="00557A6F" w:rsidP="00557A6F">
      <w:pPr>
        <w:pStyle w:val="avsnitt-undertittel"/>
      </w:pPr>
      <w:r>
        <w:t>Overføring av tilskuddsmidler til Jobbsjansen del B</w:t>
      </w:r>
    </w:p>
    <w:p w:rsidR="00557A6F" w:rsidRDefault="00557A6F" w:rsidP="00557A6F">
      <w:r>
        <w:t xml:space="preserve">Fylkeskommunene har gjennom ordningen Jobbsjansen del B på kap. 291, post 62 kunnet </w:t>
      </w:r>
      <w:proofErr w:type="gramStart"/>
      <w:r>
        <w:t>søke</w:t>
      </w:r>
      <w:proofErr w:type="gramEnd"/>
      <w:r>
        <w:t xml:space="preserve"> om midler som skal bidra til at ungdommer med innvandrerbakgrunn som ikke har opparbeidet seg godt nok faglig grunnlag, herunder tilstrekkelige norskferdigheter, skal kunne få forutsetninger for å fullføre videreg</w:t>
      </w:r>
      <w:r>
        <w:t>å</w:t>
      </w:r>
      <w:r>
        <w:t>ende opplæring. Tilskuddsmidlene overføres til fylkeskommunene som en del av regionreformen, og rammetilskuddet økes med 95 mill. kroner. Midlene fordeles særskilt (tabell C). Se nærmere omtale i Prop. 1 S (2019–2020) for Kunnskapsdepartementet.</w:t>
      </w:r>
    </w:p>
    <w:p w:rsidR="00557A6F" w:rsidRDefault="00557A6F" w:rsidP="00557A6F">
      <w:pPr>
        <w:pStyle w:val="avsnitt-undertittel"/>
      </w:pPr>
      <w:r>
        <w:t>Overføring av tilskuddsmidler til etablereropplæring for innvandrere</w:t>
      </w:r>
    </w:p>
    <w:p w:rsidR="00557A6F" w:rsidRDefault="00557A6F" w:rsidP="00557A6F">
      <w:r>
        <w:t>Kommuner, fylkeskommuner, virksomheter og organisasjoner har gjennom ordningen kunnet søke om midler til prosjekter som legger til rette for etablerervirksomhet for innvandrere. Tilskuddsor</w:t>
      </w:r>
      <w:r>
        <w:t>d</w:t>
      </w:r>
      <w:r>
        <w:t>ningen skal styrke og utvikle det ordinære tilbudet om etablereropplæring. Tilskuddsmidlene ove</w:t>
      </w:r>
      <w:r>
        <w:t>r</w:t>
      </w:r>
      <w:r>
        <w:t>føres til fylke</w:t>
      </w:r>
      <w:r>
        <w:t>s</w:t>
      </w:r>
      <w:r>
        <w:lastRenderedPageBreak/>
        <w:t>kommunene som en del av regionreformen. Rammetilskuddet øker med 6,4 mill. kroner, mot en tilsvarende reduksjon på kap. 291, post 62. Se nærmere omtale i Prop. 1 S (2019–2020) for Kunnskapsdepart</w:t>
      </w:r>
      <w:r>
        <w:t>e</w:t>
      </w:r>
      <w:r>
        <w:t>mentet.</w:t>
      </w:r>
    </w:p>
    <w:p w:rsidR="00557A6F" w:rsidRDefault="00557A6F" w:rsidP="00557A6F">
      <w:pPr>
        <w:pStyle w:val="avsnitt-undertittel"/>
      </w:pPr>
      <w:r>
        <w:t xml:space="preserve">Overføring av tilskuddsmidler til mentor- og traineeordninger </w:t>
      </w:r>
    </w:p>
    <w:p w:rsidR="00557A6F" w:rsidRDefault="00557A6F" w:rsidP="00557A6F">
      <w:r>
        <w:t>Tilskuddsordningen skal bidra til å øke muligheten for inkludering av fagutdannede og høyt kval</w:t>
      </w:r>
      <w:r>
        <w:t>i</w:t>
      </w:r>
      <w:r>
        <w:t>fiserte innvandrere i arbeidslivet. Som en del av regionreformen overføres tilskuddsmidlene til fy</w:t>
      </w:r>
      <w:r>
        <w:t>l</w:t>
      </w:r>
      <w:r>
        <w:t>keskomm</w:t>
      </w:r>
      <w:r>
        <w:t>u</w:t>
      </w:r>
      <w:r>
        <w:t>nene, og rammetilskuddet økes med 9,7 mill. kroner mot en tilsvarende reduksjon på kap. 291, post 73. Se nærmere omtale i Prop. 1 S (2019–2020) for Kunnskapsdepartementet.</w:t>
      </w:r>
    </w:p>
    <w:p w:rsidR="00557A6F" w:rsidRDefault="00557A6F" w:rsidP="00557A6F">
      <w:pPr>
        <w:pStyle w:val="avsnitt-undertittel"/>
      </w:pPr>
      <w:r>
        <w:t>Overføring av oppgaver på landbruksområdet</w:t>
      </w:r>
    </w:p>
    <w:p w:rsidR="00557A6F" w:rsidRDefault="00557A6F" w:rsidP="00557A6F">
      <w:r>
        <w:t>Som en del av regionreformen får fylkeskommunene overført ansvaret fra fylkesmannen for fo</w:t>
      </w:r>
      <w:r>
        <w:t>r</w:t>
      </w:r>
      <w:r>
        <w:t>valtning av tilskudd til utrednings- og tilretteleggingstiltak og utarbeidelse av regionalt næring</w:t>
      </w:r>
      <w:r>
        <w:t>s</w:t>
      </w:r>
      <w:r>
        <w:t>program for landbr</w:t>
      </w:r>
      <w:r>
        <w:t>u</w:t>
      </w:r>
      <w:r>
        <w:t>ket. Fylkesmannens forvaltning av ordningene i dag tilsvarer om lag ti årsverk. Med utgangspunkt i fylkesmannens ressursbruk i dag innebærer oppgaveoverføringene at det overføres 8 mill. kroner fra kap. 525, post 01 til rammetilskuddet. Midlene fordeles særskilt (tabell C). Se nærmere omtale under pr</w:t>
      </w:r>
      <w:r>
        <w:t>o</w:t>
      </w:r>
      <w:r>
        <w:t>gramkategori 13.25 og i Prop. 1 S (2019–2020) for Landbruks- og matdepartementet.</w:t>
      </w:r>
    </w:p>
    <w:p w:rsidR="00557A6F" w:rsidRDefault="00557A6F" w:rsidP="00557A6F">
      <w:pPr>
        <w:pStyle w:val="avsnitt-undertittel"/>
      </w:pPr>
      <w:r>
        <w:t>Innlemming av tilskudd til skredsikring</w:t>
      </w:r>
    </w:p>
    <w:p w:rsidR="00557A6F" w:rsidRDefault="00557A6F" w:rsidP="00557A6F">
      <w:r>
        <w:t xml:space="preserve">Som varslet i Meld. St. 6 (2018–2019) </w:t>
      </w:r>
      <w:r>
        <w:rPr>
          <w:rStyle w:val="kursiv"/>
          <w:sz w:val="21"/>
          <w:szCs w:val="21"/>
        </w:rPr>
        <w:t xml:space="preserve">Oppgaver til nye regioner </w:t>
      </w:r>
      <w:r>
        <w:t>innlemmes tilskudd til skredsikring på fylkesveier i rammetilskuddet. Det overføres derfor 796,3 mill. kroner fra kap. 1320, post 62 på Samferdselsdepartementets budsjett. Midlene fordeles særskilt (tabell C). Se nærmere omtale i Prop. 1 S (2019–2020) for Samferdselsdepartementet.</w:t>
      </w:r>
    </w:p>
    <w:p w:rsidR="00557A6F" w:rsidRDefault="00557A6F" w:rsidP="00557A6F">
      <w:pPr>
        <w:pStyle w:val="avsnitt-undertittel"/>
      </w:pPr>
      <w:r>
        <w:t xml:space="preserve">Veibruksavgift naturgass </w:t>
      </w:r>
    </w:p>
    <w:p w:rsidR="00557A6F" w:rsidRDefault="00557A6F" w:rsidP="00557A6F">
      <w:r>
        <w:t xml:space="preserve">I statsbudsjettet for 2019 foreslås det å innføre veibruksavgift på naturgass. Forslaget innebærer økte kostnader for fylkeskommunene knyttet til innkjøp av transporttjenester. Dette kompenseres gjennom en økning i rammetilskuddet på 9,3 mill. kroner. Se nærmere omtale i Prop. 1 LS (2019–2020) </w:t>
      </w:r>
      <w:r>
        <w:rPr>
          <w:rStyle w:val="kursiv"/>
          <w:sz w:val="21"/>
          <w:szCs w:val="21"/>
        </w:rPr>
        <w:t>Skatter, avgi</w:t>
      </w:r>
      <w:r>
        <w:rPr>
          <w:rStyle w:val="kursiv"/>
          <w:sz w:val="21"/>
          <w:szCs w:val="21"/>
        </w:rPr>
        <w:t>f</w:t>
      </w:r>
      <w:r>
        <w:rPr>
          <w:rStyle w:val="kursiv"/>
          <w:sz w:val="21"/>
          <w:szCs w:val="21"/>
        </w:rPr>
        <w:t>ter og toll 2020</w:t>
      </w:r>
      <w:r>
        <w:t>.</w:t>
      </w:r>
    </w:p>
    <w:p w:rsidR="00557A6F" w:rsidRDefault="00557A6F" w:rsidP="00557A6F">
      <w:pPr>
        <w:pStyle w:val="avsnitt-undertittel"/>
      </w:pPr>
      <w:r>
        <w:t>Overføring av tilskudd til ikke-statlige flyplasser</w:t>
      </w:r>
    </w:p>
    <w:p w:rsidR="00557A6F" w:rsidRDefault="00557A6F" w:rsidP="00557A6F">
      <w:r>
        <w:t>Ansvaret for tilskudd til ikke-statlige lufthavner overføres til fylkeskommunene som en del av r</w:t>
      </w:r>
      <w:r>
        <w:t>e</w:t>
      </w:r>
      <w:r>
        <w:t xml:space="preserve">gionreformen. Dagens tilskuddsordning ble etablert 1. januar 2016 og omfatter lufthavnene Stord, Ørland og Notodden. Av de berørte fylkeskommunene er det bare fellesnemnda for Vestfold og Telemark fylkeskommune som har ønsket at fylkeskommunen skal </w:t>
      </w:r>
      <w:proofErr w:type="gramStart"/>
      <w:r>
        <w:t>å gå</w:t>
      </w:r>
      <w:proofErr w:type="gramEnd"/>
      <w:r>
        <w:t xml:space="preserve"> inn som avtalepart inne</w:t>
      </w:r>
      <w:r>
        <w:t>n</w:t>
      </w:r>
      <w:r>
        <w:t>for gjeldende avtal</w:t>
      </w:r>
      <w:r>
        <w:t>e</w:t>
      </w:r>
      <w:r>
        <w:t>periode fra 1. januar 2020. Det overføres derfor 16,2 mill. kroner fra kap. 1311, post 71 på Samferdselsdepartementets budsjett til rammetilskuddet. Midlene fordeles særskilt (t</w:t>
      </w:r>
      <w:r>
        <w:t>a</w:t>
      </w:r>
      <w:r>
        <w:t>bell C) til Vestfold og Telemark fylkeskommune. Se nærmere omtale i Prop. 1 S (2019–2020) for Samferdselsdepartementet.</w:t>
      </w:r>
    </w:p>
    <w:p w:rsidR="00557A6F" w:rsidRDefault="00557A6F" w:rsidP="00557A6F">
      <w:pPr>
        <w:pStyle w:val="avsnitt-undertittel"/>
      </w:pPr>
      <w:r>
        <w:t>Overføring av fiskerihavneanlegg</w:t>
      </w:r>
    </w:p>
    <w:p w:rsidR="00557A6F" w:rsidRDefault="00557A6F" w:rsidP="00557A6F">
      <w:r>
        <w:t>Statens eierskap og forvaltning av fiskerihavneanlegg skal som en del av regionreformen overføres til de nye fylkeskommunene, og midlene til statlige fiskerihavneanlegg og tilskuddsmidlene til kommunale fiskerihavneanlegg skal overføres til rammetilskuddet. Overføringen skal skje gjennom avtaleinngåelse med hver fylkeskommune. Det er til nå inngått avtaler med Vestland, Rogaland, Agder, Vestfold og Tel</w:t>
      </w:r>
      <w:r>
        <w:t>e</w:t>
      </w:r>
      <w:r>
        <w:t>mark og Viken. Av et samlet beløp på om lag 154,8 mill. kroner overføres 34,3 mill. kroner fra kap. 1360, postene 01, 30 og 60 på Samferdselsdepartementets budsjett til rammetilskuddet i 2020. Midlene fordeles særskilt (tabell C) til ovennevnte fylkeskommuner. Se nærmere omtale i Prop. 1 S (2019–2020) for Sa</w:t>
      </w:r>
      <w:r>
        <w:t>m</w:t>
      </w:r>
      <w:r>
        <w:t>ferdselsdepartementet.</w:t>
      </w:r>
    </w:p>
    <w:p w:rsidR="00557A6F" w:rsidRDefault="00557A6F" w:rsidP="00557A6F">
      <w:pPr>
        <w:pStyle w:val="b-budkaptit"/>
      </w:pPr>
      <w:r>
        <w:lastRenderedPageBreak/>
        <w:t>Kap. 573 Kommunereform</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7A6F" w:rsidTr="00557A6F">
        <w:trPr>
          <w:trHeight w:val="640"/>
        </w:trPr>
        <w:tc>
          <w:tcPr>
            <w:tcW w:w="1140" w:type="dxa"/>
            <w:shd w:val="clear" w:color="auto" w:fill="FFFFFF"/>
          </w:tcPr>
          <w:p w:rsidR="00557A6F" w:rsidRDefault="00557A6F" w:rsidP="00557A6F">
            <w:pPr>
              <w:pStyle w:val="Tabellnavn"/>
            </w:pPr>
            <w:r>
              <w:t>KPAL</w:t>
            </w:r>
          </w:p>
        </w:tc>
        <w:tc>
          <w:tcPr>
            <w:tcW w:w="4560" w:type="dxa"/>
          </w:tcPr>
          <w:p w:rsidR="00557A6F" w:rsidRDefault="00557A6F" w:rsidP="00557A6F"/>
        </w:tc>
        <w:tc>
          <w:tcPr>
            <w:tcW w:w="1140" w:type="dxa"/>
          </w:tcPr>
          <w:p w:rsidR="00557A6F" w:rsidRDefault="00557A6F" w:rsidP="00557A6F">
            <w:pPr>
              <w:pStyle w:val="Tabellnavn"/>
              <w:jc w:val="right"/>
            </w:pPr>
          </w:p>
        </w:tc>
        <w:tc>
          <w:tcPr>
            <w:tcW w:w="1140" w:type="dxa"/>
          </w:tcPr>
          <w:p w:rsidR="00557A6F" w:rsidRDefault="00557A6F" w:rsidP="00557A6F">
            <w:pPr>
              <w:pStyle w:val="Tabellnavn"/>
              <w:jc w:val="right"/>
            </w:pPr>
          </w:p>
        </w:tc>
        <w:tc>
          <w:tcPr>
            <w:tcW w:w="1140" w:type="dxa"/>
          </w:tcPr>
          <w:p w:rsidR="00557A6F" w:rsidRDefault="00557A6F" w:rsidP="00557A6F">
            <w:pPr>
              <w:jc w:val="right"/>
            </w:pPr>
            <w:r>
              <w:t>(i 1 000 kr)</w:t>
            </w:r>
          </w:p>
        </w:tc>
      </w:tr>
      <w:tr w:rsidR="00557A6F" w:rsidTr="00557A6F">
        <w:trPr>
          <w:trHeight w:val="600"/>
        </w:trPr>
        <w:tc>
          <w:tcPr>
            <w:tcW w:w="1140" w:type="dxa"/>
          </w:tcPr>
          <w:p w:rsidR="00557A6F" w:rsidRDefault="00557A6F" w:rsidP="00557A6F">
            <w:r>
              <w:t>Post</w:t>
            </w:r>
          </w:p>
        </w:tc>
        <w:tc>
          <w:tcPr>
            <w:tcW w:w="4560" w:type="dxa"/>
          </w:tcPr>
          <w:p w:rsidR="00557A6F" w:rsidRDefault="00557A6F" w:rsidP="00557A6F">
            <w:r>
              <w:t>Betegnelse</w:t>
            </w:r>
          </w:p>
        </w:tc>
        <w:tc>
          <w:tcPr>
            <w:tcW w:w="1140" w:type="dxa"/>
          </w:tcPr>
          <w:p w:rsidR="00557A6F" w:rsidRDefault="00557A6F" w:rsidP="00557A6F">
            <w:pPr>
              <w:jc w:val="right"/>
            </w:pPr>
            <w:r>
              <w:t>Regnskap 2018</w:t>
            </w:r>
          </w:p>
        </w:tc>
        <w:tc>
          <w:tcPr>
            <w:tcW w:w="1140" w:type="dxa"/>
          </w:tcPr>
          <w:p w:rsidR="00557A6F" w:rsidRDefault="00557A6F" w:rsidP="00557A6F">
            <w:pPr>
              <w:jc w:val="right"/>
            </w:pPr>
            <w:r>
              <w:t xml:space="preserve">Saldert </w:t>
            </w:r>
            <w:r>
              <w:br/>
              <w:t>budsjett 2019</w:t>
            </w:r>
          </w:p>
        </w:tc>
        <w:tc>
          <w:tcPr>
            <w:tcW w:w="1140" w:type="dxa"/>
          </w:tcPr>
          <w:p w:rsidR="00557A6F" w:rsidRDefault="00557A6F" w:rsidP="00557A6F">
            <w:pPr>
              <w:jc w:val="right"/>
            </w:pPr>
            <w:r>
              <w:t xml:space="preserve">Forslag </w:t>
            </w:r>
            <w:r>
              <w:br/>
              <w:t>2020</w:t>
            </w:r>
          </w:p>
        </w:tc>
      </w:tr>
      <w:tr w:rsidR="00557A6F" w:rsidTr="00557A6F">
        <w:trPr>
          <w:trHeight w:val="380"/>
        </w:trPr>
        <w:tc>
          <w:tcPr>
            <w:tcW w:w="1140" w:type="dxa"/>
          </w:tcPr>
          <w:p w:rsidR="00557A6F" w:rsidRDefault="00557A6F" w:rsidP="00557A6F">
            <w:r>
              <w:t>60</w:t>
            </w:r>
          </w:p>
        </w:tc>
        <w:tc>
          <w:tcPr>
            <w:tcW w:w="4560" w:type="dxa"/>
          </w:tcPr>
          <w:p w:rsidR="00557A6F" w:rsidRDefault="00557A6F" w:rsidP="00557A6F">
            <w:r>
              <w:t xml:space="preserve">Kommunesammenslåing </w:t>
            </w:r>
          </w:p>
        </w:tc>
        <w:tc>
          <w:tcPr>
            <w:tcW w:w="1140" w:type="dxa"/>
          </w:tcPr>
          <w:p w:rsidR="00557A6F" w:rsidRDefault="00557A6F" w:rsidP="00557A6F">
            <w:pPr>
              <w:jc w:val="right"/>
            </w:pPr>
            <w:r>
              <w:t>57 764</w:t>
            </w:r>
          </w:p>
        </w:tc>
        <w:tc>
          <w:tcPr>
            <w:tcW w:w="1140" w:type="dxa"/>
          </w:tcPr>
          <w:p w:rsidR="00557A6F" w:rsidRDefault="00557A6F" w:rsidP="00557A6F">
            <w:pPr>
              <w:jc w:val="right"/>
            </w:pPr>
            <w:r>
              <w:t>50 000</w:t>
            </w:r>
          </w:p>
        </w:tc>
        <w:tc>
          <w:tcPr>
            <w:tcW w:w="1140" w:type="dxa"/>
          </w:tcPr>
          <w:p w:rsidR="00557A6F" w:rsidRDefault="00557A6F" w:rsidP="00557A6F">
            <w:pPr>
              <w:jc w:val="right"/>
            </w:pPr>
            <w:r>
              <w:t>871 786</w:t>
            </w:r>
          </w:p>
        </w:tc>
      </w:tr>
      <w:tr w:rsidR="00557A6F" w:rsidTr="00557A6F">
        <w:trPr>
          <w:trHeight w:val="380"/>
        </w:trPr>
        <w:tc>
          <w:tcPr>
            <w:tcW w:w="1140" w:type="dxa"/>
          </w:tcPr>
          <w:p w:rsidR="00557A6F" w:rsidRDefault="00557A6F" w:rsidP="00557A6F"/>
        </w:tc>
        <w:tc>
          <w:tcPr>
            <w:tcW w:w="4560" w:type="dxa"/>
          </w:tcPr>
          <w:p w:rsidR="00557A6F" w:rsidRDefault="00557A6F" w:rsidP="00557A6F">
            <w:r>
              <w:t>Sum kap. 0573</w:t>
            </w:r>
          </w:p>
        </w:tc>
        <w:tc>
          <w:tcPr>
            <w:tcW w:w="1140" w:type="dxa"/>
          </w:tcPr>
          <w:p w:rsidR="00557A6F" w:rsidRDefault="00557A6F" w:rsidP="00557A6F">
            <w:pPr>
              <w:jc w:val="right"/>
            </w:pPr>
            <w:r>
              <w:t>57 764</w:t>
            </w:r>
          </w:p>
        </w:tc>
        <w:tc>
          <w:tcPr>
            <w:tcW w:w="1140" w:type="dxa"/>
          </w:tcPr>
          <w:p w:rsidR="00557A6F" w:rsidRDefault="00557A6F" w:rsidP="00557A6F">
            <w:pPr>
              <w:jc w:val="right"/>
            </w:pPr>
            <w:r>
              <w:t>50 000</w:t>
            </w:r>
          </w:p>
        </w:tc>
        <w:tc>
          <w:tcPr>
            <w:tcW w:w="1140" w:type="dxa"/>
          </w:tcPr>
          <w:p w:rsidR="00557A6F" w:rsidRDefault="00557A6F" w:rsidP="00557A6F">
            <w:pPr>
              <w:jc w:val="right"/>
            </w:pPr>
            <w:r>
              <w:t>871 786</w:t>
            </w:r>
          </w:p>
        </w:tc>
      </w:tr>
    </w:tbl>
    <w:p w:rsidR="00557A6F" w:rsidRDefault="00557A6F" w:rsidP="00557A6F">
      <w:pPr>
        <w:pStyle w:val="b-post"/>
      </w:pPr>
      <w:r>
        <w:t>Post 60 Kommunesammenslåing</w:t>
      </w:r>
    </w:p>
    <w:p w:rsidR="00557A6F" w:rsidRDefault="00557A6F" w:rsidP="00557A6F">
      <w:r>
        <w:t xml:space="preserve">Stortinget behandlet 8. juni 2017 Prop. 96 S (2016–2017) </w:t>
      </w:r>
      <w:r>
        <w:rPr>
          <w:rStyle w:val="kursiv"/>
          <w:sz w:val="21"/>
          <w:szCs w:val="21"/>
        </w:rPr>
        <w:t>Endringer i kommunestrukturen</w:t>
      </w:r>
      <w:r>
        <w:t>, og vedtok eta</w:t>
      </w:r>
      <w:r>
        <w:t>b</w:t>
      </w:r>
      <w:r>
        <w:t>leringen av 43 nye kommuner fra 1. januar 2020. Alle de nye kommunene som ble vedtatt slått sammen i forrige stortingsperiode, får utbetalt reformstøtte etter en standardisert modell basert på antall innbyggere i den nye kommunen, jf. tabell 6.22. Det vil bli utbetalt 820,4 mill. kroner i r</w:t>
      </w:r>
      <w:r>
        <w:t>e</w:t>
      </w:r>
      <w:r>
        <w:t>formstøtte til de nye kommunene i januar 2020.</w:t>
      </w:r>
    </w:p>
    <w:p w:rsidR="009017E2" w:rsidRDefault="009017E2" w:rsidP="009017E2">
      <w:pPr>
        <w:pStyle w:val="tabell-tittel"/>
      </w:pPr>
      <w:r>
        <w:t>Reformstøtte for sammenslåinger vedtatt juni 2017</w:t>
      </w:r>
    </w:p>
    <w:p w:rsidR="00557A6F" w:rsidRDefault="00557A6F" w:rsidP="00557A6F">
      <w:pPr>
        <w:pStyle w:val="Tabellnavn"/>
      </w:pPr>
      <w:r>
        <w:t>02J1xt2</w:t>
      </w:r>
    </w:p>
    <w:tbl>
      <w:tblPr>
        <w:tblStyle w:val="StandardTabell"/>
        <w:tblW w:w="0" w:type="auto"/>
        <w:tblLayout w:type="fixed"/>
        <w:tblLook w:val="04A0" w:firstRow="1" w:lastRow="0" w:firstColumn="1" w:lastColumn="0" w:noHBand="0" w:noVBand="1"/>
      </w:tblPr>
      <w:tblGrid>
        <w:gridCol w:w="7360"/>
        <w:gridCol w:w="1840"/>
      </w:tblGrid>
      <w:tr w:rsidR="00557A6F" w:rsidTr="009017E2">
        <w:trPr>
          <w:trHeight w:val="360"/>
        </w:trPr>
        <w:tc>
          <w:tcPr>
            <w:tcW w:w="7360" w:type="dxa"/>
            <w:shd w:val="clear" w:color="auto" w:fill="FFFFFF"/>
          </w:tcPr>
          <w:p w:rsidR="00557A6F" w:rsidRDefault="00557A6F" w:rsidP="009017E2"/>
        </w:tc>
        <w:tc>
          <w:tcPr>
            <w:tcW w:w="1840" w:type="dxa"/>
          </w:tcPr>
          <w:p w:rsidR="00557A6F" w:rsidRDefault="00557A6F" w:rsidP="009017E2">
            <w:pPr>
              <w:jc w:val="right"/>
            </w:pPr>
            <w:r>
              <w:t>(1 000 kr)</w:t>
            </w:r>
          </w:p>
        </w:tc>
      </w:tr>
      <w:tr w:rsidR="00557A6F" w:rsidTr="009017E2">
        <w:trPr>
          <w:trHeight w:val="360"/>
        </w:trPr>
        <w:tc>
          <w:tcPr>
            <w:tcW w:w="7360" w:type="dxa"/>
          </w:tcPr>
          <w:p w:rsidR="00557A6F" w:rsidRDefault="00557A6F" w:rsidP="009017E2">
            <w:r>
              <w:t xml:space="preserve">Antall innbyggere i sammenslåingen </w:t>
            </w:r>
          </w:p>
        </w:tc>
        <w:tc>
          <w:tcPr>
            <w:tcW w:w="1840" w:type="dxa"/>
          </w:tcPr>
          <w:p w:rsidR="00557A6F" w:rsidRDefault="00557A6F" w:rsidP="009017E2">
            <w:pPr>
              <w:jc w:val="right"/>
            </w:pPr>
          </w:p>
        </w:tc>
      </w:tr>
      <w:tr w:rsidR="00557A6F" w:rsidTr="009017E2">
        <w:trPr>
          <w:trHeight w:val="380"/>
        </w:trPr>
        <w:tc>
          <w:tcPr>
            <w:tcW w:w="7360" w:type="dxa"/>
          </w:tcPr>
          <w:p w:rsidR="00557A6F" w:rsidRDefault="00557A6F" w:rsidP="009017E2">
            <w:r>
              <w:t>0 – 14 999 innbyggere</w:t>
            </w:r>
          </w:p>
        </w:tc>
        <w:tc>
          <w:tcPr>
            <w:tcW w:w="1840" w:type="dxa"/>
          </w:tcPr>
          <w:p w:rsidR="00557A6F" w:rsidRDefault="00557A6F" w:rsidP="009017E2">
            <w:pPr>
              <w:jc w:val="right"/>
            </w:pPr>
            <w:r>
              <w:t>5 578</w:t>
            </w:r>
          </w:p>
        </w:tc>
      </w:tr>
      <w:tr w:rsidR="00557A6F" w:rsidTr="009017E2">
        <w:trPr>
          <w:trHeight w:val="380"/>
        </w:trPr>
        <w:tc>
          <w:tcPr>
            <w:tcW w:w="7360" w:type="dxa"/>
          </w:tcPr>
          <w:p w:rsidR="00557A6F" w:rsidRDefault="00557A6F" w:rsidP="009017E2">
            <w:r>
              <w:t>15 000 – 29 999 innbyggere</w:t>
            </w:r>
          </w:p>
        </w:tc>
        <w:tc>
          <w:tcPr>
            <w:tcW w:w="1840" w:type="dxa"/>
          </w:tcPr>
          <w:p w:rsidR="00557A6F" w:rsidRDefault="00557A6F" w:rsidP="009017E2">
            <w:pPr>
              <w:jc w:val="right"/>
            </w:pPr>
            <w:r>
              <w:t>22 314</w:t>
            </w:r>
          </w:p>
        </w:tc>
      </w:tr>
      <w:tr w:rsidR="00557A6F" w:rsidTr="009017E2">
        <w:trPr>
          <w:trHeight w:val="380"/>
        </w:trPr>
        <w:tc>
          <w:tcPr>
            <w:tcW w:w="7360" w:type="dxa"/>
          </w:tcPr>
          <w:p w:rsidR="00557A6F" w:rsidRDefault="00557A6F" w:rsidP="009017E2">
            <w:r>
              <w:t>30 000 – 49 999 innbyggere</w:t>
            </w:r>
          </w:p>
        </w:tc>
        <w:tc>
          <w:tcPr>
            <w:tcW w:w="1840" w:type="dxa"/>
          </w:tcPr>
          <w:p w:rsidR="00557A6F" w:rsidRDefault="00557A6F" w:rsidP="009017E2">
            <w:pPr>
              <w:jc w:val="right"/>
            </w:pPr>
            <w:r>
              <w:t>28 892</w:t>
            </w:r>
          </w:p>
        </w:tc>
      </w:tr>
      <w:tr w:rsidR="00557A6F" w:rsidTr="009017E2">
        <w:trPr>
          <w:trHeight w:val="380"/>
        </w:trPr>
        <w:tc>
          <w:tcPr>
            <w:tcW w:w="7360" w:type="dxa"/>
          </w:tcPr>
          <w:p w:rsidR="00557A6F" w:rsidRDefault="00557A6F" w:rsidP="009017E2">
            <w:r>
              <w:t>50 000 innbyggere eller mer</w:t>
            </w:r>
          </w:p>
        </w:tc>
        <w:tc>
          <w:tcPr>
            <w:tcW w:w="1840" w:type="dxa"/>
          </w:tcPr>
          <w:p w:rsidR="00557A6F" w:rsidRDefault="00557A6F" w:rsidP="009017E2">
            <w:pPr>
              <w:jc w:val="right"/>
            </w:pPr>
            <w:r>
              <w:t>33 471</w:t>
            </w:r>
          </w:p>
        </w:tc>
      </w:tr>
    </w:tbl>
    <w:p w:rsidR="00557A6F" w:rsidRDefault="00557A6F" w:rsidP="00557A6F">
      <w:r>
        <w:t xml:space="preserve">I Prop. 88 S (2017–2018) </w:t>
      </w:r>
      <w:r>
        <w:rPr>
          <w:rStyle w:val="kursiv"/>
          <w:sz w:val="21"/>
          <w:szCs w:val="21"/>
        </w:rPr>
        <w:t xml:space="preserve">Kommuneproposisjonen 2019 </w:t>
      </w:r>
      <w:r>
        <w:t>la regjeringen fram forslag til økonomiske virkemidler for videre arbeid med kommunesammenslåinger. Stortinget ga sin tilslutning til m</w:t>
      </w:r>
      <w:r>
        <w:t>o</w:t>
      </w:r>
      <w:r>
        <w:t>dellen, jf. Innst. 393 S (2017–2018). Dette ble fulgt opp i statsbudsjettet for 2019, og tilskudd til engangskostnader og tilskudd til reformstøtte ble slått sammen til et nytt engangstilskudd ved kommunesammenslåing.</w:t>
      </w:r>
    </w:p>
    <w:p w:rsidR="00557A6F" w:rsidRDefault="00557A6F" w:rsidP="00557A6F">
      <w:r>
        <w:t>Tilskuddet beregnes etter en standardisert modell basert på antall innbyggere og antall kommuner som inngår i sammenslåingen. Dette sikrer forutsigbarhet for kommunene og gir administrative besparelser for både kommunene og staten. Minstesatsen for to kommuner med under 15 000 in</w:t>
      </w:r>
      <w:r>
        <w:t>n</w:t>
      </w:r>
      <w:r>
        <w:t>byggere som slår seg sammen er 25,8 mill. kroner i 2020. En sammenslåing av to kommuner med 50 000 innbyggere eller mer gir 51,6 mill. kroner i tilskudd. Tilskuddsbeløpet øker med i overkant av 10 mill. kroner per nye kommune i sammenslåin</w:t>
      </w:r>
      <w:r>
        <w:t>g</w:t>
      </w:r>
      <w:r>
        <w:t>en utover dette, jf. tabell 6.23.</w:t>
      </w:r>
    </w:p>
    <w:p w:rsidR="009017E2" w:rsidRDefault="009017E2" w:rsidP="009017E2">
      <w:pPr>
        <w:pStyle w:val="tabell-tittel"/>
      </w:pPr>
      <w:r>
        <w:t>Engangstilskudd ved kommunesammenslåing</w:t>
      </w:r>
    </w:p>
    <w:p w:rsidR="00557A6F" w:rsidRDefault="00557A6F" w:rsidP="00557A6F">
      <w:pPr>
        <w:pStyle w:val="Tabellnavn"/>
      </w:pPr>
      <w:r>
        <w:t>05J2xt2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557A6F" w:rsidTr="009017E2">
        <w:trPr>
          <w:trHeight w:val="360"/>
        </w:trPr>
        <w:tc>
          <w:tcPr>
            <w:tcW w:w="4560" w:type="dxa"/>
            <w:shd w:val="clear" w:color="auto" w:fill="FFFFFF"/>
          </w:tcPr>
          <w:p w:rsidR="00557A6F" w:rsidRDefault="00557A6F" w:rsidP="009017E2"/>
        </w:tc>
        <w:tc>
          <w:tcPr>
            <w:tcW w:w="1140" w:type="dxa"/>
          </w:tcPr>
          <w:p w:rsidR="00557A6F" w:rsidRDefault="00557A6F" w:rsidP="009017E2">
            <w:pPr>
              <w:jc w:val="right"/>
            </w:pPr>
          </w:p>
        </w:tc>
        <w:tc>
          <w:tcPr>
            <w:tcW w:w="1140" w:type="dxa"/>
          </w:tcPr>
          <w:p w:rsidR="00557A6F" w:rsidRDefault="00557A6F" w:rsidP="009017E2">
            <w:pPr>
              <w:jc w:val="right"/>
            </w:pPr>
          </w:p>
        </w:tc>
        <w:tc>
          <w:tcPr>
            <w:tcW w:w="1140" w:type="dxa"/>
          </w:tcPr>
          <w:p w:rsidR="00557A6F" w:rsidRDefault="00557A6F" w:rsidP="009017E2">
            <w:pPr>
              <w:jc w:val="right"/>
            </w:pPr>
          </w:p>
        </w:tc>
        <w:tc>
          <w:tcPr>
            <w:tcW w:w="1140" w:type="dxa"/>
          </w:tcPr>
          <w:p w:rsidR="00557A6F" w:rsidRDefault="00557A6F" w:rsidP="009017E2">
            <w:pPr>
              <w:jc w:val="right"/>
            </w:pPr>
            <w:r>
              <w:t>(1 000 kr)</w:t>
            </w:r>
          </w:p>
        </w:tc>
      </w:tr>
      <w:tr w:rsidR="00557A6F" w:rsidTr="009017E2">
        <w:trPr>
          <w:trHeight w:val="860"/>
        </w:trPr>
        <w:tc>
          <w:tcPr>
            <w:tcW w:w="4560" w:type="dxa"/>
          </w:tcPr>
          <w:p w:rsidR="00557A6F" w:rsidRDefault="00557A6F" w:rsidP="009017E2">
            <w:r>
              <w:lastRenderedPageBreak/>
              <w:t>Antall kommuner og innbyggere i sammensl</w:t>
            </w:r>
            <w:r>
              <w:t>å</w:t>
            </w:r>
            <w:r>
              <w:t xml:space="preserve">ingen </w:t>
            </w:r>
          </w:p>
        </w:tc>
        <w:tc>
          <w:tcPr>
            <w:tcW w:w="1140" w:type="dxa"/>
          </w:tcPr>
          <w:p w:rsidR="00557A6F" w:rsidRDefault="00557A6F" w:rsidP="009017E2">
            <w:pPr>
              <w:jc w:val="right"/>
            </w:pPr>
            <w:r>
              <w:t xml:space="preserve">Færre enn 15 000 </w:t>
            </w:r>
            <w:r>
              <w:br/>
              <w:t>innby</w:t>
            </w:r>
            <w:r>
              <w:t>g</w:t>
            </w:r>
            <w:r>
              <w:t>gere</w:t>
            </w:r>
          </w:p>
        </w:tc>
        <w:tc>
          <w:tcPr>
            <w:tcW w:w="1140" w:type="dxa"/>
          </w:tcPr>
          <w:p w:rsidR="00557A6F" w:rsidRDefault="00557A6F" w:rsidP="009017E2">
            <w:pPr>
              <w:jc w:val="right"/>
            </w:pPr>
            <w:r>
              <w:t xml:space="preserve">15 000 – 29 999 </w:t>
            </w:r>
            <w:r>
              <w:br/>
              <w:t>innby</w:t>
            </w:r>
            <w:r>
              <w:t>g</w:t>
            </w:r>
            <w:r>
              <w:t>gere</w:t>
            </w:r>
          </w:p>
        </w:tc>
        <w:tc>
          <w:tcPr>
            <w:tcW w:w="1140" w:type="dxa"/>
          </w:tcPr>
          <w:p w:rsidR="00557A6F" w:rsidRDefault="00557A6F" w:rsidP="009017E2">
            <w:pPr>
              <w:jc w:val="right"/>
            </w:pPr>
            <w:r>
              <w:t xml:space="preserve">30 000 – 49 999 </w:t>
            </w:r>
            <w:r>
              <w:br/>
              <w:t>innby</w:t>
            </w:r>
            <w:r>
              <w:t>g</w:t>
            </w:r>
            <w:r>
              <w:t>gere</w:t>
            </w:r>
          </w:p>
        </w:tc>
        <w:tc>
          <w:tcPr>
            <w:tcW w:w="1140" w:type="dxa"/>
          </w:tcPr>
          <w:p w:rsidR="00557A6F" w:rsidRDefault="00557A6F" w:rsidP="009017E2">
            <w:pPr>
              <w:jc w:val="right"/>
            </w:pPr>
            <w:r>
              <w:t>50 000</w:t>
            </w:r>
            <w:r>
              <w:br/>
              <w:t xml:space="preserve"> innby</w:t>
            </w:r>
            <w:r>
              <w:t>g</w:t>
            </w:r>
            <w:r>
              <w:t>gere</w:t>
            </w:r>
            <w:r>
              <w:br/>
              <w:t xml:space="preserve"> eller mer</w:t>
            </w:r>
          </w:p>
        </w:tc>
      </w:tr>
      <w:tr w:rsidR="00557A6F" w:rsidTr="009017E2">
        <w:trPr>
          <w:trHeight w:val="380"/>
        </w:trPr>
        <w:tc>
          <w:tcPr>
            <w:tcW w:w="4560" w:type="dxa"/>
          </w:tcPr>
          <w:p w:rsidR="00557A6F" w:rsidRDefault="00557A6F" w:rsidP="009017E2">
            <w:r>
              <w:t>2 kommuner</w:t>
            </w:r>
          </w:p>
        </w:tc>
        <w:tc>
          <w:tcPr>
            <w:tcW w:w="1140" w:type="dxa"/>
          </w:tcPr>
          <w:p w:rsidR="00557A6F" w:rsidRDefault="00557A6F" w:rsidP="009017E2">
            <w:pPr>
              <w:jc w:val="right"/>
            </w:pPr>
            <w:r>
              <w:t>25 800</w:t>
            </w:r>
          </w:p>
        </w:tc>
        <w:tc>
          <w:tcPr>
            <w:tcW w:w="1140" w:type="dxa"/>
          </w:tcPr>
          <w:p w:rsidR="00557A6F" w:rsidRDefault="00557A6F" w:rsidP="009017E2">
            <w:pPr>
              <w:jc w:val="right"/>
            </w:pPr>
            <w:r>
              <w:t>36 120</w:t>
            </w:r>
          </w:p>
        </w:tc>
        <w:tc>
          <w:tcPr>
            <w:tcW w:w="1140" w:type="dxa"/>
          </w:tcPr>
          <w:p w:rsidR="00557A6F" w:rsidRDefault="00557A6F" w:rsidP="009017E2">
            <w:pPr>
              <w:jc w:val="right"/>
            </w:pPr>
            <w:r>
              <w:t>41 280</w:t>
            </w:r>
          </w:p>
        </w:tc>
        <w:tc>
          <w:tcPr>
            <w:tcW w:w="1140" w:type="dxa"/>
          </w:tcPr>
          <w:p w:rsidR="00557A6F" w:rsidRDefault="00557A6F" w:rsidP="009017E2">
            <w:pPr>
              <w:jc w:val="right"/>
            </w:pPr>
            <w:r>
              <w:t>51 600</w:t>
            </w:r>
          </w:p>
        </w:tc>
      </w:tr>
      <w:tr w:rsidR="00557A6F" w:rsidTr="009017E2">
        <w:trPr>
          <w:trHeight w:val="380"/>
        </w:trPr>
        <w:tc>
          <w:tcPr>
            <w:tcW w:w="4560" w:type="dxa"/>
          </w:tcPr>
          <w:p w:rsidR="00557A6F" w:rsidRDefault="00557A6F" w:rsidP="009017E2">
            <w:r>
              <w:t>3 kommuner</w:t>
            </w:r>
          </w:p>
        </w:tc>
        <w:tc>
          <w:tcPr>
            <w:tcW w:w="1140" w:type="dxa"/>
          </w:tcPr>
          <w:p w:rsidR="00557A6F" w:rsidRDefault="00557A6F" w:rsidP="009017E2">
            <w:pPr>
              <w:jc w:val="right"/>
            </w:pPr>
            <w:r>
              <w:t>36 120</w:t>
            </w:r>
          </w:p>
        </w:tc>
        <w:tc>
          <w:tcPr>
            <w:tcW w:w="1140" w:type="dxa"/>
          </w:tcPr>
          <w:p w:rsidR="00557A6F" w:rsidRDefault="00557A6F" w:rsidP="009017E2">
            <w:pPr>
              <w:jc w:val="right"/>
            </w:pPr>
            <w:r>
              <w:t>46 440</w:t>
            </w:r>
          </w:p>
        </w:tc>
        <w:tc>
          <w:tcPr>
            <w:tcW w:w="1140" w:type="dxa"/>
          </w:tcPr>
          <w:p w:rsidR="00557A6F" w:rsidRDefault="00557A6F" w:rsidP="009017E2">
            <w:pPr>
              <w:jc w:val="right"/>
            </w:pPr>
            <w:r>
              <w:t>51 600</w:t>
            </w:r>
          </w:p>
        </w:tc>
        <w:tc>
          <w:tcPr>
            <w:tcW w:w="1140" w:type="dxa"/>
          </w:tcPr>
          <w:p w:rsidR="00557A6F" w:rsidRDefault="00557A6F" w:rsidP="009017E2">
            <w:pPr>
              <w:jc w:val="right"/>
            </w:pPr>
            <w:r>
              <w:t>61 920</w:t>
            </w:r>
          </w:p>
        </w:tc>
      </w:tr>
      <w:tr w:rsidR="00557A6F" w:rsidTr="009017E2">
        <w:trPr>
          <w:trHeight w:val="380"/>
        </w:trPr>
        <w:tc>
          <w:tcPr>
            <w:tcW w:w="4560" w:type="dxa"/>
          </w:tcPr>
          <w:p w:rsidR="00557A6F" w:rsidRDefault="00557A6F" w:rsidP="009017E2">
            <w:r>
              <w:t>4 kommuner</w:t>
            </w:r>
          </w:p>
        </w:tc>
        <w:tc>
          <w:tcPr>
            <w:tcW w:w="1140" w:type="dxa"/>
          </w:tcPr>
          <w:p w:rsidR="00557A6F" w:rsidRDefault="00557A6F" w:rsidP="009017E2">
            <w:pPr>
              <w:jc w:val="right"/>
            </w:pPr>
            <w:r>
              <w:t>46 440</w:t>
            </w:r>
          </w:p>
        </w:tc>
        <w:tc>
          <w:tcPr>
            <w:tcW w:w="1140" w:type="dxa"/>
          </w:tcPr>
          <w:p w:rsidR="00557A6F" w:rsidRDefault="00557A6F" w:rsidP="009017E2">
            <w:pPr>
              <w:jc w:val="right"/>
            </w:pPr>
            <w:r>
              <w:t>56 760</w:t>
            </w:r>
          </w:p>
        </w:tc>
        <w:tc>
          <w:tcPr>
            <w:tcW w:w="1140" w:type="dxa"/>
          </w:tcPr>
          <w:p w:rsidR="00557A6F" w:rsidRDefault="00557A6F" w:rsidP="009017E2">
            <w:pPr>
              <w:jc w:val="right"/>
            </w:pPr>
            <w:r>
              <w:t>61 920</w:t>
            </w:r>
          </w:p>
        </w:tc>
        <w:tc>
          <w:tcPr>
            <w:tcW w:w="1140" w:type="dxa"/>
          </w:tcPr>
          <w:p w:rsidR="00557A6F" w:rsidRDefault="00557A6F" w:rsidP="009017E2">
            <w:pPr>
              <w:jc w:val="right"/>
            </w:pPr>
            <w:r>
              <w:t>72 240</w:t>
            </w:r>
          </w:p>
        </w:tc>
      </w:tr>
      <w:tr w:rsidR="00557A6F" w:rsidTr="009017E2">
        <w:trPr>
          <w:trHeight w:val="380"/>
        </w:trPr>
        <w:tc>
          <w:tcPr>
            <w:tcW w:w="4560" w:type="dxa"/>
          </w:tcPr>
          <w:p w:rsidR="00557A6F" w:rsidRDefault="00557A6F" w:rsidP="009017E2">
            <w:r>
              <w:t>5 kommuner</w:t>
            </w:r>
          </w:p>
        </w:tc>
        <w:tc>
          <w:tcPr>
            <w:tcW w:w="1140" w:type="dxa"/>
          </w:tcPr>
          <w:p w:rsidR="00557A6F" w:rsidRDefault="00557A6F" w:rsidP="009017E2">
            <w:pPr>
              <w:jc w:val="right"/>
            </w:pPr>
            <w:r>
              <w:t>56 760</w:t>
            </w:r>
          </w:p>
        </w:tc>
        <w:tc>
          <w:tcPr>
            <w:tcW w:w="1140" w:type="dxa"/>
          </w:tcPr>
          <w:p w:rsidR="00557A6F" w:rsidRDefault="00557A6F" w:rsidP="009017E2">
            <w:pPr>
              <w:jc w:val="right"/>
            </w:pPr>
            <w:r>
              <w:t>67 080</w:t>
            </w:r>
          </w:p>
        </w:tc>
        <w:tc>
          <w:tcPr>
            <w:tcW w:w="1140" w:type="dxa"/>
          </w:tcPr>
          <w:p w:rsidR="00557A6F" w:rsidRDefault="00557A6F" w:rsidP="009017E2">
            <w:pPr>
              <w:jc w:val="right"/>
            </w:pPr>
            <w:r>
              <w:t>72 240</w:t>
            </w:r>
          </w:p>
        </w:tc>
        <w:tc>
          <w:tcPr>
            <w:tcW w:w="1140" w:type="dxa"/>
          </w:tcPr>
          <w:p w:rsidR="00557A6F" w:rsidRDefault="00557A6F" w:rsidP="009017E2">
            <w:pPr>
              <w:jc w:val="right"/>
            </w:pPr>
            <w:r>
              <w:t>82 560</w:t>
            </w:r>
          </w:p>
        </w:tc>
      </w:tr>
    </w:tbl>
    <w:p w:rsidR="00557A6F" w:rsidRDefault="00557A6F" w:rsidP="00557A6F">
      <w:r>
        <w:t>Det er ikke knyttet betingelser til bruken av midlene i kommunene. Kommunene skal gi en rapport til departementet med en kortfattet oppstilling av hvordan midlene er disponert.</w:t>
      </w:r>
    </w:p>
    <w:p w:rsidR="00557A6F" w:rsidRDefault="00557A6F" w:rsidP="00557A6F">
      <w:pPr>
        <w:pStyle w:val="avsnitt-tittel"/>
      </w:pPr>
      <w:r>
        <w:t>Budsjettforslag</w:t>
      </w:r>
    </w:p>
    <w:p w:rsidR="00557A6F" w:rsidRDefault="00557A6F" w:rsidP="00557A6F">
      <w:r>
        <w:t>Det foreslås en bevilgning på 871,8 mill. kroner i 2020, hvorav om lag 820,4 mill. kroner gjelder refor</w:t>
      </w:r>
      <w:r>
        <w:t>m</w:t>
      </w:r>
      <w:r>
        <w:t>støtte.</w:t>
      </w:r>
    </w:p>
    <w:p w:rsidR="00557A6F" w:rsidRDefault="00557A6F" w:rsidP="00557A6F">
      <w:pPr>
        <w:pStyle w:val="b-budkaptit"/>
      </w:pPr>
      <w:r>
        <w:t>Kap. 575 Ressurskrevende tjenester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7A6F" w:rsidTr="00557A6F">
        <w:trPr>
          <w:trHeight w:val="640"/>
        </w:trPr>
        <w:tc>
          <w:tcPr>
            <w:tcW w:w="1140" w:type="dxa"/>
            <w:shd w:val="clear" w:color="auto" w:fill="FFFFFF"/>
          </w:tcPr>
          <w:p w:rsidR="00557A6F" w:rsidRDefault="00557A6F" w:rsidP="00557A6F">
            <w:pPr>
              <w:pStyle w:val="Tabellnavn"/>
            </w:pPr>
            <w:r>
              <w:t>KPAL</w:t>
            </w:r>
          </w:p>
        </w:tc>
        <w:tc>
          <w:tcPr>
            <w:tcW w:w="4560" w:type="dxa"/>
          </w:tcPr>
          <w:p w:rsidR="00557A6F" w:rsidRDefault="00557A6F" w:rsidP="00557A6F"/>
        </w:tc>
        <w:tc>
          <w:tcPr>
            <w:tcW w:w="1140" w:type="dxa"/>
          </w:tcPr>
          <w:p w:rsidR="00557A6F" w:rsidRDefault="00557A6F" w:rsidP="00557A6F">
            <w:pPr>
              <w:pStyle w:val="Tabellnavn"/>
              <w:jc w:val="right"/>
            </w:pPr>
          </w:p>
        </w:tc>
        <w:tc>
          <w:tcPr>
            <w:tcW w:w="1140" w:type="dxa"/>
          </w:tcPr>
          <w:p w:rsidR="00557A6F" w:rsidRDefault="00557A6F" w:rsidP="00557A6F">
            <w:pPr>
              <w:pStyle w:val="Tabellnavn"/>
              <w:jc w:val="right"/>
            </w:pPr>
          </w:p>
        </w:tc>
        <w:tc>
          <w:tcPr>
            <w:tcW w:w="1140" w:type="dxa"/>
          </w:tcPr>
          <w:p w:rsidR="00557A6F" w:rsidRDefault="00557A6F" w:rsidP="00557A6F">
            <w:pPr>
              <w:jc w:val="right"/>
            </w:pPr>
            <w:r>
              <w:t>(i 1 000 kr)</w:t>
            </w:r>
          </w:p>
        </w:tc>
      </w:tr>
      <w:tr w:rsidR="00557A6F" w:rsidTr="00557A6F">
        <w:trPr>
          <w:trHeight w:val="600"/>
        </w:trPr>
        <w:tc>
          <w:tcPr>
            <w:tcW w:w="1140" w:type="dxa"/>
          </w:tcPr>
          <w:p w:rsidR="00557A6F" w:rsidRDefault="00557A6F" w:rsidP="00557A6F">
            <w:r>
              <w:t>Post</w:t>
            </w:r>
          </w:p>
        </w:tc>
        <w:tc>
          <w:tcPr>
            <w:tcW w:w="4560" w:type="dxa"/>
          </w:tcPr>
          <w:p w:rsidR="00557A6F" w:rsidRDefault="00557A6F" w:rsidP="00557A6F">
            <w:r>
              <w:t>Betegnelse</w:t>
            </w:r>
          </w:p>
        </w:tc>
        <w:tc>
          <w:tcPr>
            <w:tcW w:w="1140" w:type="dxa"/>
          </w:tcPr>
          <w:p w:rsidR="00557A6F" w:rsidRDefault="00557A6F" w:rsidP="00557A6F">
            <w:pPr>
              <w:jc w:val="right"/>
            </w:pPr>
            <w:r>
              <w:t>Regnskap 2018</w:t>
            </w:r>
          </w:p>
        </w:tc>
        <w:tc>
          <w:tcPr>
            <w:tcW w:w="1140" w:type="dxa"/>
          </w:tcPr>
          <w:p w:rsidR="00557A6F" w:rsidRDefault="00557A6F" w:rsidP="00557A6F">
            <w:pPr>
              <w:jc w:val="right"/>
            </w:pPr>
            <w:r>
              <w:t xml:space="preserve">Saldert </w:t>
            </w:r>
            <w:r>
              <w:br/>
              <w:t>budsjett 2019</w:t>
            </w:r>
          </w:p>
        </w:tc>
        <w:tc>
          <w:tcPr>
            <w:tcW w:w="1140" w:type="dxa"/>
          </w:tcPr>
          <w:p w:rsidR="00557A6F" w:rsidRDefault="00557A6F" w:rsidP="00557A6F">
            <w:pPr>
              <w:jc w:val="right"/>
            </w:pPr>
            <w:r>
              <w:t xml:space="preserve">Forslag </w:t>
            </w:r>
            <w:r>
              <w:br/>
              <w:t>2020</w:t>
            </w:r>
          </w:p>
        </w:tc>
      </w:tr>
      <w:tr w:rsidR="00557A6F" w:rsidTr="00557A6F">
        <w:trPr>
          <w:trHeight w:val="380"/>
        </w:trPr>
        <w:tc>
          <w:tcPr>
            <w:tcW w:w="1140" w:type="dxa"/>
          </w:tcPr>
          <w:p w:rsidR="00557A6F" w:rsidRDefault="00557A6F" w:rsidP="00557A6F">
            <w:r>
              <w:t>60</w:t>
            </w:r>
          </w:p>
        </w:tc>
        <w:tc>
          <w:tcPr>
            <w:tcW w:w="4560" w:type="dxa"/>
          </w:tcPr>
          <w:p w:rsidR="00557A6F" w:rsidRDefault="00557A6F" w:rsidP="00557A6F">
            <w:r>
              <w:t>Toppfinansieringsordning</w:t>
            </w:r>
            <w:r>
              <w:rPr>
                <w:rStyle w:val="kursiv"/>
                <w:sz w:val="21"/>
                <w:szCs w:val="21"/>
              </w:rPr>
              <w:t xml:space="preserve">, overslagsbevilgning </w:t>
            </w:r>
          </w:p>
        </w:tc>
        <w:tc>
          <w:tcPr>
            <w:tcW w:w="1140" w:type="dxa"/>
          </w:tcPr>
          <w:p w:rsidR="00557A6F" w:rsidRDefault="00557A6F" w:rsidP="00557A6F">
            <w:pPr>
              <w:jc w:val="right"/>
            </w:pPr>
            <w:r>
              <w:t>9 325 617</w:t>
            </w:r>
          </w:p>
        </w:tc>
        <w:tc>
          <w:tcPr>
            <w:tcW w:w="1140" w:type="dxa"/>
          </w:tcPr>
          <w:p w:rsidR="00557A6F" w:rsidRDefault="00557A6F" w:rsidP="00557A6F">
            <w:pPr>
              <w:jc w:val="right"/>
            </w:pPr>
            <w:r>
              <w:t>10 222 112</w:t>
            </w:r>
          </w:p>
        </w:tc>
        <w:tc>
          <w:tcPr>
            <w:tcW w:w="1140" w:type="dxa"/>
          </w:tcPr>
          <w:p w:rsidR="00557A6F" w:rsidRDefault="00557A6F" w:rsidP="00557A6F">
            <w:pPr>
              <w:jc w:val="right"/>
            </w:pPr>
            <w:r>
              <w:t>10 767 694</w:t>
            </w:r>
          </w:p>
        </w:tc>
      </w:tr>
      <w:tr w:rsidR="00557A6F" w:rsidTr="00557A6F">
        <w:trPr>
          <w:trHeight w:val="380"/>
        </w:trPr>
        <w:tc>
          <w:tcPr>
            <w:tcW w:w="1140" w:type="dxa"/>
          </w:tcPr>
          <w:p w:rsidR="00557A6F" w:rsidRDefault="00557A6F" w:rsidP="00557A6F"/>
        </w:tc>
        <w:tc>
          <w:tcPr>
            <w:tcW w:w="4560" w:type="dxa"/>
          </w:tcPr>
          <w:p w:rsidR="00557A6F" w:rsidRDefault="00557A6F" w:rsidP="00557A6F">
            <w:r>
              <w:t>Sum kap. 0575</w:t>
            </w:r>
          </w:p>
        </w:tc>
        <w:tc>
          <w:tcPr>
            <w:tcW w:w="1140" w:type="dxa"/>
          </w:tcPr>
          <w:p w:rsidR="00557A6F" w:rsidRDefault="00557A6F" w:rsidP="00557A6F">
            <w:pPr>
              <w:jc w:val="right"/>
            </w:pPr>
            <w:r>
              <w:t>9 325 617</w:t>
            </w:r>
          </w:p>
        </w:tc>
        <w:tc>
          <w:tcPr>
            <w:tcW w:w="1140" w:type="dxa"/>
          </w:tcPr>
          <w:p w:rsidR="00557A6F" w:rsidRDefault="00557A6F" w:rsidP="00557A6F">
            <w:pPr>
              <w:jc w:val="right"/>
            </w:pPr>
            <w:r>
              <w:t>10 222 112</w:t>
            </w:r>
          </w:p>
        </w:tc>
        <w:tc>
          <w:tcPr>
            <w:tcW w:w="1140" w:type="dxa"/>
          </w:tcPr>
          <w:p w:rsidR="00557A6F" w:rsidRDefault="00557A6F" w:rsidP="00557A6F">
            <w:pPr>
              <w:jc w:val="right"/>
            </w:pPr>
            <w:r>
              <w:t>10 767 694</w:t>
            </w:r>
          </w:p>
        </w:tc>
      </w:tr>
    </w:tbl>
    <w:p w:rsidR="00557A6F" w:rsidRDefault="00557A6F" w:rsidP="00557A6F">
      <w:pPr>
        <w:pStyle w:val="b-post"/>
      </w:pPr>
      <w:r>
        <w:t>Post 60 Toppfinansieringsordning, overslagsbevilgning</w:t>
      </w:r>
    </w:p>
    <w:p w:rsidR="00557A6F" w:rsidRDefault="00557A6F" w:rsidP="00557A6F">
      <w:pPr>
        <w:pStyle w:val="avsnitt-tittel"/>
      </w:pPr>
      <w:r>
        <w:t>Mål for ordningen</w:t>
      </w:r>
    </w:p>
    <w:p w:rsidR="00557A6F" w:rsidRDefault="00557A6F" w:rsidP="00557A6F">
      <w:r>
        <w:t>Formålet med ordningen er å legge til rette for at kommunene kan gi et godt tjenestetilbud til mo</w:t>
      </w:r>
      <w:r>
        <w:t>t</w:t>
      </w:r>
      <w:r>
        <w:t>takere som har krav på omfattende helse- og omsorgstjenester.</w:t>
      </w:r>
    </w:p>
    <w:p w:rsidR="00557A6F" w:rsidRDefault="00557A6F" w:rsidP="00557A6F">
      <w:r>
        <w:t>Kommunene har ansvaret for å gi helse- og omsorgstjenester til dem som har krav på dette i he</w:t>
      </w:r>
      <w:r>
        <w:t>n</w:t>
      </w:r>
      <w:r>
        <w:t>hold til helse- og omsorgstjenesteloven. Tjenestene finansieres i hovedsak gjennom kommunenes frie innte</w:t>
      </w:r>
      <w:r>
        <w:t>k</w:t>
      </w:r>
      <w:r>
        <w:t>ter (skatteinntekter og rammetilskudd). Behovet for ressurskrevende tjenester varierer betydelig mellom kommuner. Det har foreløpig vært vanskelig å finne objektive kriterier i in</w:t>
      </w:r>
      <w:r>
        <w:t>n</w:t>
      </w:r>
      <w:r>
        <w:t>tektssystemet som kan fange opp denne kostnadsvariasjonen. Det er derfor behov for en egen ti</w:t>
      </w:r>
      <w:r>
        <w:t>l</w:t>
      </w:r>
      <w:r>
        <w:t>skuddsordning for ressurskrevende tjenester som et supplement til kommunenes frie inntekter.</w:t>
      </w:r>
    </w:p>
    <w:p w:rsidR="00557A6F" w:rsidRDefault="00557A6F" w:rsidP="00557A6F">
      <w:pPr>
        <w:pStyle w:val="avsnitt-tittel"/>
      </w:pPr>
      <w:r>
        <w:t>Tildelingskriterier</w:t>
      </w:r>
    </w:p>
    <w:p w:rsidR="00557A6F" w:rsidRDefault="00557A6F" w:rsidP="00557A6F">
      <w:r>
        <w:t>Kommunene får refundert deler av utgiftene til tjenester til mennesker som mottar omfattende he</w:t>
      </w:r>
      <w:r>
        <w:t>l</w:t>
      </w:r>
      <w:r>
        <w:t>se- og omsorgstjenester. Dette kan blant annet gjelde personer med psykisk utviklingshemming, nedsatt fun</w:t>
      </w:r>
      <w:r>
        <w:t>k</w:t>
      </w:r>
      <w:r>
        <w:t>sjonsevne, personer med rusmiddelproblemer og mennesker med psykiske lidelser.</w:t>
      </w:r>
    </w:p>
    <w:p w:rsidR="00557A6F" w:rsidRDefault="00557A6F" w:rsidP="00557A6F">
      <w:r>
        <w:t>For 2020 foreslås det at kommunene får kompensert 80 pst. av egne netto lønnsutgifter i 2019 til helse- og o</w:t>
      </w:r>
      <w:r>
        <w:t>m</w:t>
      </w:r>
      <w:r>
        <w:t>sorgstjenester ut over et innslagspunkt på 1 361 000 kroner. Netto lønnskostnader er lønn til a</w:t>
      </w:r>
      <w:r>
        <w:t>n</w:t>
      </w:r>
      <w:r>
        <w:t>satte og tilhørende sosiale kostnader, fratrukket øremerkede tilskudd og tilskudd gjennom inntektssy</w:t>
      </w:r>
      <w:r>
        <w:t>s</w:t>
      </w:r>
      <w:r>
        <w:lastRenderedPageBreak/>
        <w:t>temet. Tilskuddsordningen gjelder for tjenestemottakere til og med det året de fyller 67 år. For eldre over 67 år fanges deler av utgiftene opp gjennom de ordinære kriteriene i kostnad</w:t>
      </w:r>
      <w:r>
        <w:t>s</w:t>
      </w:r>
      <w:r>
        <w:t>nøkkelen for kommunene som ligger til grunn for fordelingen av ra</w:t>
      </w:r>
      <w:r>
        <w:t>m</w:t>
      </w:r>
      <w:r>
        <w:t>metilskuddet til kommunene.</w:t>
      </w:r>
    </w:p>
    <w:p w:rsidR="00557A6F" w:rsidRDefault="00557A6F" w:rsidP="00557A6F">
      <w:pPr>
        <w:pStyle w:val="avsnitt-tittel"/>
      </w:pPr>
      <w:r>
        <w:t>Oppfølging og kontroll</w:t>
      </w:r>
    </w:p>
    <w:p w:rsidR="00557A6F" w:rsidRDefault="00557A6F" w:rsidP="00557A6F">
      <w:r>
        <w:t>Kommunen skal oversende innrapporteringsskjema med dokumentasjon til kommunens revisor. Kommunens revisor avgir en revisjonsuttalelse til kommunens krav. Kommunen skal deretter se</w:t>
      </w:r>
      <w:r>
        <w:t>n</w:t>
      </w:r>
      <w:r>
        <w:t>de endelig innrapporteringsskjema og revisjonsuttalelse til Helsedirektoratet gjennom Altinn. Kommunal- og mode</w:t>
      </w:r>
      <w:r>
        <w:t>r</w:t>
      </w:r>
      <w:r>
        <w:t>niseringsdepartementet, Helsedirektoratet og Riksrevisjonen kan iverksette kontroll med kommunenes innrapportering innenfor gjeldende lovbestemmelser.</w:t>
      </w:r>
    </w:p>
    <w:p w:rsidR="00557A6F" w:rsidRDefault="00557A6F" w:rsidP="00557A6F">
      <w:r>
        <w:t>Toppfinansieringsordningen for ressurskrevende tjenester har økt betydelig siden den ble innført i 2004, både i antall tjenestemottakere og i samlede utbetalinger til kommunene. Tidligere utre</w:t>
      </w:r>
      <w:r>
        <w:t>d</w:t>
      </w:r>
      <w:r>
        <w:t>ninger har belyst mulige årsaker til veksten i ordningen og vurdert alternative måter å utforme or</w:t>
      </w:r>
      <w:r>
        <w:t>d</w:t>
      </w:r>
      <w:r>
        <w:t>ningen på. Ordningen bidrar til å fordele betyd</w:t>
      </w:r>
      <w:r>
        <w:t>e</w:t>
      </w:r>
      <w:r>
        <w:t>lige midler til kommunene. Det er derfor viktig at finansieringsordningen er effektiv og legger til rette for at kommunene kan gi tjenester av god kv</w:t>
      </w:r>
      <w:r>
        <w:t>a</w:t>
      </w:r>
      <w:r>
        <w:t>litet. Det er også viktig at fina</w:t>
      </w:r>
      <w:r>
        <w:t>n</w:t>
      </w:r>
      <w:r>
        <w:t>sieringsordningen ikke legger føringer på hvordan tjenestene skal innrettes eller organiseres, og at den ikke hindrer innovasjon i tjenestene. Departementet har derfor satt i gang et prosjekt for å få mer kunnskap om mulige insentivvirkninger av toppfinansiering</w:t>
      </w:r>
      <w:r>
        <w:t>s</w:t>
      </w:r>
      <w:r>
        <w:t>ordningen. I prosjektet skal det gjennomføres en analyse av om regelverk og utforming av or</w:t>
      </w:r>
      <w:r>
        <w:t>d</w:t>
      </w:r>
      <w:r>
        <w:t>ningen påvirker omfanget av tjenester, innretningen av tj</w:t>
      </w:r>
      <w:r>
        <w:t>e</w:t>
      </w:r>
      <w:r>
        <w:t>nestetilbudet, organiseringen av tjenesten og om det er eventuelle andre virkninger av ordningen. Det skal vurderes om det kan gjøres en</w:t>
      </w:r>
      <w:r>
        <w:t>d</w:t>
      </w:r>
      <w:r>
        <w:t>ringer i regelverk og utforming av ordningen for å motvirke eventuelle uheldige virkninger, og som legger til rette for at kommunene kan gi tjenester av god kvalitet. Prosjektet skal etter planen fe</w:t>
      </w:r>
      <w:r>
        <w:t>r</w:t>
      </w:r>
      <w:r>
        <w:t>digstilles i løpet av 2019.</w:t>
      </w:r>
    </w:p>
    <w:p w:rsidR="00557A6F" w:rsidRDefault="00557A6F" w:rsidP="00557A6F">
      <w:pPr>
        <w:pStyle w:val="avsnitt-tittel"/>
      </w:pPr>
      <w:r>
        <w:t>Rapport</w:t>
      </w:r>
    </w:p>
    <w:p w:rsidR="00557A6F" w:rsidRDefault="00557A6F" w:rsidP="00557A6F">
      <w:r>
        <w:t>Tilskuddet for 2019 refunderer kommunenes utgifter i 2018. Tilskuddet til de kommunene som tilfredsstilte kriteriene for tilskudd, ble fordelt av Helsedirektoratet i juli 2019. Det ble utbetalt 10 189 mill. kr</w:t>
      </w:r>
      <w:r>
        <w:t>o</w:t>
      </w:r>
      <w:r>
        <w:t>ner, som er om lag 33,5 mill. kroner, eller 0,3 pst., lavere enn saldert budsjett for 2019. Utbetalingene i 2019 økte med om lag 9,3 pst. nominelt eller 6,3 pst. reelt sammenliknet med utbetalingene i 2018. Tallene fra Helsedirektoratet for 2019 viser at 8 035 ressurskrevende tjene</w:t>
      </w:r>
      <w:r>
        <w:t>s</w:t>
      </w:r>
      <w:r>
        <w:t>temottakere var omfattet av ordnin</w:t>
      </w:r>
      <w:r>
        <w:t>g</w:t>
      </w:r>
      <w:r>
        <w:t>en. Dette er en økning på 102 tjenestemottakere, eller 1,3 pst. fra 2018. De kommunene som deltok i fo</w:t>
      </w:r>
      <w:r>
        <w:t>r</w:t>
      </w:r>
      <w:r>
        <w:t>søket med statlig finansiering av omsorgstjenesten er ikke inkludert i tallene.</w:t>
      </w:r>
    </w:p>
    <w:p w:rsidR="00557A6F" w:rsidRDefault="00557A6F" w:rsidP="00557A6F">
      <w:pPr>
        <w:pStyle w:val="avsnitt-tittel"/>
      </w:pPr>
      <w:r>
        <w:t>Budsjettforslag</w:t>
      </w:r>
    </w:p>
    <w:p w:rsidR="00557A6F" w:rsidRDefault="00557A6F" w:rsidP="00557A6F">
      <w:r>
        <w:t>Det foreslås en bevilgning på 10 767,7 mill. kroner i 2020. Dette er en økning på 545,6 mill. kroner fra saldert budsjett for 2019.</w:t>
      </w:r>
    </w:p>
    <w:p w:rsidR="00557A6F" w:rsidRDefault="00557A6F" w:rsidP="00557A6F">
      <w:r>
        <w:t>Forslaget til bevilgning for 2020 tar utgangspunkt i faktisk utbetaling av ordinære krav i 2019 på 10 189 mill. kroner. Utgiftene i 2019 er framskrevet til 2020 på grunnlag av gjennomsnittlig rea</w:t>
      </w:r>
      <w:r>
        <w:t>l</w:t>
      </w:r>
      <w:r>
        <w:t>vekst i ordningen fra 2015 til 2018 som var om lag 5,9 pst. Midlene som er refusjon for utgifter til ressurskrevende tjenestemottakere som kommuner som er med i forsøket med statlig finansiering av omsorgstjenestene ellers ville fått utbetalt gjennom toppfinansieringsordningen, er ikke inkl</w:t>
      </w:r>
      <w:r>
        <w:t>u</w:t>
      </w:r>
      <w:r>
        <w:t>dert, men i sin helhet ført på kap. 761, post 65 på Helse- og omsorgsd</w:t>
      </w:r>
      <w:r>
        <w:t>e</w:t>
      </w:r>
      <w:r>
        <w:t>partementets budsjett.</w:t>
      </w:r>
    </w:p>
    <w:p w:rsidR="00557A6F" w:rsidRDefault="00557A6F" w:rsidP="00557A6F">
      <w:r>
        <w:t>Innslagspunktet foreslås økt til 1 361 000 kroner. Dette er en økning ut over det som følger av a</w:t>
      </w:r>
      <w:r>
        <w:t>n</w:t>
      </w:r>
      <w:r>
        <w:t>slått lønnsvekst for 2019 på 50 000 kroner. Økningen i innslagspunktet må ses i sammenheng med sterk utgiftsvekst i toppfina</w:t>
      </w:r>
      <w:r>
        <w:t>n</w:t>
      </w:r>
      <w:r>
        <w:t>sieringsordningen de senere år. Kompensasjonen for kommunenes utgifter ut over innslagspunktet beholdes uendret på 80 pst.</w:t>
      </w:r>
    </w:p>
    <w:p w:rsidR="00557A6F" w:rsidRDefault="00557A6F" w:rsidP="00557A6F">
      <w:pPr>
        <w:pStyle w:val="b-budkaptit"/>
      </w:pPr>
      <w:r>
        <w:t>Kap. 577 Tilskudd til de politiske partier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7A6F" w:rsidTr="00557A6F">
        <w:trPr>
          <w:trHeight w:val="640"/>
        </w:trPr>
        <w:tc>
          <w:tcPr>
            <w:tcW w:w="1140" w:type="dxa"/>
            <w:shd w:val="clear" w:color="auto" w:fill="FFFFFF"/>
          </w:tcPr>
          <w:p w:rsidR="00557A6F" w:rsidRDefault="00557A6F" w:rsidP="00557A6F">
            <w:pPr>
              <w:pStyle w:val="Tabellnavn"/>
            </w:pPr>
            <w:r>
              <w:t>KPAL</w:t>
            </w:r>
          </w:p>
        </w:tc>
        <w:tc>
          <w:tcPr>
            <w:tcW w:w="4560" w:type="dxa"/>
          </w:tcPr>
          <w:p w:rsidR="00557A6F" w:rsidRDefault="00557A6F" w:rsidP="00557A6F"/>
        </w:tc>
        <w:tc>
          <w:tcPr>
            <w:tcW w:w="1140" w:type="dxa"/>
          </w:tcPr>
          <w:p w:rsidR="00557A6F" w:rsidRDefault="00557A6F" w:rsidP="00557A6F">
            <w:pPr>
              <w:pStyle w:val="Tabellnavn"/>
              <w:jc w:val="right"/>
            </w:pPr>
          </w:p>
        </w:tc>
        <w:tc>
          <w:tcPr>
            <w:tcW w:w="1140" w:type="dxa"/>
          </w:tcPr>
          <w:p w:rsidR="00557A6F" w:rsidRDefault="00557A6F" w:rsidP="00557A6F">
            <w:pPr>
              <w:pStyle w:val="Tabellnavn"/>
              <w:jc w:val="right"/>
            </w:pPr>
          </w:p>
        </w:tc>
        <w:tc>
          <w:tcPr>
            <w:tcW w:w="1140" w:type="dxa"/>
          </w:tcPr>
          <w:p w:rsidR="00557A6F" w:rsidRDefault="00557A6F" w:rsidP="00557A6F">
            <w:pPr>
              <w:jc w:val="right"/>
            </w:pPr>
            <w:r>
              <w:t>(i 1 000 kr)</w:t>
            </w:r>
          </w:p>
        </w:tc>
      </w:tr>
      <w:tr w:rsidR="00557A6F" w:rsidTr="00557A6F">
        <w:trPr>
          <w:trHeight w:val="600"/>
        </w:trPr>
        <w:tc>
          <w:tcPr>
            <w:tcW w:w="1140" w:type="dxa"/>
          </w:tcPr>
          <w:p w:rsidR="00557A6F" w:rsidRDefault="00557A6F" w:rsidP="00557A6F">
            <w:r>
              <w:lastRenderedPageBreak/>
              <w:t>Post</w:t>
            </w:r>
          </w:p>
        </w:tc>
        <w:tc>
          <w:tcPr>
            <w:tcW w:w="4560" w:type="dxa"/>
          </w:tcPr>
          <w:p w:rsidR="00557A6F" w:rsidRDefault="00557A6F" w:rsidP="00557A6F">
            <w:r>
              <w:t>Betegnelse</w:t>
            </w:r>
          </w:p>
        </w:tc>
        <w:tc>
          <w:tcPr>
            <w:tcW w:w="1140" w:type="dxa"/>
          </w:tcPr>
          <w:p w:rsidR="00557A6F" w:rsidRDefault="00557A6F" w:rsidP="00557A6F">
            <w:pPr>
              <w:jc w:val="right"/>
            </w:pPr>
            <w:r>
              <w:t>Regnskap 2018</w:t>
            </w:r>
          </w:p>
        </w:tc>
        <w:tc>
          <w:tcPr>
            <w:tcW w:w="1140" w:type="dxa"/>
          </w:tcPr>
          <w:p w:rsidR="00557A6F" w:rsidRDefault="00557A6F" w:rsidP="00557A6F">
            <w:pPr>
              <w:jc w:val="right"/>
            </w:pPr>
            <w:r>
              <w:t xml:space="preserve">Saldert </w:t>
            </w:r>
            <w:r>
              <w:br/>
              <w:t>budsjett 2019</w:t>
            </w:r>
          </w:p>
        </w:tc>
        <w:tc>
          <w:tcPr>
            <w:tcW w:w="1140" w:type="dxa"/>
          </w:tcPr>
          <w:p w:rsidR="00557A6F" w:rsidRDefault="00557A6F" w:rsidP="00557A6F">
            <w:pPr>
              <w:jc w:val="right"/>
            </w:pPr>
            <w:r>
              <w:t xml:space="preserve">Forslag </w:t>
            </w:r>
            <w:r>
              <w:br/>
              <w:t>2020</w:t>
            </w:r>
          </w:p>
        </w:tc>
      </w:tr>
      <w:tr w:rsidR="00557A6F" w:rsidTr="00557A6F">
        <w:trPr>
          <w:trHeight w:val="380"/>
        </w:trPr>
        <w:tc>
          <w:tcPr>
            <w:tcW w:w="1140" w:type="dxa"/>
          </w:tcPr>
          <w:p w:rsidR="00557A6F" w:rsidRDefault="00557A6F" w:rsidP="00557A6F">
            <w:r>
              <w:t>01</w:t>
            </w:r>
          </w:p>
        </w:tc>
        <w:tc>
          <w:tcPr>
            <w:tcW w:w="4560" w:type="dxa"/>
          </w:tcPr>
          <w:p w:rsidR="00557A6F" w:rsidRDefault="00557A6F" w:rsidP="00557A6F">
            <w:r>
              <w:t xml:space="preserve">Driftsutgifter </w:t>
            </w:r>
          </w:p>
        </w:tc>
        <w:tc>
          <w:tcPr>
            <w:tcW w:w="1140" w:type="dxa"/>
          </w:tcPr>
          <w:p w:rsidR="00557A6F" w:rsidRDefault="00557A6F" w:rsidP="00557A6F">
            <w:pPr>
              <w:jc w:val="right"/>
            </w:pPr>
            <w:r>
              <w:t>7 042</w:t>
            </w:r>
          </w:p>
        </w:tc>
        <w:tc>
          <w:tcPr>
            <w:tcW w:w="1140" w:type="dxa"/>
          </w:tcPr>
          <w:p w:rsidR="00557A6F" w:rsidRDefault="00557A6F" w:rsidP="00557A6F">
            <w:pPr>
              <w:jc w:val="right"/>
            </w:pPr>
            <w:r>
              <w:t>8 468</w:t>
            </w:r>
          </w:p>
        </w:tc>
        <w:tc>
          <w:tcPr>
            <w:tcW w:w="1140" w:type="dxa"/>
          </w:tcPr>
          <w:p w:rsidR="00557A6F" w:rsidRDefault="00557A6F" w:rsidP="00557A6F">
            <w:pPr>
              <w:jc w:val="right"/>
            </w:pPr>
            <w:r>
              <w:t>8 600</w:t>
            </w:r>
          </w:p>
        </w:tc>
      </w:tr>
      <w:tr w:rsidR="00557A6F" w:rsidTr="00557A6F">
        <w:trPr>
          <w:trHeight w:val="380"/>
        </w:trPr>
        <w:tc>
          <w:tcPr>
            <w:tcW w:w="1140" w:type="dxa"/>
          </w:tcPr>
          <w:p w:rsidR="00557A6F" w:rsidRDefault="00557A6F" w:rsidP="00557A6F">
            <w:r>
              <w:t>70</w:t>
            </w:r>
          </w:p>
        </w:tc>
        <w:tc>
          <w:tcPr>
            <w:tcW w:w="4560" w:type="dxa"/>
          </w:tcPr>
          <w:p w:rsidR="00557A6F" w:rsidRDefault="00557A6F" w:rsidP="00557A6F">
            <w:r>
              <w:t xml:space="preserve">Sentrale organisasjoner </w:t>
            </w:r>
          </w:p>
        </w:tc>
        <w:tc>
          <w:tcPr>
            <w:tcW w:w="1140" w:type="dxa"/>
          </w:tcPr>
          <w:p w:rsidR="00557A6F" w:rsidRDefault="00557A6F" w:rsidP="00557A6F">
            <w:pPr>
              <w:jc w:val="right"/>
            </w:pPr>
            <w:r>
              <w:t>314 072</w:t>
            </w:r>
          </w:p>
        </w:tc>
        <w:tc>
          <w:tcPr>
            <w:tcW w:w="1140" w:type="dxa"/>
          </w:tcPr>
          <w:p w:rsidR="00557A6F" w:rsidRDefault="00557A6F" w:rsidP="00557A6F">
            <w:pPr>
              <w:jc w:val="right"/>
            </w:pPr>
            <w:r>
              <w:t>324 082</w:t>
            </w:r>
          </w:p>
        </w:tc>
        <w:tc>
          <w:tcPr>
            <w:tcW w:w="1140" w:type="dxa"/>
          </w:tcPr>
          <w:p w:rsidR="00557A6F" w:rsidRDefault="00557A6F" w:rsidP="00557A6F">
            <w:pPr>
              <w:jc w:val="right"/>
            </w:pPr>
            <w:r>
              <w:t>322 462</w:t>
            </w:r>
          </w:p>
        </w:tc>
      </w:tr>
      <w:tr w:rsidR="00557A6F" w:rsidTr="00557A6F">
        <w:trPr>
          <w:trHeight w:val="380"/>
        </w:trPr>
        <w:tc>
          <w:tcPr>
            <w:tcW w:w="1140" w:type="dxa"/>
          </w:tcPr>
          <w:p w:rsidR="00557A6F" w:rsidRDefault="00557A6F" w:rsidP="00557A6F">
            <w:r>
              <w:t>71</w:t>
            </w:r>
          </w:p>
        </w:tc>
        <w:tc>
          <w:tcPr>
            <w:tcW w:w="4560" w:type="dxa"/>
          </w:tcPr>
          <w:p w:rsidR="00557A6F" w:rsidRDefault="00557A6F" w:rsidP="00557A6F">
            <w:r>
              <w:t xml:space="preserve">Kommunale organisasjoner </w:t>
            </w:r>
          </w:p>
        </w:tc>
        <w:tc>
          <w:tcPr>
            <w:tcW w:w="1140" w:type="dxa"/>
          </w:tcPr>
          <w:p w:rsidR="00557A6F" w:rsidRDefault="00557A6F" w:rsidP="00557A6F">
            <w:pPr>
              <w:jc w:val="right"/>
            </w:pPr>
            <w:r>
              <w:t>33 214</w:t>
            </w:r>
          </w:p>
        </w:tc>
        <w:tc>
          <w:tcPr>
            <w:tcW w:w="1140" w:type="dxa"/>
          </w:tcPr>
          <w:p w:rsidR="00557A6F" w:rsidRDefault="00557A6F" w:rsidP="00557A6F">
            <w:pPr>
              <w:jc w:val="right"/>
            </w:pPr>
            <w:r>
              <w:t>33 761</w:t>
            </w:r>
          </w:p>
        </w:tc>
        <w:tc>
          <w:tcPr>
            <w:tcW w:w="1140" w:type="dxa"/>
          </w:tcPr>
          <w:p w:rsidR="00557A6F" w:rsidRDefault="00557A6F" w:rsidP="00557A6F">
            <w:pPr>
              <w:jc w:val="right"/>
            </w:pPr>
            <w:r>
              <w:t>33 592</w:t>
            </w:r>
          </w:p>
        </w:tc>
      </w:tr>
      <w:tr w:rsidR="00557A6F" w:rsidTr="00557A6F">
        <w:trPr>
          <w:trHeight w:val="380"/>
        </w:trPr>
        <w:tc>
          <w:tcPr>
            <w:tcW w:w="1140" w:type="dxa"/>
          </w:tcPr>
          <w:p w:rsidR="00557A6F" w:rsidRDefault="00557A6F" w:rsidP="00557A6F">
            <w:r>
              <w:t>73</w:t>
            </w:r>
          </w:p>
        </w:tc>
        <w:tc>
          <w:tcPr>
            <w:tcW w:w="4560" w:type="dxa"/>
          </w:tcPr>
          <w:p w:rsidR="00557A6F" w:rsidRDefault="00557A6F" w:rsidP="00557A6F">
            <w:r>
              <w:t xml:space="preserve">Fylkesorganisasjoner </w:t>
            </w:r>
          </w:p>
        </w:tc>
        <w:tc>
          <w:tcPr>
            <w:tcW w:w="1140" w:type="dxa"/>
          </w:tcPr>
          <w:p w:rsidR="00557A6F" w:rsidRDefault="00557A6F" w:rsidP="00557A6F">
            <w:pPr>
              <w:jc w:val="right"/>
            </w:pPr>
            <w:r>
              <w:t>73 289</w:t>
            </w:r>
          </w:p>
        </w:tc>
        <w:tc>
          <w:tcPr>
            <w:tcW w:w="1140" w:type="dxa"/>
          </w:tcPr>
          <w:p w:rsidR="00557A6F" w:rsidRDefault="00557A6F" w:rsidP="00557A6F">
            <w:pPr>
              <w:jc w:val="right"/>
            </w:pPr>
            <w:r>
              <w:t>73 771</w:t>
            </w:r>
          </w:p>
        </w:tc>
        <w:tc>
          <w:tcPr>
            <w:tcW w:w="1140" w:type="dxa"/>
          </w:tcPr>
          <w:p w:rsidR="00557A6F" w:rsidRDefault="00557A6F" w:rsidP="00557A6F">
            <w:pPr>
              <w:jc w:val="right"/>
            </w:pPr>
            <w:r>
              <w:t>73 402</w:t>
            </w:r>
          </w:p>
        </w:tc>
      </w:tr>
      <w:tr w:rsidR="00557A6F" w:rsidTr="00557A6F">
        <w:trPr>
          <w:trHeight w:val="380"/>
        </w:trPr>
        <w:tc>
          <w:tcPr>
            <w:tcW w:w="1140" w:type="dxa"/>
          </w:tcPr>
          <w:p w:rsidR="00557A6F" w:rsidRDefault="00557A6F" w:rsidP="00557A6F">
            <w:r>
              <w:t>75</w:t>
            </w:r>
          </w:p>
        </w:tc>
        <w:tc>
          <w:tcPr>
            <w:tcW w:w="4560" w:type="dxa"/>
          </w:tcPr>
          <w:p w:rsidR="00557A6F" w:rsidRDefault="00557A6F" w:rsidP="00557A6F">
            <w:r>
              <w:t xml:space="preserve">Fylkesungdomsorganisasjoner </w:t>
            </w:r>
          </w:p>
        </w:tc>
        <w:tc>
          <w:tcPr>
            <w:tcW w:w="1140" w:type="dxa"/>
          </w:tcPr>
          <w:p w:rsidR="00557A6F" w:rsidRDefault="00557A6F" w:rsidP="00557A6F">
            <w:pPr>
              <w:jc w:val="right"/>
            </w:pPr>
            <w:r>
              <w:t>21 342</w:t>
            </w:r>
          </w:p>
        </w:tc>
        <w:tc>
          <w:tcPr>
            <w:tcW w:w="1140" w:type="dxa"/>
          </w:tcPr>
          <w:p w:rsidR="00557A6F" w:rsidRDefault="00557A6F" w:rsidP="00557A6F">
            <w:pPr>
              <w:jc w:val="right"/>
            </w:pPr>
            <w:r>
              <w:t>21 913</w:t>
            </w:r>
          </w:p>
        </w:tc>
        <w:tc>
          <w:tcPr>
            <w:tcW w:w="1140" w:type="dxa"/>
          </w:tcPr>
          <w:p w:rsidR="00557A6F" w:rsidRDefault="00557A6F" w:rsidP="00557A6F">
            <w:pPr>
              <w:jc w:val="right"/>
            </w:pPr>
            <w:r>
              <w:t>21 803</w:t>
            </w:r>
          </w:p>
        </w:tc>
      </w:tr>
      <w:tr w:rsidR="00557A6F" w:rsidTr="00557A6F">
        <w:trPr>
          <w:trHeight w:val="380"/>
        </w:trPr>
        <w:tc>
          <w:tcPr>
            <w:tcW w:w="1140" w:type="dxa"/>
          </w:tcPr>
          <w:p w:rsidR="00557A6F" w:rsidRDefault="00557A6F" w:rsidP="00557A6F">
            <w:r>
              <w:t>76</w:t>
            </w:r>
          </w:p>
        </w:tc>
        <w:tc>
          <w:tcPr>
            <w:tcW w:w="4560" w:type="dxa"/>
          </w:tcPr>
          <w:p w:rsidR="00557A6F" w:rsidRDefault="00557A6F" w:rsidP="00557A6F">
            <w:r>
              <w:t xml:space="preserve">Sentrale ungdomsorganisasjoner </w:t>
            </w:r>
          </w:p>
        </w:tc>
        <w:tc>
          <w:tcPr>
            <w:tcW w:w="1140" w:type="dxa"/>
          </w:tcPr>
          <w:p w:rsidR="00557A6F" w:rsidRDefault="00557A6F" w:rsidP="00557A6F">
            <w:pPr>
              <w:jc w:val="right"/>
            </w:pPr>
            <w:r>
              <w:t>8 222</w:t>
            </w:r>
          </w:p>
        </w:tc>
        <w:tc>
          <w:tcPr>
            <w:tcW w:w="1140" w:type="dxa"/>
          </w:tcPr>
          <w:p w:rsidR="00557A6F" w:rsidRDefault="00557A6F" w:rsidP="00557A6F">
            <w:pPr>
              <w:jc w:val="right"/>
            </w:pPr>
            <w:r>
              <w:t>8 256</w:t>
            </w:r>
          </w:p>
        </w:tc>
        <w:tc>
          <w:tcPr>
            <w:tcW w:w="1140" w:type="dxa"/>
          </w:tcPr>
          <w:p w:rsidR="00557A6F" w:rsidRDefault="00557A6F" w:rsidP="00557A6F">
            <w:pPr>
              <w:jc w:val="right"/>
            </w:pPr>
            <w:r>
              <w:t>8 215</w:t>
            </w:r>
          </w:p>
        </w:tc>
      </w:tr>
      <w:tr w:rsidR="00557A6F" w:rsidTr="00557A6F">
        <w:trPr>
          <w:trHeight w:val="380"/>
        </w:trPr>
        <w:tc>
          <w:tcPr>
            <w:tcW w:w="1140" w:type="dxa"/>
          </w:tcPr>
          <w:p w:rsidR="00557A6F" w:rsidRDefault="00557A6F" w:rsidP="00557A6F"/>
        </w:tc>
        <w:tc>
          <w:tcPr>
            <w:tcW w:w="4560" w:type="dxa"/>
          </w:tcPr>
          <w:p w:rsidR="00557A6F" w:rsidRDefault="00557A6F" w:rsidP="00557A6F">
            <w:r>
              <w:t>Sum kap. 0577</w:t>
            </w:r>
          </w:p>
        </w:tc>
        <w:tc>
          <w:tcPr>
            <w:tcW w:w="1140" w:type="dxa"/>
          </w:tcPr>
          <w:p w:rsidR="00557A6F" w:rsidRDefault="00557A6F" w:rsidP="00557A6F">
            <w:pPr>
              <w:jc w:val="right"/>
            </w:pPr>
            <w:r>
              <w:t>457 181</w:t>
            </w:r>
          </w:p>
        </w:tc>
        <w:tc>
          <w:tcPr>
            <w:tcW w:w="1140" w:type="dxa"/>
          </w:tcPr>
          <w:p w:rsidR="00557A6F" w:rsidRDefault="00557A6F" w:rsidP="00557A6F">
            <w:pPr>
              <w:jc w:val="right"/>
            </w:pPr>
            <w:r>
              <w:t>470 251</w:t>
            </w:r>
          </w:p>
        </w:tc>
        <w:tc>
          <w:tcPr>
            <w:tcW w:w="1140" w:type="dxa"/>
          </w:tcPr>
          <w:p w:rsidR="00557A6F" w:rsidRDefault="00557A6F" w:rsidP="00557A6F">
            <w:pPr>
              <w:jc w:val="right"/>
            </w:pPr>
            <w:r>
              <w:t>468 074</w:t>
            </w:r>
          </w:p>
        </w:tc>
      </w:tr>
    </w:tbl>
    <w:p w:rsidR="00557A6F" w:rsidRDefault="00557A6F" w:rsidP="00557A6F">
      <w:pPr>
        <w:pStyle w:val="avsnitt-tittel"/>
      </w:pPr>
      <w:r>
        <w:t>Mål for ordningen</w:t>
      </w:r>
    </w:p>
    <w:p w:rsidR="00557A6F" w:rsidRDefault="00557A6F" w:rsidP="00557A6F">
      <w:r>
        <w:t>Tilskudd til politiske partier skal bidra til å nå målet om at de registrerte politiske partiene har økonomiske midler til å løse sine kjerneoppgaver.</w:t>
      </w:r>
    </w:p>
    <w:p w:rsidR="00557A6F" w:rsidRDefault="00557A6F" w:rsidP="00557A6F">
      <w:pPr>
        <w:pStyle w:val="avsnitt-tittel"/>
      </w:pPr>
      <w:r>
        <w:t>Kriterier for måloppnåelse</w:t>
      </w:r>
    </w:p>
    <w:p w:rsidR="00557A6F" w:rsidRDefault="00557A6F" w:rsidP="00557A6F">
      <w:r>
        <w:t>Alle registrerte politiske partier som har søkt og oppfyller kravene i partiloven, mottar i utgang</w:t>
      </w:r>
      <w:r>
        <w:t>s</w:t>
      </w:r>
      <w:r>
        <w:t>punktet økonomisk støtte.</w:t>
      </w:r>
    </w:p>
    <w:p w:rsidR="00557A6F" w:rsidRDefault="00557A6F" w:rsidP="00557A6F">
      <w:pPr>
        <w:pStyle w:val="avsnitt-tittel"/>
      </w:pPr>
      <w:r>
        <w:t>Tildelingskriterier</w:t>
      </w:r>
    </w:p>
    <w:p w:rsidR="00557A6F" w:rsidRDefault="00557A6F" w:rsidP="00557A6F">
      <w:r>
        <w:t>Statlig partistøtte gis til registrerte politiske partier på nasjonalt, fylkeskommunalt og kommunalt nivå som har oppnådd stemmer ved foregående valg. På grunnlag av morpartiets stemmeandel, gis det også støtte til politiske partiers ungdomsorganisasjoner på nasjonalt og fylkeskommunalt nivå.</w:t>
      </w:r>
    </w:p>
    <w:p w:rsidR="00557A6F" w:rsidRDefault="00557A6F" w:rsidP="00557A6F">
      <w:pPr>
        <w:pStyle w:val="avsnitt-tittel"/>
      </w:pPr>
      <w:r>
        <w:t>Oppfølging og kontroll</w:t>
      </w:r>
    </w:p>
    <w:p w:rsidR="00557A6F" w:rsidRDefault="00557A6F" w:rsidP="00557A6F">
      <w:r>
        <w:t>Etter partiloven § 10 skal ikke myndighetene føre kontroll med partienes disponering av støtten. Det skal heller ikke knyttes betingelser til offentlig partistøtte som kan komme i konflikt med de politiske partienes selvstendighet og uavhengighet.</w:t>
      </w:r>
    </w:p>
    <w:p w:rsidR="00557A6F" w:rsidRDefault="00557A6F" w:rsidP="00557A6F">
      <w:r>
        <w:t>Kap. 5 i partiloven gir Partilovnemnda myndighet til å kontrollere at partiene overholder finansi</w:t>
      </w:r>
      <w:r>
        <w:t>e</w:t>
      </w:r>
      <w:r>
        <w:t>ringsbeste</w:t>
      </w:r>
      <w:r>
        <w:t>m</w:t>
      </w:r>
      <w:r>
        <w:t>melsene i loven. Ved brudd på regelverket kan nemnda foreta hel eller delvis avkorting i støtten for ett år av gangen.</w:t>
      </w:r>
    </w:p>
    <w:p w:rsidR="00557A6F" w:rsidRDefault="00557A6F" w:rsidP="00557A6F">
      <w:r>
        <w:t>De administrative oppgavene med partiloven forvaltes av Kommunal- og moderniseringsdepart</w:t>
      </w:r>
      <w:r>
        <w:t>e</w:t>
      </w:r>
      <w:r>
        <w:t>mentet og Fylkesmannen i Vestland. Statistisk sentralbyrå (SSB) henter inn, behandler og offen</w:t>
      </w:r>
      <w:r>
        <w:t>t</w:t>
      </w:r>
      <w:r>
        <w:t>liggjør informasjon om parti</w:t>
      </w:r>
      <w:r>
        <w:t>e</w:t>
      </w:r>
      <w:r>
        <w:t>nes finansielle forhold. Partilovnemnda er tillagt det overordnede myndighetsansvaret for enkeltsaker etter loven.</w:t>
      </w:r>
    </w:p>
    <w:p w:rsidR="00557A6F" w:rsidRDefault="00557A6F" w:rsidP="00557A6F">
      <w:pPr>
        <w:pStyle w:val="avsnitt-tittel"/>
      </w:pPr>
      <w:r>
        <w:t>Rapport</w:t>
      </w:r>
    </w:p>
    <w:p w:rsidR="00557A6F" w:rsidRDefault="00557A6F" w:rsidP="00557A6F">
      <w:r>
        <w:t>Partilovnemnda videreførte i 2018 en streng håndheving av partienes plikt til å innrapportere reg</w:t>
      </w:r>
      <w:r>
        <w:t>n</w:t>
      </w:r>
      <w:r>
        <w:t>skapsdata. I 103 tilfeller der rapporteringen ikke var i samsvar med loven, ble statlig partistøtte helt eller delvis tilbakeholdt for ett år. Tilbakehold ble også vedtatt for et mindre antall partier eller pa</w:t>
      </w:r>
      <w:r>
        <w:t>r</w:t>
      </w:r>
      <w:r>
        <w:t>tiledd som ikke hadde identifisert og rapportert bidrag mv. Nemnda informerte Fylkesmannen i Sogn og Fjordane om at 40 partiledd som i minst to år ikke hadde innsendt rapport, ikke fylte kr</w:t>
      </w:r>
      <w:r>
        <w:t>a</w:t>
      </w:r>
      <w:r>
        <w:t>vene for å motta partistøtte for neste år. I alt 77 partier eller partiledd fikk vedtak om formell a</w:t>
      </w:r>
      <w:r>
        <w:t>d</w:t>
      </w:r>
      <w:r>
        <w:t>varsel for mindre brudd på rapportering</w:t>
      </w:r>
      <w:r>
        <w:t>s</w:t>
      </w:r>
      <w:r>
        <w:t xml:space="preserve">plikten. </w:t>
      </w:r>
    </w:p>
    <w:p w:rsidR="00557A6F" w:rsidRDefault="00557A6F" w:rsidP="00557A6F">
      <w:r>
        <w:lastRenderedPageBreak/>
        <w:t>Et nytt partirevisjonsutvalg ble oppnevnt i 2018. Samme høst påbegynte det rutinekontroll med 35 tilfeldig utvalgte partier og partiledd. Revisjonsutvalget har også gitt veiledning om hvordan pli</w:t>
      </w:r>
      <w:r>
        <w:t>k</w:t>
      </w:r>
      <w:r>
        <w:t>tene etter loven kan op</w:t>
      </w:r>
      <w:r>
        <w:t>p</w:t>
      </w:r>
      <w:r>
        <w:t xml:space="preserve">fylles. </w:t>
      </w:r>
    </w:p>
    <w:p w:rsidR="00557A6F" w:rsidRDefault="00557A6F" w:rsidP="00557A6F">
      <w:r>
        <w:t>Partiportalen benyttes i dag av ca. 3 500 partiledd og er det sentrale verktøyet i kommunikasjonen mellom det o</w:t>
      </w:r>
      <w:r>
        <w:t>f</w:t>
      </w:r>
      <w:r>
        <w:t>fentlige og partiene om alle forhold som berører partiloven. Portalen har vært driftet stabilt i 2018 av Fylkesmannen i Sogn og Fjordane. I samråd med partiene er funksjonaliteten u</w:t>
      </w:r>
      <w:r>
        <w:t>t</w:t>
      </w:r>
      <w:r>
        <w:t>videt, blant annet for å gjøre omstillinger som følge av kommune- og regionreformen enklere å følge opp for berørte partiorganis</w:t>
      </w:r>
      <w:r>
        <w:t>a</w:t>
      </w:r>
      <w:r>
        <w:t>sjoner.</w:t>
      </w:r>
    </w:p>
    <w:p w:rsidR="00557A6F" w:rsidRDefault="00557A6F" w:rsidP="00557A6F">
      <w:r>
        <w:t>I forkant av sammenslåing av fylkesmannsembetene Hordaland og Sogn og Fjordane, samt oppre</w:t>
      </w:r>
      <w:r>
        <w:t>t</w:t>
      </w:r>
      <w:r>
        <w:t>telsen av Fylkesmennenes fellesadministrasjon, ble det i 2018 planlagt fordeling av de faglige a</w:t>
      </w:r>
      <w:r>
        <w:t>r</w:t>
      </w:r>
      <w:r>
        <w:t>beidsområdene og de utvi</w:t>
      </w:r>
      <w:r>
        <w:t>k</w:t>
      </w:r>
      <w:r>
        <w:t>lingstekniske områdene. Det legges til grunn at utvikling og drift av IKT-moduler i tilknytning til partiloven v</w:t>
      </w:r>
      <w:r>
        <w:t>i</w:t>
      </w:r>
      <w:r>
        <w:t>dereføres av Fylkesmennenes fellesadministrasjon.</w:t>
      </w:r>
    </w:p>
    <w:p w:rsidR="00557A6F" w:rsidRDefault="00557A6F" w:rsidP="00557A6F">
      <w:r>
        <w:t>SSB, Fylkesmannen i Sogn og Fjordane, Partilovnemnda og Kommunal- og moderniseringsdepa</w:t>
      </w:r>
      <w:r>
        <w:t>r</w:t>
      </w:r>
      <w:r>
        <w:t>tementet avholdt i 2018 fire informasjonsmøter for alle politiske partier på sentralt, fylkeskomm</w:t>
      </w:r>
      <w:r>
        <w:t>u</w:t>
      </w:r>
      <w:r>
        <w:t xml:space="preserve">nalt og kommunalt nivå. </w:t>
      </w:r>
    </w:p>
    <w:p w:rsidR="00557A6F" w:rsidRDefault="00557A6F" w:rsidP="00557A6F">
      <w:r>
        <w:t xml:space="preserve">SSB gjorde innberetningsskjemaet for regnskapsåret 2018 tilgjengelig 28. </w:t>
      </w:r>
      <w:proofErr w:type="gramStart"/>
      <w:r>
        <w:t>mars</w:t>
      </w:r>
      <w:proofErr w:type="gramEnd"/>
      <w:r>
        <w:t xml:space="preserve"> 2019. Totalt 3368 partiledd er rapporteringspliktige og 1100 av disse er direkte involvert i en kommune- eller fylke</w:t>
      </w:r>
      <w:r>
        <w:t>s</w:t>
      </w:r>
      <w:r>
        <w:t>sammenslåing.</w:t>
      </w:r>
    </w:p>
    <w:p w:rsidR="00557A6F" w:rsidRDefault="00557A6F" w:rsidP="00557A6F">
      <w:r>
        <w:t>Andelen partier og partiledd som har levert regnskapsrapporter innen lovens frist 1. juni 2019 økte med 1,5 pr</w:t>
      </w:r>
      <w:r>
        <w:t>o</w:t>
      </w:r>
      <w:r>
        <w:t xml:space="preserve">sentpoeng fra året før. Ved fristen hadde 94,2 pst. rapportert. </w:t>
      </w:r>
    </w:p>
    <w:p w:rsidR="00557A6F" w:rsidRDefault="00557A6F" w:rsidP="00557A6F">
      <w:pPr>
        <w:pStyle w:val="b-post"/>
      </w:pPr>
      <w:r>
        <w:t>Post 01 Driftsutgifter</w:t>
      </w:r>
    </w:p>
    <w:p w:rsidR="00557A6F" w:rsidRDefault="00557A6F" w:rsidP="00557A6F">
      <w:r>
        <w:t>Posten dekker blant annet utgifter til drift av Partilovnemnda, Partirevisjonsutvalget, partiportalen, Fy</w:t>
      </w:r>
      <w:r>
        <w:t>l</w:t>
      </w:r>
      <w:r>
        <w:t>kesmannen i Vestland, Statistisk sentralbyrås innrapporteringssystem og Partiregisteret som drives av Registerenheten i Brønnøysund.</w:t>
      </w:r>
    </w:p>
    <w:p w:rsidR="00557A6F" w:rsidRDefault="00557A6F" w:rsidP="00557A6F">
      <w:r>
        <w:t>Det foreslås en bevilgning på 8,6 mill. kroner i 2020.</w:t>
      </w:r>
    </w:p>
    <w:p w:rsidR="00557A6F" w:rsidRDefault="00557A6F" w:rsidP="00557A6F">
      <w:pPr>
        <w:pStyle w:val="b-post"/>
      </w:pPr>
      <w:r>
        <w:t>Post 70 Sentrale organisasjoner</w:t>
      </w:r>
    </w:p>
    <w:p w:rsidR="00557A6F" w:rsidRDefault="00557A6F" w:rsidP="00557A6F">
      <w:r>
        <w:t>Bevilgningen er øremerket registrerte politiske partier på nasjonalt nivå og fordeles med 90 pst. til ste</w:t>
      </w:r>
      <w:r>
        <w:t>m</w:t>
      </w:r>
      <w:r>
        <w:t>mestøtte og 10 pst. til grunnstøtte. Departementet utbetaler tilskuddet på grunnlag av søknad for hver stortingsvalgperiode. Stemmestøtte fordeles som en fast sats per stemme beregnet på grunnlag av den årlige bevilgningen og resultatet fra foregående stortingsvalg. Grunnstøtte utbet</w:t>
      </w:r>
      <w:r>
        <w:t>a</w:t>
      </w:r>
      <w:r>
        <w:t>les til partiets hovedo</w:t>
      </w:r>
      <w:r>
        <w:t>r</w:t>
      </w:r>
      <w:r>
        <w:t>ganisasjon dersom partiet fikk minst 2,5 pst. oppslutning på landsbasis eller vant minst ett mandat ved foregående stortingsvalg. Grunnstøtten fordeles likt mellom disse part</w:t>
      </w:r>
      <w:r>
        <w:t>i</w:t>
      </w:r>
      <w:r>
        <w:t>ene.</w:t>
      </w:r>
    </w:p>
    <w:p w:rsidR="00557A6F" w:rsidRDefault="00557A6F" w:rsidP="00557A6F">
      <w:r>
        <w:t>Det foreslås en bevilgning på 322,5 mill. kroner i 2020.</w:t>
      </w:r>
    </w:p>
    <w:p w:rsidR="00557A6F" w:rsidRDefault="00557A6F" w:rsidP="00557A6F">
      <w:pPr>
        <w:pStyle w:val="b-post"/>
      </w:pPr>
      <w:r>
        <w:t>Post 71 Kommunale organisasjoner</w:t>
      </w:r>
    </w:p>
    <w:p w:rsidR="00557A6F" w:rsidRDefault="00557A6F" w:rsidP="00557A6F">
      <w:r>
        <w:t>Bevilgningen er øremerket partilag under registrerte politiske partier og fordeles med 90 pst. til stemm</w:t>
      </w:r>
      <w:r>
        <w:t>e</w:t>
      </w:r>
      <w:r>
        <w:t>støtte og 10 pst. til grunnstøtte. Det er et krav om at kommunepartiet må ha en organisasjon i den respektive kommunen for å få støtte. Fylkesmannen i Vestland utbetaler tilskuddet på grun</w:t>
      </w:r>
      <w:r>
        <w:t>n</w:t>
      </w:r>
      <w:r>
        <w:t>lag av søknad for hver kommunestyrevalgperiode.</w:t>
      </w:r>
    </w:p>
    <w:p w:rsidR="00557A6F" w:rsidRDefault="00557A6F" w:rsidP="00557A6F">
      <w:r>
        <w:t>Stemmestøtte utbetales fra første stemme uten sperregrense. Satsen beregnes på grunnlag av den årlige bevil</w:t>
      </w:r>
      <w:r>
        <w:t>g</w:t>
      </w:r>
      <w:r>
        <w:t>ningen og resultatet fra foregående kommunestyrevalg.</w:t>
      </w:r>
    </w:p>
    <w:p w:rsidR="00557A6F" w:rsidRDefault="00557A6F" w:rsidP="00557A6F">
      <w:r>
        <w:t>Grunnstøtte bevilges til partienes kommuneorganisasjoner dersom partiet fikk minst 4 pst. oppslu</w:t>
      </w:r>
      <w:r>
        <w:t>t</w:t>
      </w:r>
      <w:r>
        <w:t>ning i komm</w:t>
      </w:r>
      <w:r>
        <w:t>u</w:t>
      </w:r>
      <w:r>
        <w:t>nen eller vant minst ett mandat ved foregående kommunestyrevalg. Grunnstøtten fordeles likt mellom disse pa</w:t>
      </w:r>
      <w:r>
        <w:t>r</w:t>
      </w:r>
      <w:r>
        <w:t>tiene.</w:t>
      </w:r>
    </w:p>
    <w:p w:rsidR="00557A6F" w:rsidRDefault="00557A6F" w:rsidP="00557A6F">
      <w:r>
        <w:t>Det foreslås en bevilgning på 33,6 mill. kroner i 2020.</w:t>
      </w:r>
    </w:p>
    <w:p w:rsidR="00557A6F" w:rsidRDefault="00557A6F" w:rsidP="00557A6F">
      <w:pPr>
        <w:pStyle w:val="b-post"/>
      </w:pPr>
      <w:r>
        <w:t>Post 73 Fylkesorganisasjoner</w:t>
      </w:r>
    </w:p>
    <w:p w:rsidR="00557A6F" w:rsidRDefault="00557A6F" w:rsidP="00557A6F">
      <w:r>
        <w:t>Bevilgningen er øremerket fylkeslag under registrerte politiske partier og fordeles med 90 pst. til ste</w:t>
      </w:r>
      <w:r>
        <w:t>m</w:t>
      </w:r>
      <w:r>
        <w:t xml:space="preserve">mestøtte og 10 pst. til grunnstøtte. Det er et krav om at fylkeslaget må ha en organisasjon i det respektive </w:t>
      </w:r>
      <w:r>
        <w:lastRenderedPageBreak/>
        <w:t>fylket for å få støtte. Fylkesmannen i Vestland utbetaler tilskuddet på grunnlag av sø</w:t>
      </w:r>
      <w:r>
        <w:t>k</w:t>
      </w:r>
      <w:r>
        <w:t>nad for hver fylke</w:t>
      </w:r>
      <w:r>
        <w:t>s</w:t>
      </w:r>
      <w:r>
        <w:t>tingsvalgperiode.</w:t>
      </w:r>
    </w:p>
    <w:p w:rsidR="00557A6F" w:rsidRDefault="00557A6F" w:rsidP="00557A6F">
      <w:r>
        <w:t>Stemmestøtte utbetales fra første stemme uten sperregrense. Satsen beregnes på grunnlag av den årlige bevil</w:t>
      </w:r>
      <w:r>
        <w:t>g</w:t>
      </w:r>
      <w:r>
        <w:t>ningen og resultatet fra foregående fylkestingsvalg.</w:t>
      </w:r>
    </w:p>
    <w:p w:rsidR="00557A6F" w:rsidRDefault="00557A6F" w:rsidP="00557A6F">
      <w:r>
        <w:t>Grunnstøtte bevilges til partienes fylkesorganisasjoner dersom partiet fikk minst 4 pst. oppslutning i fylket eller vant minst ett mandat ved foregående fylkestingsvalg. Grunnstøtten fordeles likt me</w:t>
      </w:r>
      <w:r>
        <w:t>l</w:t>
      </w:r>
      <w:r>
        <w:t>lom disse partiene.</w:t>
      </w:r>
    </w:p>
    <w:p w:rsidR="00557A6F" w:rsidRDefault="00557A6F" w:rsidP="00557A6F">
      <w:r>
        <w:t>Det foreslås en bevilgning på 73,4 mill. kroner i 2020.</w:t>
      </w:r>
    </w:p>
    <w:p w:rsidR="00557A6F" w:rsidRDefault="00557A6F" w:rsidP="00557A6F">
      <w:pPr>
        <w:pStyle w:val="b-post"/>
      </w:pPr>
      <w:r>
        <w:t>Post 75 Fylkesungdomsorganisasjoner</w:t>
      </w:r>
    </w:p>
    <w:p w:rsidR="00557A6F" w:rsidRDefault="00557A6F" w:rsidP="00557A6F">
      <w:r>
        <w:t>Bevilgningen fordeles til partier med fylkesungdomsorganisasjon i samsvar med det antallet ste</w:t>
      </w:r>
      <w:r>
        <w:t>m</w:t>
      </w:r>
      <w:r>
        <w:t>mer som morpartiet fikk ved foregående fylkestingsvalg. Fylkesmannen i Vestland utbetaler ti</w:t>
      </w:r>
      <w:r>
        <w:t>l</w:t>
      </w:r>
      <w:r>
        <w:t>skuddet på grunnlag av søknad for hver fylkestingsvalgperiode.</w:t>
      </w:r>
    </w:p>
    <w:p w:rsidR="00557A6F" w:rsidRDefault="00557A6F" w:rsidP="00557A6F">
      <w:r>
        <w:t>Det foreslås en bevilgning på 21,8 mill. kroner i 2020.</w:t>
      </w:r>
    </w:p>
    <w:p w:rsidR="00557A6F" w:rsidRDefault="00557A6F" w:rsidP="00557A6F">
      <w:pPr>
        <w:pStyle w:val="b-post"/>
      </w:pPr>
      <w:r>
        <w:t>Post 76 Sentrale ungdomsorganisasjoner</w:t>
      </w:r>
    </w:p>
    <w:p w:rsidR="00557A6F" w:rsidRDefault="00557A6F" w:rsidP="00557A6F">
      <w:r>
        <w:t>Bevilgningen fordeles i samsvar med morpartiets del av det totale antallet stemmer ved foregående stortingsvalg som gikk til partier med sentral ungdomsorganisasjon. Departementet utbetaler ti</w:t>
      </w:r>
      <w:r>
        <w:t>l</w:t>
      </w:r>
      <w:r>
        <w:t>skuddet på grunnlag av søknad for hver stortingsvalgperiode.</w:t>
      </w:r>
    </w:p>
    <w:p w:rsidR="00557A6F" w:rsidRDefault="00557A6F" w:rsidP="00557A6F">
      <w:r>
        <w:t>Det foreslås en bevilgning på 8,2 mill. kroner i 2020.</w:t>
      </w:r>
    </w:p>
    <w:p w:rsidR="00557A6F" w:rsidRDefault="00557A6F" w:rsidP="00557A6F">
      <w:pPr>
        <w:pStyle w:val="b-budkaptit"/>
      </w:pPr>
      <w:r>
        <w:t>Kap. 578 Valgdirektoratet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7A6F" w:rsidTr="00557A6F">
        <w:trPr>
          <w:trHeight w:val="640"/>
        </w:trPr>
        <w:tc>
          <w:tcPr>
            <w:tcW w:w="1140" w:type="dxa"/>
            <w:shd w:val="clear" w:color="auto" w:fill="FFFFFF"/>
          </w:tcPr>
          <w:p w:rsidR="00557A6F" w:rsidRDefault="00557A6F" w:rsidP="00557A6F">
            <w:pPr>
              <w:pStyle w:val="Tabellnavn"/>
            </w:pPr>
            <w:r>
              <w:t>KPAL</w:t>
            </w:r>
          </w:p>
        </w:tc>
        <w:tc>
          <w:tcPr>
            <w:tcW w:w="4560" w:type="dxa"/>
          </w:tcPr>
          <w:p w:rsidR="00557A6F" w:rsidRDefault="00557A6F" w:rsidP="00557A6F"/>
        </w:tc>
        <w:tc>
          <w:tcPr>
            <w:tcW w:w="1140" w:type="dxa"/>
          </w:tcPr>
          <w:p w:rsidR="00557A6F" w:rsidRDefault="00557A6F" w:rsidP="00557A6F">
            <w:pPr>
              <w:pStyle w:val="Tabellnavn"/>
              <w:jc w:val="right"/>
            </w:pPr>
          </w:p>
        </w:tc>
        <w:tc>
          <w:tcPr>
            <w:tcW w:w="1140" w:type="dxa"/>
          </w:tcPr>
          <w:p w:rsidR="00557A6F" w:rsidRDefault="00557A6F" w:rsidP="00557A6F">
            <w:pPr>
              <w:pStyle w:val="Tabellnavn"/>
              <w:jc w:val="right"/>
            </w:pPr>
          </w:p>
        </w:tc>
        <w:tc>
          <w:tcPr>
            <w:tcW w:w="1140" w:type="dxa"/>
          </w:tcPr>
          <w:p w:rsidR="00557A6F" w:rsidRDefault="00557A6F" w:rsidP="00557A6F">
            <w:pPr>
              <w:jc w:val="right"/>
            </w:pPr>
            <w:r>
              <w:t>(i 1 000 kr)</w:t>
            </w:r>
          </w:p>
        </w:tc>
      </w:tr>
      <w:tr w:rsidR="00557A6F" w:rsidTr="00557A6F">
        <w:trPr>
          <w:trHeight w:val="600"/>
        </w:trPr>
        <w:tc>
          <w:tcPr>
            <w:tcW w:w="1140" w:type="dxa"/>
          </w:tcPr>
          <w:p w:rsidR="00557A6F" w:rsidRDefault="00557A6F" w:rsidP="00557A6F">
            <w:r>
              <w:t>Post</w:t>
            </w:r>
          </w:p>
        </w:tc>
        <w:tc>
          <w:tcPr>
            <w:tcW w:w="4560" w:type="dxa"/>
          </w:tcPr>
          <w:p w:rsidR="00557A6F" w:rsidRDefault="00557A6F" w:rsidP="00557A6F">
            <w:r>
              <w:t>Betegnelse</w:t>
            </w:r>
          </w:p>
        </w:tc>
        <w:tc>
          <w:tcPr>
            <w:tcW w:w="1140" w:type="dxa"/>
          </w:tcPr>
          <w:p w:rsidR="00557A6F" w:rsidRDefault="00557A6F" w:rsidP="00557A6F">
            <w:pPr>
              <w:jc w:val="right"/>
            </w:pPr>
            <w:r>
              <w:t>Regnskap 2018</w:t>
            </w:r>
          </w:p>
        </w:tc>
        <w:tc>
          <w:tcPr>
            <w:tcW w:w="1140" w:type="dxa"/>
          </w:tcPr>
          <w:p w:rsidR="00557A6F" w:rsidRDefault="00557A6F" w:rsidP="00557A6F">
            <w:pPr>
              <w:jc w:val="right"/>
            </w:pPr>
            <w:r>
              <w:t xml:space="preserve">Saldert </w:t>
            </w:r>
            <w:r>
              <w:br/>
              <w:t>budsjett 2019</w:t>
            </w:r>
          </w:p>
        </w:tc>
        <w:tc>
          <w:tcPr>
            <w:tcW w:w="1140" w:type="dxa"/>
          </w:tcPr>
          <w:p w:rsidR="00557A6F" w:rsidRDefault="00557A6F" w:rsidP="00557A6F">
            <w:pPr>
              <w:jc w:val="right"/>
            </w:pPr>
            <w:r>
              <w:t xml:space="preserve">Forslag </w:t>
            </w:r>
            <w:r>
              <w:br/>
              <w:t>2020</w:t>
            </w:r>
          </w:p>
        </w:tc>
      </w:tr>
      <w:tr w:rsidR="00557A6F" w:rsidTr="00557A6F">
        <w:trPr>
          <w:trHeight w:val="380"/>
        </w:trPr>
        <w:tc>
          <w:tcPr>
            <w:tcW w:w="1140" w:type="dxa"/>
          </w:tcPr>
          <w:p w:rsidR="00557A6F" w:rsidRDefault="00557A6F" w:rsidP="00557A6F">
            <w:r>
              <w:t>01</w:t>
            </w:r>
          </w:p>
        </w:tc>
        <w:tc>
          <w:tcPr>
            <w:tcW w:w="4560" w:type="dxa"/>
          </w:tcPr>
          <w:p w:rsidR="00557A6F" w:rsidRDefault="00557A6F" w:rsidP="00557A6F">
            <w:r>
              <w:t xml:space="preserve">Driftsutgifter </w:t>
            </w:r>
          </w:p>
        </w:tc>
        <w:tc>
          <w:tcPr>
            <w:tcW w:w="1140" w:type="dxa"/>
          </w:tcPr>
          <w:p w:rsidR="00557A6F" w:rsidRDefault="00557A6F" w:rsidP="00557A6F">
            <w:pPr>
              <w:jc w:val="right"/>
            </w:pPr>
            <w:r>
              <w:t>46 667</w:t>
            </w:r>
          </w:p>
        </w:tc>
        <w:tc>
          <w:tcPr>
            <w:tcW w:w="1140" w:type="dxa"/>
          </w:tcPr>
          <w:p w:rsidR="00557A6F" w:rsidRDefault="00557A6F" w:rsidP="00557A6F">
            <w:pPr>
              <w:jc w:val="right"/>
            </w:pPr>
            <w:r>
              <w:t>107 745</w:t>
            </w:r>
          </w:p>
        </w:tc>
        <w:tc>
          <w:tcPr>
            <w:tcW w:w="1140" w:type="dxa"/>
          </w:tcPr>
          <w:p w:rsidR="00557A6F" w:rsidRDefault="00557A6F" w:rsidP="00557A6F">
            <w:pPr>
              <w:jc w:val="right"/>
            </w:pPr>
            <w:r>
              <w:t>57 436</w:t>
            </w:r>
          </w:p>
        </w:tc>
      </w:tr>
      <w:tr w:rsidR="00557A6F" w:rsidTr="00557A6F">
        <w:trPr>
          <w:trHeight w:val="380"/>
        </w:trPr>
        <w:tc>
          <w:tcPr>
            <w:tcW w:w="1140" w:type="dxa"/>
          </w:tcPr>
          <w:p w:rsidR="00557A6F" w:rsidRDefault="00557A6F" w:rsidP="00557A6F">
            <w:r>
              <w:t>70</w:t>
            </w:r>
          </w:p>
        </w:tc>
        <w:tc>
          <w:tcPr>
            <w:tcW w:w="4560" w:type="dxa"/>
          </w:tcPr>
          <w:p w:rsidR="00557A6F" w:rsidRDefault="00557A6F" w:rsidP="00557A6F">
            <w:r>
              <w:t xml:space="preserve">Informasjonstiltak </w:t>
            </w:r>
          </w:p>
        </w:tc>
        <w:tc>
          <w:tcPr>
            <w:tcW w:w="1140" w:type="dxa"/>
          </w:tcPr>
          <w:p w:rsidR="00557A6F" w:rsidRDefault="00557A6F" w:rsidP="00557A6F">
            <w:pPr>
              <w:jc w:val="right"/>
            </w:pPr>
          </w:p>
        </w:tc>
        <w:tc>
          <w:tcPr>
            <w:tcW w:w="1140" w:type="dxa"/>
          </w:tcPr>
          <w:p w:rsidR="00557A6F" w:rsidRDefault="00557A6F" w:rsidP="00557A6F">
            <w:pPr>
              <w:jc w:val="right"/>
            </w:pPr>
            <w:r>
              <w:t>5 200</w:t>
            </w:r>
          </w:p>
        </w:tc>
        <w:tc>
          <w:tcPr>
            <w:tcW w:w="1140" w:type="dxa"/>
          </w:tcPr>
          <w:p w:rsidR="00557A6F" w:rsidRDefault="00557A6F" w:rsidP="00557A6F">
            <w:pPr>
              <w:jc w:val="right"/>
            </w:pPr>
          </w:p>
        </w:tc>
      </w:tr>
      <w:tr w:rsidR="00557A6F" w:rsidTr="00557A6F">
        <w:trPr>
          <w:trHeight w:val="380"/>
        </w:trPr>
        <w:tc>
          <w:tcPr>
            <w:tcW w:w="1140" w:type="dxa"/>
          </w:tcPr>
          <w:p w:rsidR="00557A6F" w:rsidRDefault="00557A6F" w:rsidP="00557A6F"/>
        </w:tc>
        <w:tc>
          <w:tcPr>
            <w:tcW w:w="4560" w:type="dxa"/>
          </w:tcPr>
          <w:p w:rsidR="00557A6F" w:rsidRDefault="00557A6F" w:rsidP="00557A6F">
            <w:r>
              <w:t>Sum kap. 0578</w:t>
            </w:r>
          </w:p>
        </w:tc>
        <w:tc>
          <w:tcPr>
            <w:tcW w:w="1140" w:type="dxa"/>
          </w:tcPr>
          <w:p w:rsidR="00557A6F" w:rsidRDefault="00557A6F" w:rsidP="00557A6F">
            <w:pPr>
              <w:jc w:val="right"/>
            </w:pPr>
            <w:r>
              <w:t>46 667</w:t>
            </w:r>
          </w:p>
        </w:tc>
        <w:tc>
          <w:tcPr>
            <w:tcW w:w="1140" w:type="dxa"/>
          </w:tcPr>
          <w:p w:rsidR="00557A6F" w:rsidRDefault="00557A6F" w:rsidP="00557A6F">
            <w:pPr>
              <w:jc w:val="right"/>
            </w:pPr>
            <w:r>
              <w:t>112 945</w:t>
            </w:r>
          </w:p>
        </w:tc>
        <w:tc>
          <w:tcPr>
            <w:tcW w:w="1140" w:type="dxa"/>
          </w:tcPr>
          <w:p w:rsidR="00557A6F" w:rsidRDefault="00557A6F" w:rsidP="00557A6F">
            <w:pPr>
              <w:jc w:val="right"/>
            </w:pPr>
            <w:r>
              <w:t>57 436</w:t>
            </w:r>
          </w:p>
        </w:tc>
      </w:tr>
    </w:tbl>
    <w:p w:rsidR="00557A6F" w:rsidRDefault="00557A6F" w:rsidP="00557A6F">
      <w:pPr>
        <w:pStyle w:val="b-post"/>
      </w:pPr>
      <w:r>
        <w:t>Post 01 Driftsutgifter</w:t>
      </w:r>
    </w:p>
    <w:p w:rsidR="00557A6F" w:rsidRDefault="00557A6F" w:rsidP="00557A6F">
      <w:r>
        <w:t>Posten dekker lønn til ansatte, husleie og andre faste driftsutgifter for Valgdirektoratet. Valgdire</w:t>
      </w:r>
      <w:r>
        <w:t>k</w:t>
      </w:r>
      <w:r>
        <w:t xml:space="preserve">toratet har det operative ansvaret for valggjennomføring på statlig nivå. </w:t>
      </w:r>
    </w:p>
    <w:p w:rsidR="00557A6F" w:rsidRDefault="00557A6F" w:rsidP="00557A6F">
      <w:r>
        <w:t>Direktoratet er lokalisert i Tønsberg og hadde 27 ansatte per 1. august 2019. Aktivitetene i 2019 har i stor grad vært rettet mot å videreutvikle en robust og hensiktsmessig organisasjon, samt gje</w:t>
      </w:r>
      <w:r>
        <w:t>n</w:t>
      </w:r>
      <w:r>
        <w:t>nomføring av kommunestyre- og fylkestingsvalg. Direktoratet har avholdt opplæringssamlinger for kommuner og fylkeskommuner, driftet og forvaltet det elektroniske valgadministrative systemet EVA, og gitt brukerstøtte til kommuner og fylkeskomm</w:t>
      </w:r>
      <w:r>
        <w:t>u</w:t>
      </w:r>
      <w:r>
        <w:t>ner. Direktoratet har også produsert og sendt ut materiell til valget og gitt informasjon til velgerne.</w:t>
      </w:r>
    </w:p>
    <w:p w:rsidR="00557A6F" w:rsidRDefault="00557A6F" w:rsidP="00557A6F">
      <w:pPr>
        <w:pStyle w:val="avsnitt-tittel"/>
      </w:pPr>
      <w:r>
        <w:t>Budsjettforslag</w:t>
      </w:r>
    </w:p>
    <w:p w:rsidR="00557A6F" w:rsidRDefault="00557A6F" w:rsidP="00557A6F">
      <w:r>
        <w:t>Det foreslås en reduksjon i bevilgningen på 50,3 mill. kroner til 57,4 mill. kroner. Reduksjonen må ses i lys av at det ikke er valgår. Direktoratets hovedaktiviteter i 2020 vil være rettet mot tilrett</w:t>
      </w:r>
      <w:r>
        <w:t>e</w:t>
      </w:r>
      <w:r>
        <w:t>legging for valggjennomføring i 2021, forvaltning og videreutvikling av EVA og organisasjonsu</w:t>
      </w:r>
      <w:r>
        <w:t>t</w:t>
      </w:r>
      <w:r>
        <w:t>vikling og kompeta</w:t>
      </w:r>
      <w:r>
        <w:t>n</w:t>
      </w:r>
      <w:r>
        <w:t>seheving internt i direktoratet.</w:t>
      </w:r>
    </w:p>
    <w:p w:rsidR="00557A6F" w:rsidRDefault="00557A6F" w:rsidP="00557A6F">
      <w:pPr>
        <w:pStyle w:val="b-post"/>
      </w:pPr>
      <w:r>
        <w:lastRenderedPageBreak/>
        <w:t>Post 70 Informasjonstiltak</w:t>
      </w:r>
    </w:p>
    <w:p w:rsidR="00557A6F" w:rsidRDefault="00557A6F" w:rsidP="00557A6F">
      <w:r>
        <w:t>Målet med tilskuddsordningen er å øke stemmeberettigedes kunnskap om valget og valgdeltake</w:t>
      </w:r>
      <w:r>
        <w:t>l</w:t>
      </w:r>
      <w:r>
        <w:t>sen. Prioriterte målgrupper for ordningen er stemmeberettigede til stortings-, lokal- og sameting</w:t>
      </w:r>
      <w:r>
        <w:t>s</w:t>
      </w:r>
      <w:r>
        <w:t>valg med lavere valgdeltakelse, som unge velgere, velgere med innvandrerbakgrunn og velgere med behov for særlig tilrettelagt informasjon. Tilskuddet forvaltes av Valgdirektoratet og deles ut i valgår. Tilskudd</w:t>
      </w:r>
      <w:r>
        <w:t>s</w:t>
      </w:r>
      <w:r>
        <w:t>midlene utlyses høsten før valgåret samtidig med departementets fastsettelse av ordningens retningsli</w:t>
      </w:r>
      <w:r>
        <w:t>n</w:t>
      </w:r>
      <w:r>
        <w:t>jer.</w:t>
      </w:r>
    </w:p>
    <w:p w:rsidR="00557A6F" w:rsidRDefault="00557A6F" w:rsidP="00557A6F">
      <w:r>
        <w:t>Ved kommunestyre- og fylkestingsvalget i 2019 fordelte Valgdirektoratet tilskudd på til sammen 5,2 mill. kroner. Totalt 13 organisasjoner og andre aktører mottok tilskudd. Tiltakene som har fått støtte er blant annet valginfo</w:t>
      </w:r>
      <w:r>
        <w:t>r</w:t>
      </w:r>
      <w:r>
        <w:t>masjon for utviklingshemmede, informasjonsfilmer og radioinnslag for innsatte i norske fengsler, kampanjer rettet mot ungdom på sosiale medier, valgavis for pers</w:t>
      </w:r>
      <w:r>
        <w:t>o</w:t>
      </w:r>
      <w:r>
        <w:t>ner med lese- og skriveutfordringer og informasjonstiltak rettet mot kvinner og unge jenter med minoritetsbakgrunn.</w:t>
      </w:r>
    </w:p>
    <w:p w:rsidR="00557A6F" w:rsidRDefault="00557A6F" w:rsidP="00557A6F">
      <w:r>
        <w:t>Siden det ikke avholdes valg i 2020 fremmes det ikke budsjettforslag.</w:t>
      </w:r>
    </w:p>
    <w:p w:rsidR="00557A6F" w:rsidRDefault="00557A6F" w:rsidP="00557A6F">
      <w:pPr>
        <w:pStyle w:val="b-budkaptit"/>
      </w:pPr>
      <w:r>
        <w:t>Kap. 579 Valgutgifter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7A6F" w:rsidTr="00557A6F">
        <w:trPr>
          <w:trHeight w:val="640"/>
        </w:trPr>
        <w:tc>
          <w:tcPr>
            <w:tcW w:w="1140" w:type="dxa"/>
            <w:shd w:val="clear" w:color="auto" w:fill="FFFFFF"/>
          </w:tcPr>
          <w:p w:rsidR="00557A6F" w:rsidRDefault="00557A6F" w:rsidP="00557A6F">
            <w:pPr>
              <w:pStyle w:val="Tabellnavn"/>
            </w:pPr>
            <w:r>
              <w:t>KPAL</w:t>
            </w:r>
          </w:p>
        </w:tc>
        <w:tc>
          <w:tcPr>
            <w:tcW w:w="4560" w:type="dxa"/>
          </w:tcPr>
          <w:p w:rsidR="00557A6F" w:rsidRDefault="00557A6F" w:rsidP="00557A6F"/>
        </w:tc>
        <w:tc>
          <w:tcPr>
            <w:tcW w:w="1140" w:type="dxa"/>
          </w:tcPr>
          <w:p w:rsidR="00557A6F" w:rsidRDefault="00557A6F" w:rsidP="00557A6F">
            <w:pPr>
              <w:pStyle w:val="Tabellnavn"/>
              <w:jc w:val="right"/>
            </w:pPr>
          </w:p>
        </w:tc>
        <w:tc>
          <w:tcPr>
            <w:tcW w:w="1140" w:type="dxa"/>
          </w:tcPr>
          <w:p w:rsidR="00557A6F" w:rsidRDefault="00557A6F" w:rsidP="00557A6F">
            <w:pPr>
              <w:pStyle w:val="Tabellnavn"/>
              <w:jc w:val="right"/>
            </w:pPr>
          </w:p>
        </w:tc>
        <w:tc>
          <w:tcPr>
            <w:tcW w:w="1140" w:type="dxa"/>
          </w:tcPr>
          <w:p w:rsidR="00557A6F" w:rsidRDefault="00557A6F" w:rsidP="00557A6F">
            <w:pPr>
              <w:jc w:val="right"/>
            </w:pPr>
            <w:r>
              <w:t>(i 1 000 kr)</w:t>
            </w:r>
          </w:p>
        </w:tc>
      </w:tr>
      <w:tr w:rsidR="00557A6F" w:rsidTr="00557A6F">
        <w:trPr>
          <w:trHeight w:val="600"/>
        </w:trPr>
        <w:tc>
          <w:tcPr>
            <w:tcW w:w="1140" w:type="dxa"/>
          </w:tcPr>
          <w:p w:rsidR="00557A6F" w:rsidRDefault="00557A6F" w:rsidP="00557A6F">
            <w:r>
              <w:t>Post</w:t>
            </w:r>
          </w:p>
        </w:tc>
        <w:tc>
          <w:tcPr>
            <w:tcW w:w="4560" w:type="dxa"/>
          </w:tcPr>
          <w:p w:rsidR="00557A6F" w:rsidRDefault="00557A6F" w:rsidP="00557A6F">
            <w:r>
              <w:t>Betegnelse</w:t>
            </w:r>
          </w:p>
        </w:tc>
        <w:tc>
          <w:tcPr>
            <w:tcW w:w="1140" w:type="dxa"/>
          </w:tcPr>
          <w:p w:rsidR="00557A6F" w:rsidRDefault="00557A6F" w:rsidP="00557A6F">
            <w:pPr>
              <w:jc w:val="right"/>
            </w:pPr>
            <w:r>
              <w:t>Regnskap 2018</w:t>
            </w:r>
          </w:p>
        </w:tc>
        <w:tc>
          <w:tcPr>
            <w:tcW w:w="1140" w:type="dxa"/>
          </w:tcPr>
          <w:p w:rsidR="00557A6F" w:rsidRDefault="00557A6F" w:rsidP="00557A6F">
            <w:pPr>
              <w:jc w:val="right"/>
            </w:pPr>
            <w:r>
              <w:t xml:space="preserve">Saldert </w:t>
            </w:r>
            <w:r>
              <w:br/>
              <w:t>budsjett 2019</w:t>
            </w:r>
          </w:p>
        </w:tc>
        <w:tc>
          <w:tcPr>
            <w:tcW w:w="1140" w:type="dxa"/>
          </w:tcPr>
          <w:p w:rsidR="00557A6F" w:rsidRDefault="00557A6F" w:rsidP="00557A6F">
            <w:pPr>
              <w:jc w:val="right"/>
            </w:pPr>
            <w:r>
              <w:t xml:space="preserve">Forslag </w:t>
            </w:r>
            <w:r>
              <w:br/>
              <w:t>2020</w:t>
            </w:r>
          </w:p>
        </w:tc>
      </w:tr>
      <w:tr w:rsidR="00557A6F" w:rsidTr="00557A6F">
        <w:trPr>
          <w:trHeight w:val="380"/>
        </w:trPr>
        <w:tc>
          <w:tcPr>
            <w:tcW w:w="1140" w:type="dxa"/>
          </w:tcPr>
          <w:p w:rsidR="00557A6F" w:rsidRDefault="00557A6F" w:rsidP="00557A6F">
            <w:r>
              <w:t>01</w:t>
            </w:r>
          </w:p>
        </w:tc>
        <w:tc>
          <w:tcPr>
            <w:tcW w:w="4560" w:type="dxa"/>
          </w:tcPr>
          <w:p w:rsidR="00557A6F" w:rsidRDefault="00557A6F" w:rsidP="00557A6F">
            <w:r>
              <w:t xml:space="preserve">Driftsutgifter </w:t>
            </w:r>
          </w:p>
        </w:tc>
        <w:tc>
          <w:tcPr>
            <w:tcW w:w="1140" w:type="dxa"/>
          </w:tcPr>
          <w:p w:rsidR="00557A6F" w:rsidRDefault="00557A6F" w:rsidP="00557A6F">
            <w:pPr>
              <w:jc w:val="right"/>
            </w:pPr>
            <w:r>
              <w:t>8 518</w:t>
            </w:r>
          </w:p>
        </w:tc>
        <w:tc>
          <w:tcPr>
            <w:tcW w:w="1140" w:type="dxa"/>
          </w:tcPr>
          <w:p w:rsidR="00557A6F" w:rsidRDefault="00557A6F" w:rsidP="00557A6F">
            <w:pPr>
              <w:jc w:val="right"/>
            </w:pPr>
            <w:r>
              <w:t>11 469</w:t>
            </w:r>
          </w:p>
        </w:tc>
        <w:tc>
          <w:tcPr>
            <w:tcW w:w="1140" w:type="dxa"/>
          </w:tcPr>
          <w:p w:rsidR="00557A6F" w:rsidRDefault="00557A6F" w:rsidP="00557A6F">
            <w:pPr>
              <w:jc w:val="right"/>
            </w:pPr>
            <w:r>
              <w:t>11 662</w:t>
            </w:r>
          </w:p>
        </w:tc>
      </w:tr>
      <w:tr w:rsidR="00557A6F" w:rsidTr="00557A6F">
        <w:trPr>
          <w:trHeight w:val="380"/>
        </w:trPr>
        <w:tc>
          <w:tcPr>
            <w:tcW w:w="1140" w:type="dxa"/>
          </w:tcPr>
          <w:p w:rsidR="00557A6F" w:rsidRDefault="00557A6F" w:rsidP="00557A6F"/>
        </w:tc>
        <w:tc>
          <w:tcPr>
            <w:tcW w:w="4560" w:type="dxa"/>
          </w:tcPr>
          <w:p w:rsidR="00557A6F" w:rsidRDefault="00557A6F" w:rsidP="00557A6F">
            <w:r>
              <w:t>Sum kap. 0579</w:t>
            </w:r>
          </w:p>
        </w:tc>
        <w:tc>
          <w:tcPr>
            <w:tcW w:w="1140" w:type="dxa"/>
          </w:tcPr>
          <w:p w:rsidR="00557A6F" w:rsidRDefault="00557A6F" w:rsidP="00557A6F">
            <w:pPr>
              <w:jc w:val="right"/>
            </w:pPr>
            <w:r>
              <w:t>8 518</w:t>
            </w:r>
          </w:p>
        </w:tc>
        <w:tc>
          <w:tcPr>
            <w:tcW w:w="1140" w:type="dxa"/>
          </w:tcPr>
          <w:p w:rsidR="00557A6F" w:rsidRDefault="00557A6F" w:rsidP="00557A6F">
            <w:pPr>
              <w:jc w:val="right"/>
            </w:pPr>
            <w:r>
              <w:t>11 469</w:t>
            </w:r>
          </w:p>
        </w:tc>
        <w:tc>
          <w:tcPr>
            <w:tcW w:w="1140" w:type="dxa"/>
          </w:tcPr>
          <w:p w:rsidR="00557A6F" w:rsidRDefault="00557A6F" w:rsidP="00557A6F">
            <w:pPr>
              <w:jc w:val="right"/>
            </w:pPr>
            <w:r>
              <w:t>11 662</w:t>
            </w:r>
          </w:p>
        </w:tc>
      </w:tr>
    </w:tbl>
    <w:p w:rsidR="00557A6F" w:rsidRDefault="00557A6F" w:rsidP="00557A6F">
      <w:pPr>
        <w:pStyle w:val="b-post"/>
      </w:pPr>
      <w:r>
        <w:t>Post 01 Driftsutgifter</w:t>
      </w:r>
    </w:p>
    <w:p w:rsidR="00557A6F" w:rsidRDefault="00557A6F" w:rsidP="00557A6F">
      <w:r>
        <w:t>Bevilgningen går til å dekke departementets utgifter knyttet til lønn, utredning og analyse, evalu</w:t>
      </w:r>
      <w:r>
        <w:t>e</w:t>
      </w:r>
      <w:r>
        <w:t>ring, valgobservasjon og regelverksutvikling på valgområdet, samt oppfølging av Valgdirektoratet. Videre vil valglovutvalget i hovedsak finansieres gjennom denne posten. Det foreslås en bevilgning på 11,7 mill. kroner i 2020.</w:t>
      </w:r>
    </w:p>
    <w:p w:rsidR="00557A6F" w:rsidRDefault="00557A6F" w:rsidP="00557A6F">
      <w:pPr>
        <w:pStyle w:val="b-budkaptit"/>
      </w:pPr>
      <w:r>
        <w:t>Kap. 5616 Kommunalbanken AS</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7A6F" w:rsidTr="00557A6F">
        <w:trPr>
          <w:trHeight w:val="640"/>
        </w:trPr>
        <w:tc>
          <w:tcPr>
            <w:tcW w:w="1140" w:type="dxa"/>
            <w:shd w:val="clear" w:color="auto" w:fill="FFFFFF"/>
          </w:tcPr>
          <w:p w:rsidR="00557A6F" w:rsidRDefault="00557A6F" w:rsidP="00557A6F">
            <w:pPr>
              <w:pStyle w:val="Tabellnavn"/>
            </w:pPr>
            <w:r>
              <w:t>KPAL</w:t>
            </w:r>
          </w:p>
        </w:tc>
        <w:tc>
          <w:tcPr>
            <w:tcW w:w="4560" w:type="dxa"/>
          </w:tcPr>
          <w:p w:rsidR="00557A6F" w:rsidRDefault="00557A6F" w:rsidP="00557A6F"/>
        </w:tc>
        <w:tc>
          <w:tcPr>
            <w:tcW w:w="1140" w:type="dxa"/>
          </w:tcPr>
          <w:p w:rsidR="00557A6F" w:rsidRDefault="00557A6F" w:rsidP="00557A6F">
            <w:pPr>
              <w:pStyle w:val="Tabellnavn"/>
              <w:jc w:val="right"/>
            </w:pPr>
          </w:p>
        </w:tc>
        <w:tc>
          <w:tcPr>
            <w:tcW w:w="1140" w:type="dxa"/>
          </w:tcPr>
          <w:p w:rsidR="00557A6F" w:rsidRDefault="00557A6F" w:rsidP="00557A6F">
            <w:pPr>
              <w:pStyle w:val="Tabellnavn"/>
              <w:jc w:val="right"/>
            </w:pPr>
          </w:p>
        </w:tc>
        <w:tc>
          <w:tcPr>
            <w:tcW w:w="1140" w:type="dxa"/>
          </w:tcPr>
          <w:p w:rsidR="00557A6F" w:rsidRDefault="00557A6F" w:rsidP="00557A6F">
            <w:pPr>
              <w:jc w:val="right"/>
            </w:pPr>
            <w:r>
              <w:t>(i 1 000 kr)</w:t>
            </w:r>
          </w:p>
        </w:tc>
      </w:tr>
      <w:tr w:rsidR="00557A6F" w:rsidTr="00557A6F">
        <w:trPr>
          <w:trHeight w:val="600"/>
        </w:trPr>
        <w:tc>
          <w:tcPr>
            <w:tcW w:w="1140" w:type="dxa"/>
          </w:tcPr>
          <w:p w:rsidR="00557A6F" w:rsidRDefault="00557A6F" w:rsidP="00557A6F">
            <w:r>
              <w:t>Post</w:t>
            </w:r>
          </w:p>
        </w:tc>
        <w:tc>
          <w:tcPr>
            <w:tcW w:w="4560" w:type="dxa"/>
          </w:tcPr>
          <w:p w:rsidR="00557A6F" w:rsidRDefault="00557A6F" w:rsidP="00557A6F">
            <w:r>
              <w:t>Betegnelse</w:t>
            </w:r>
          </w:p>
        </w:tc>
        <w:tc>
          <w:tcPr>
            <w:tcW w:w="1140" w:type="dxa"/>
          </w:tcPr>
          <w:p w:rsidR="00557A6F" w:rsidRDefault="00557A6F" w:rsidP="00557A6F">
            <w:pPr>
              <w:jc w:val="right"/>
            </w:pPr>
            <w:r>
              <w:t>Regnskap 2018</w:t>
            </w:r>
          </w:p>
        </w:tc>
        <w:tc>
          <w:tcPr>
            <w:tcW w:w="1140" w:type="dxa"/>
          </w:tcPr>
          <w:p w:rsidR="00557A6F" w:rsidRDefault="00557A6F" w:rsidP="00557A6F">
            <w:pPr>
              <w:jc w:val="right"/>
            </w:pPr>
            <w:r>
              <w:t xml:space="preserve">Saldert </w:t>
            </w:r>
            <w:r>
              <w:br/>
              <w:t>budsjett 2019</w:t>
            </w:r>
          </w:p>
        </w:tc>
        <w:tc>
          <w:tcPr>
            <w:tcW w:w="1140" w:type="dxa"/>
          </w:tcPr>
          <w:p w:rsidR="00557A6F" w:rsidRDefault="00557A6F" w:rsidP="00557A6F">
            <w:pPr>
              <w:jc w:val="right"/>
            </w:pPr>
            <w:r>
              <w:t xml:space="preserve">Forslag </w:t>
            </w:r>
            <w:r>
              <w:br/>
              <w:t>2020</w:t>
            </w:r>
          </w:p>
        </w:tc>
      </w:tr>
      <w:tr w:rsidR="00557A6F" w:rsidTr="00557A6F">
        <w:trPr>
          <w:trHeight w:val="380"/>
        </w:trPr>
        <w:tc>
          <w:tcPr>
            <w:tcW w:w="1140" w:type="dxa"/>
          </w:tcPr>
          <w:p w:rsidR="00557A6F" w:rsidRDefault="00557A6F" w:rsidP="00557A6F">
            <w:r>
              <w:t>85</w:t>
            </w:r>
          </w:p>
        </w:tc>
        <w:tc>
          <w:tcPr>
            <w:tcW w:w="4560" w:type="dxa"/>
          </w:tcPr>
          <w:p w:rsidR="00557A6F" w:rsidRDefault="00557A6F" w:rsidP="00557A6F">
            <w:r>
              <w:t xml:space="preserve">Aksjeutbytte </w:t>
            </w:r>
          </w:p>
        </w:tc>
        <w:tc>
          <w:tcPr>
            <w:tcW w:w="1140" w:type="dxa"/>
          </w:tcPr>
          <w:p w:rsidR="00557A6F" w:rsidRDefault="00557A6F" w:rsidP="00557A6F">
            <w:pPr>
              <w:jc w:val="right"/>
            </w:pPr>
            <w:r>
              <w:t>443 000</w:t>
            </w:r>
          </w:p>
        </w:tc>
        <w:tc>
          <w:tcPr>
            <w:tcW w:w="1140" w:type="dxa"/>
          </w:tcPr>
          <w:p w:rsidR="00557A6F" w:rsidRDefault="00557A6F" w:rsidP="00557A6F">
            <w:pPr>
              <w:jc w:val="right"/>
            </w:pPr>
            <w:r>
              <w:t>481 000</w:t>
            </w:r>
          </w:p>
        </w:tc>
        <w:tc>
          <w:tcPr>
            <w:tcW w:w="1140" w:type="dxa"/>
          </w:tcPr>
          <w:p w:rsidR="00557A6F" w:rsidRDefault="00557A6F" w:rsidP="00557A6F">
            <w:pPr>
              <w:jc w:val="right"/>
            </w:pPr>
            <w:r>
              <w:t>510 000</w:t>
            </w:r>
          </w:p>
        </w:tc>
      </w:tr>
      <w:tr w:rsidR="00557A6F" w:rsidTr="00557A6F">
        <w:trPr>
          <w:trHeight w:val="380"/>
        </w:trPr>
        <w:tc>
          <w:tcPr>
            <w:tcW w:w="1140" w:type="dxa"/>
          </w:tcPr>
          <w:p w:rsidR="00557A6F" w:rsidRDefault="00557A6F" w:rsidP="00557A6F"/>
        </w:tc>
        <w:tc>
          <w:tcPr>
            <w:tcW w:w="4560" w:type="dxa"/>
          </w:tcPr>
          <w:p w:rsidR="00557A6F" w:rsidRDefault="00557A6F" w:rsidP="00557A6F">
            <w:r>
              <w:t>Sum kap. 5616</w:t>
            </w:r>
          </w:p>
        </w:tc>
        <w:tc>
          <w:tcPr>
            <w:tcW w:w="1140" w:type="dxa"/>
          </w:tcPr>
          <w:p w:rsidR="00557A6F" w:rsidRDefault="00557A6F" w:rsidP="00557A6F">
            <w:pPr>
              <w:jc w:val="right"/>
            </w:pPr>
            <w:r>
              <w:t>443 000</w:t>
            </w:r>
          </w:p>
        </w:tc>
        <w:tc>
          <w:tcPr>
            <w:tcW w:w="1140" w:type="dxa"/>
          </w:tcPr>
          <w:p w:rsidR="00557A6F" w:rsidRDefault="00557A6F" w:rsidP="00557A6F">
            <w:pPr>
              <w:jc w:val="right"/>
            </w:pPr>
            <w:r>
              <w:t>481 000</w:t>
            </w:r>
          </w:p>
        </w:tc>
        <w:tc>
          <w:tcPr>
            <w:tcW w:w="1140" w:type="dxa"/>
          </w:tcPr>
          <w:p w:rsidR="00557A6F" w:rsidRDefault="00557A6F" w:rsidP="00557A6F">
            <w:pPr>
              <w:jc w:val="right"/>
            </w:pPr>
            <w:r>
              <w:t>510 000</w:t>
            </w:r>
          </w:p>
        </w:tc>
      </w:tr>
    </w:tbl>
    <w:p w:rsidR="00557A6F" w:rsidRDefault="00557A6F" w:rsidP="00557A6F">
      <w:r>
        <w:t>Kommunalbanken AS ble stiftet 1. november 1999. Selskapet er en videreføring av virksomheten til statsbanken Norges Kommunalbank som ble etablert i 1927. Kommunalbanken er heleid av st</w:t>
      </w:r>
      <w:r>
        <w:t>a</w:t>
      </w:r>
      <w:r>
        <w:t>ten.</w:t>
      </w:r>
    </w:p>
    <w:p w:rsidR="00557A6F" w:rsidRDefault="00557A6F" w:rsidP="00557A6F">
      <w:r>
        <w:t>Kommunalbanken gir lån til investeringsformål til kommuner, fylkeskommuner, kommunale for</w:t>
      </w:r>
      <w:r>
        <w:t>e</w:t>
      </w:r>
      <w:r>
        <w:t>tak, interko</w:t>
      </w:r>
      <w:r>
        <w:t>m</w:t>
      </w:r>
      <w:r>
        <w:t>munale selskap og andre selskap som utfører kommunale oppgaver. Lånene gis mot kommunal eller statlig g</w:t>
      </w:r>
      <w:r>
        <w:t>a</w:t>
      </w:r>
      <w:r>
        <w:t>ranti eller annen betryggende sikkerhet. Selskapet opererer i markedet for utlån til ko</w:t>
      </w:r>
      <w:r>
        <w:t>m</w:t>
      </w:r>
      <w:r>
        <w:t>munesektoren og drives på forretningsmessig grunnlag.</w:t>
      </w:r>
    </w:p>
    <w:p w:rsidR="00557A6F" w:rsidRDefault="00557A6F" w:rsidP="00557A6F">
      <w:r>
        <w:lastRenderedPageBreak/>
        <w:t>Målet med statens eierskap i Kommunalbanken AS er å legge til rette for finansiering for komm</w:t>
      </w:r>
      <w:r>
        <w:t>u</w:t>
      </w:r>
      <w:r>
        <w:t>nesektoren, samtidig som selskapet skal gi staten tilfredsstillende avkastning på innskutt kapital. For næ</w:t>
      </w:r>
      <w:r>
        <w:t>r</w:t>
      </w:r>
      <w:r>
        <w:t>mere informasjon om Kommunalbankens virksomhet vises det til selskapets årsrapport og Statens eie</w:t>
      </w:r>
      <w:r>
        <w:t>r</w:t>
      </w:r>
      <w:r>
        <w:t>beretning for 2018.</w:t>
      </w:r>
    </w:p>
    <w:p w:rsidR="00557A6F" w:rsidRDefault="00557A6F" w:rsidP="00557A6F">
      <w:pPr>
        <w:pStyle w:val="b-post"/>
      </w:pPr>
      <w:r>
        <w:t>Post 85 Aksjeutbytte</w:t>
      </w:r>
    </w:p>
    <w:p w:rsidR="00557A6F" w:rsidRDefault="00557A6F" w:rsidP="00557A6F">
      <w:r>
        <w:t>Aksjeutbytte settes til en gitt andel av Kommunalbankens verdijusterte egenkapital, maksimalt 75 pst. av årsresultatet etter skatt. Prosentsatsen bør utgjøre om lag halvparten av avkastningskravet. Aksjeutbytte for regnskapsåret 2018 var 481 mill. kroner, og er bevilget på statsbudsjettet for 2019.</w:t>
      </w:r>
    </w:p>
    <w:p w:rsidR="00557A6F" w:rsidRDefault="00557A6F" w:rsidP="00557A6F">
      <w:r>
        <w:t>Avkastningskravet for Kommunalbanken fastsettes for en periode på tre år. Avkastningskravet d</w:t>
      </w:r>
      <w:r>
        <w:t>e</w:t>
      </w:r>
      <w:r>
        <w:t>fineres som den forventede avkastningen staten kunne ha oppnådd ved en alternativ plassering med tilsv</w:t>
      </w:r>
      <w:r>
        <w:t>a</w:t>
      </w:r>
      <w:r>
        <w:t>rende risiko. Kravet er stilt i forhold til den avkastningen selskapet har på egenkapitalen etter skatt. For perioden 2019–2021 er avkas</w:t>
      </w:r>
      <w:r>
        <w:t>t</w:t>
      </w:r>
      <w:r>
        <w:t>ningskravet satt til 8 pst. av verdijustert egenkapital, og det budsjetteres med et utbytte som svarer til halvparten av avkastningskravet.</w:t>
      </w:r>
    </w:p>
    <w:p w:rsidR="00557A6F" w:rsidRDefault="00557A6F" w:rsidP="00557A6F">
      <w:pPr>
        <w:pStyle w:val="avsnitt-tittel"/>
      </w:pPr>
      <w:r>
        <w:t>Budsjettforslag</w:t>
      </w:r>
    </w:p>
    <w:p w:rsidR="00557A6F" w:rsidRDefault="00557A6F" w:rsidP="00557A6F">
      <w:r>
        <w:t>Aksjeutbytte for regnskapsåret 2019, som bevilges på statsbudsjettet for 2020, foreslås satt til 510 mill. kroner. Bevilgningsforslaget bygger på gjeldende avkastningskrav og retningslinjer for aksjeutbytte.</w:t>
      </w:r>
    </w:p>
    <w:p w:rsidR="00557A6F" w:rsidRDefault="00557A6F" w:rsidP="00557A6F">
      <w:pPr>
        <w:pStyle w:val="b-progkat"/>
      </w:pPr>
      <w:r>
        <w:lastRenderedPageBreak/>
        <w:t>Programkategori 13.80 Bolig, bomiljø og bygg</w:t>
      </w:r>
    </w:p>
    <w:p w:rsidR="00557A6F" w:rsidRDefault="00557A6F" w:rsidP="00557A6F">
      <w:pPr>
        <w:pStyle w:val="avsnitt-tittel"/>
      </w:pPr>
      <w:r>
        <w:t>Utgifter under programkategori 13.80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557A6F" w:rsidTr="00557A6F">
        <w:trPr>
          <w:trHeight w:val="640"/>
        </w:trPr>
        <w:tc>
          <w:tcPr>
            <w:tcW w:w="1020" w:type="dxa"/>
            <w:shd w:val="clear" w:color="auto" w:fill="FFFFFF"/>
          </w:tcPr>
          <w:p w:rsidR="00557A6F" w:rsidRDefault="00557A6F" w:rsidP="00557A6F">
            <w:pPr>
              <w:pStyle w:val="Tabellnavn"/>
            </w:pPr>
            <w:r>
              <w:t>PIKL</w:t>
            </w:r>
          </w:p>
        </w:tc>
        <w:tc>
          <w:tcPr>
            <w:tcW w:w="4080" w:type="dxa"/>
          </w:tcPr>
          <w:p w:rsidR="00557A6F" w:rsidRDefault="00557A6F" w:rsidP="00557A6F"/>
        </w:tc>
        <w:tc>
          <w:tcPr>
            <w:tcW w:w="1020" w:type="dxa"/>
          </w:tcPr>
          <w:p w:rsidR="00557A6F" w:rsidRDefault="00557A6F" w:rsidP="00557A6F">
            <w:pPr>
              <w:pStyle w:val="Tabellnavn"/>
              <w:jc w:val="right"/>
            </w:pPr>
          </w:p>
        </w:tc>
        <w:tc>
          <w:tcPr>
            <w:tcW w:w="1020" w:type="dxa"/>
          </w:tcPr>
          <w:p w:rsidR="00557A6F" w:rsidRDefault="00557A6F" w:rsidP="00557A6F">
            <w:pPr>
              <w:pStyle w:val="Tabellnavn"/>
              <w:jc w:val="right"/>
            </w:pPr>
          </w:p>
        </w:tc>
        <w:tc>
          <w:tcPr>
            <w:tcW w:w="1020" w:type="dxa"/>
          </w:tcPr>
          <w:p w:rsidR="00557A6F" w:rsidRDefault="00557A6F" w:rsidP="00557A6F">
            <w:pPr>
              <w:pStyle w:val="Tabellnavn"/>
              <w:jc w:val="right"/>
            </w:pPr>
          </w:p>
        </w:tc>
        <w:tc>
          <w:tcPr>
            <w:tcW w:w="1020" w:type="dxa"/>
          </w:tcPr>
          <w:p w:rsidR="00557A6F" w:rsidRDefault="00557A6F" w:rsidP="00557A6F">
            <w:pPr>
              <w:jc w:val="right"/>
            </w:pPr>
            <w:r>
              <w:t>(i 1 000 kr)</w:t>
            </w:r>
          </w:p>
        </w:tc>
      </w:tr>
      <w:tr w:rsidR="00557A6F" w:rsidTr="00557A6F">
        <w:trPr>
          <w:trHeight w:val="600"/>
        </w:trPr>
        <w:tc>
          <w:tcPr>
            <w:tcW w:w="1020" w:type="dxa"/>
          </w:tcPr>
          <w:p w:rsidR="00557A6F" w:rsidRDefault="00557A6F" w:rsidP="00557A6F">
            <w:r>
              <w:t>Kap.</w:t>
            </w:r>
          </w:p>
        </w:tc>
        <w:tc>
          <w:tcPr>
            <w:tcW w:w="4080" w:type="dxa"/>
          </w:tcPr>
          <w:p w:rsidR="00557A6F" w:rsidRDefault="00557A6F" w:rsidP="00557A6F">
            <w:r>
              <w:t>Betegnelse</w:t>
            </w:r>
          </w:p>
        </w:tc>
        <w:tc>
          <w:tcPr>
            <w:tcW w:w="1020" w:type="dxa"/>
          </w:tcPr>
          <w:p w:rsidR="00557A6F" w:rsidRDefault="00557A6F" w:rsidP="00557A6F">
            <w:pPr>
              <w:jc w:val="right"/>
            </w:pPr>
            <w:r>
              <w:t>Reg</w:t>
            </w:r>
            <w:r>
              <w:t>n</w:t>
            </w:r>
            <w:r>
              <w:t>skap 2018</w:t>
            </w:r>
          </w:p>
        </w:tc>
        <w:tc>
          <w:tcPr>
            <w:tcW w:w="1020" w:type="dxa"/>
          </w:tcPr>
          <w:p w:rsidR="00557A6F" w:rsidRDefault="00557A6F" w:rsidP="00557A6F">
            <w:pPr>
              <w:jc w:val="right"/>
            </w:pPr>
            <w:r>
              <w:t xml:space="preserve">Saldert </w:t>
            </w:r>
            <w:r>
              <w:br/>
              <w:t>budsjett 2019</w:t>
            </w:r>
          </w:p>
        </w:tc>
        <w:tc>
          <w:tcPr>
            <w:tcW w:w="1020" w:type="dxa"/>
          </w:tcPr>
          <w:p w:rsidR="00557A6F" w:rsidRDefault="00557A6F" w:rsidP="00557A6F">
            <w:pPr>
              <w:jc w:val="right"/>
            </w:pPr>
            <w:r>
              <w:t xml:space="preserve">Forslag </w:t>
            </w:r>
            <w:r>
              <w:br/>
              <w:t>2020</w:t>
            </w:r>
          </w:p>
        </w:tc>
        <w:tc>
          <w:tcPr>
            <w:tcW w:w="1020" w:type="dxa"/>
          </w:tcPr>
          <w:p w:rsidR="00557A6F" w:rsidRDefault="00557A6F" w:rsidP="00557A6F">
            <w:pPr>
              <w:jc w:val="right"/>
            </w:pPr>
            <w:r>
              <w:t xml:space="preserve">Pst. endr. </w:t>
            </w:r>
            <w:r>
              <w:br/>
              <w:t>19/20</w:t>
            </w:r>
          </w:p>
        </w:tc>
      </w:tr>
      <w:tr w:rsidR="00557A6F" w:rsidTr="00557A6F">
        <w:trPr>
          <w:trHeight w:val="380"/>
        </w:trPr>
        <w:tc>
          <w:tcPr>
            <w:tcW w:w="1020" w:type="dxa"/>
          </w:tcPr>
          <w:p w:rsidR="00557A6F" w:rsidRDefault="00557A6F" w:rsidP="00557A6F">
            <w:r>
              <w:t>580</w:t>
            </w:r>
          </w:p>
        </w:tc>
        <w:tc>
          <w:tcPr>
            <w:tcW w:w="4080" w:type="dxa"/>
          </w:tcPr>
          <w:p w:rsidR="00557A6F" w:rsidRDefault="00557A6F" w:rsidP="00557A6F">
            <w:r>
              <w:t>Bostøtte</w:t>
            </w:r>
          </w:p>
        </w:tc>
        <w:tc>
          <w:tcPr>
            <w:tcW w:w="1020" w:type="dxa"/>
          </w:tcPr>
          <w:p w:rsidR="00557A6F" w:rsidRDefault="00557A6F" w:rsidP="00557A6F">
            <w:pPr>
              <w:jc w:val="right"/>
            </w:pPr>
            <w:r>
              <w:t>2 697 056</w:t>
            </w:r>
          </w:p>
        </w:tc>
        <w:tc>
          <w:tcPr>
            <w:tcW w:w="1020" w:type="dxa"/>
          </w:tcPr>
          <w:p w:rsidR="00557A6F" w:rsidRDefault="00557A6F" w:rsidP="00557A6F">
            <w:pPr>
              <w:jc w:val="right"/>
            </w:pPr>
          </w:p>
        </w:tc>
        <w:tc>
          <w:tcPr>
            <w:tcW w:w="1020" w:type="dxa"/>
          </w:tcPr>
          <w:p w:rsidR="00557A6F" w:rsidRDefault="00557A6F" w:rsidP="00557A6F">
            <w:pPr>
              <w:jc w:val="right"/>
            </w:pPr>
          </w:p>
        </w:tc>
        <w:tc>
          <w:tcPr>
            <w:tcW w:w="1020" w:type="dxa"/>
          </w:tcPr>
          <w:p w:rsidR="00557A6F" w:rsidRDefault="00557A6F" w:rsidP="00557A6F">
            <w:pPr>
              <w:jc w:val="right"/>
            </w:pPr>
          </w:p>
        </w:tc>
      </w:tr>
      <w:tr w:rsidR="00557A6F" w:rsidTr="00557A6F">
        <w:trPr>
          <w:trHeight w:val="380"/>
        </w:trPr>
        <w:tc>
          <w:tcPr>
            <w:tcW w:w="1020" w:type="dxa"/>
          </w:tcPr>
          <w:p w:rsidR="00557A6F" w:rsidRDefault="00557A6F" w:rsidP="00557A6F">
            <w:r>
              <w:t>581</w:t>
            </w:r>
          </w:p>
        </w:tc>
        <w:tc>
          <w:tcPr>
            <w:tcW w:w="4080" w:type="dxa"/>
          </w:tcPr>
          <w:p w:rsidR="00557A6F" w:rsidRDefault="00557A6F" w:rsidP="00557A6F">
            <w:r>
              <w:t>Bolig- og bomiljøtiltak</w:t>
            </w:r>
          </w:p>
        </w:tc>
        <w:tc>
          <w:tcPr>
            <w:tcW w:w="1020" w:type="dxa"/>
          </w:tcPr>
          <w:p w:rsidR="00557A6F" w:rsidRDefault="00557A6F" w:rsidP="00557A6F">
            <w:pPr>
              <w:jc w:val="right"/>
            </w:pPr>
            <w:r>
              <w:t>1 284 666</w:t>
            </w:r>
          </w:p>
        </w:tc>
        <w:tc>
          <w:tcPr>
            <w:tcW w:w="1020" w:type="dxa"/>
          </w:tcPr>
          <w:p w:rsidR="00557A6F" w:rsidRDefault="00557A6F" w:rsidP="00557A6F">
            <w:pPr>
              <w:jc w:val="right"/>
            </w:pPr>
            <w:r>
              <w:t>4 076 216</w:t>
            </w:r>
          </w:p>
        </w:tc>
        <w:tc>
          <w:tcPr>
            <w:tcW w:w="1020" w:type="dxa"/>
          </w:tcPr>
          <w:p w:rsidR="00557A6F" w:rsidRDefault="00557A6F" w:rsidP="00557A6F">
            <w:pPr>
              <w:jc w:val="right"/>
            </w:pPr>
            <w:r>
              <w:t>3 388 639</w:t>
            </w:r>
          </w:p>
        </w:tc>
        <w:tc>
          <w:tcPr>
            <w:tcW w:w="1020" w:type="dxa"/>
          </w:tcPr>
          <w:p w:rsidR="00557A6F" w:rsidRDefault="00557A6F" w:rsidP="00557A6F">
            <w:pPr>
              <w:jc w:val="right"/>
            </w:pPr>
            <w:r>
              <w:t>-16,9</w:t>
            </w:r>
          </w:p>
        </w:tc>
      </w:tr>
      <w:tr w:rsidR="00557A6F" w:rsidTr="00557A6F">
        <w:trPr>
          <w:trHeight w:val="380"/>
        </w:trPr>
        <w:tc>
          <w:tcPr>
            <w:tcW w:w="1020" w:type="dxa"/>
          </w:tcPr>
          <w:p w:rsidR="00557A6F" w:rsidRDefault="00557A6F" w:rsidP="00557A6F">
            <w:r>
              <w:t>585</w:t>
            </w:r>
          </w:p>
        </w:tc>
        <w:tc>
          <w:tcPr>
            <w:tcW w:w="4080" w:type="dxa"/>
          </w:tcPr>
          <w:p w:rsidR="00557A6F" w:rsidRDefault="00557A6F" w:rsidP="00557A6F">
            <w:r>
              <w:t>Husleietvistutvalget</w:t>
            </w:r>
          </w:p>
        </w:tc>
        <w:tc>
          <w:tcPr>
            <w:tcW w:w="1020" w:type="dxa"/>
          </w:tcPr>
          <w:p w:rsidR="00557A6F" w:rsidRDefault="00557A6F" w:rsidP="00557A6F">
            <w:pPr>
              <w:jc w:val="right"/>
            </w:pPr>
            <w:r>
              <w:t>30 337</w:t>
            </w:r>
          </w:p>
        </w:tc>
        <w:tc>
          <w:tcPr>
            <w:tcW w:w="1020" w:type="dxa"/>
          </w:tcPr>
          <w:p w:rsidR="00557A6F" w:rsidRDefault="00557A6F" w:rsidP="00557A6F">
            <w:pPr>
              <w:jc w:val="right"/>
            </w:pPr>
            <w:r>
              <w:t>29 874</w:t>
            </w:r>
          </w:p>
        </w:tc>
        <w:tc>
          <w:tcPr>
            <w:tcW w:w="1020" w:type="dxa"/>
          </w:tcPr>
          <w:p w:rsidR="00557A6F" w:rsidRDefault="00557A6F" w:rsidP="00557A6F">
            <w:pPr>
              <w:jc w:val="right"/>
            </w:pPr>
            <w:r>
              <w:t>30 821</w:t>
            </w:r>
          </w:p>
        </w:tc>
        <w:tc>
          <w:tcPr>
            <w:tcW w:w="1020" w:type="dxa"/>
          </w:tcPr>
          <w:p w:rsidR="00557A6F" w:rsidRDefault="00557A6F" w:rsidP="00557A6F">
            <w:pPr>
              <w:jc w:val="right"/>
            </w:pPr>
            <w:r>
              <w:t>3,2</w:t>
            </w:r>
          </w:p>
        </w:tc>
      </w:tr>
      <w:tr w:rsidR="00557A6F" w:rsidTr="00557A6F">
        <w:trPr>
          <w:trHeight w:val="380"/>
        </w:trPr>
        <w:tc>
          <w:tcPr>
            <w:tcW w:w="1020" w:type="dxa"/>
          </w:tcPr>
          <w:p w:rsidR="00557A6F" w:rsidRDefault="00557A6F" w:rsidP="00557A6F">
            <w:r>
              <w:t>587</w:t>
            </w:r>
          </w:p>
        </w:tc>
        <w:tc>
          <w:tcPr>
            <w:tcW w:w="4080" w:type="dxa"/>
          </w:tcPr>
          <w:p w:rsidR="00557A6F" w:rsidRDefault="00557A6F" w:rsidP="00557A6F">
            <w:r>
              <w:t>Direktoratet for byggkvalitet</w:t>
            </w:r>
          </w:p>
        </w:tc>
        <w:tc>
          <w:tcPr>
            <w:tcW w:w="1020" w:type="dxa"/>
          </w:tcPr>
          <w:p w:rsidR="00557A6F" w:rsidRDefault="00557A6F" w:rsidP="00557A6F">
            <w:pPr>
              <w:jc w:val="right"/>
            </w:pPr>
            <w:r>
              <w:t>148 564</w:t>
            </w:r>
          </w:p>
        </w:tc>
        <w:tc>
          <w:tcPr>
            <w:tcW w:w="1020" w:type="dxa"/>
          </w:tcPr>
          <w:p w:rsidR="00557A6F" w:rsidRDefault="00557A6F" w:rsidP="00557A6F">
            <w:pPr>
              <w:jc w:val="right"/>
            </w:pPr>
            <w:r>
              <w:t>155 724</w:t>
            </w:r>
          </w:p>
        </w:tc>
        <w:tc>
          <w:tcPr>
            <w:tcW w:w="1020" w:type="dxa"/>
          </w:tcPr>
          <w:p w:rsidR="00557A6F" w:rsidRDefault="00557A6F" w:rsidP="00557A6F">
            <w:pPr>
              <w:jc w:val="right"/>
            </w:pPr>
            <w:r>
              <w:t>156 107</w:t>
            </w:r>
          </w:p>
        </w:tc>
        <w:tc>
          <w:tcPr>
            <w:tcW w:w="1020" w:type="dxa"/>
          </w:tcPr>
          <w:p w:rsidR="00557A6F" w:rsidRDefault="00557A6F" w:rsidP="00557A6F">
            <w:pPr>
              <w:jc w:val="right"/>
            </w:pPr>
            <w:r>
              <w:t>0,2</w:t>
            </w:r>
          </w:p>
        </w:tc>
      </w:tr>
      <w:tr w:rsidR="00557A6F" w:rsidTr="00557A6F">
        <w:trPr>
          <w:trHeight w:val="380"/>
        </w:trPr>
        <w:tc>
          <w:tcPr>
            <w:tcW w:w="1020" w:type="dxa"/>
          </w:tcPr>
          <w:p w:rsidR="00557A6F" w:rsidRDefault="00557A6F" w:rsidP="00557A6F">
            <w:r>
              <w:t>2412</w:t>
            </w:r>
          </w:p>
        </w:tc>
        <w:tc>
          <w:tcPr>
            <w:tcW w:w="4080" w:type="dxa"/>
          </w:tcPr>
          <w:p w:rsidR="00557A6F" w:rsidRDefault="00557A6F" w:rsidP="00557A6F">
            <w:r>
              <w:t>Husbanken</w:t>
            </w:r>
          </w:p>
        </w:tc>
        <w:tc>
          <w:tcPr>
            <w:tcW w:w="1020" w:type="dxa"/>
          </w:tcPr>
          <w:p w:rsidR="00557A6F" w:rsidRDefault="00557A6F" w:rsidP="00557A6F">
            <w:pPr>
              <w:jc w:val="right"/>
            </w:pPr>
            <w:r>
              <w:t>16 092 494</w:t>
            </w:r>
          </w:p>
        </w:tc>
        <w:tc>
          <w:tcPr>
            <w:tcW w:w="1020" w:type="dxa"/>
          </w:tcPr>
          <w:p w:rsidR="00557A6F" w:rsidRDefault="00557A6F" w:rsidP="00557A6F">
            <w:pPr>
              <w:jc w:val="right"/>
            </w:pPr>
            <w:r>
              <w:t>14 750 086</w:t>
            </w:r>
          </w:p>
        </w:tc>
        <w:tc>
          <w:tcPr>
            <w:tcW w:w="1020" w:type="dxa"/>
          </w:tcPr>
          <w:p w:rsidR="00557A6F" w:rsidRDefault="00557A6F" w:rsidP="00557A6F">
            <w:pPr>
              <w:jc w:val="right"/>
            </w:pPr>
            <w:r>
              <w:t>15 272 694</w:t>
            </w:r>
          </w:p>
        </w:tc>
        <w:tc>
          <w:tcPr>
            <w:tcW w:w="1020" w:type="dxa"/>
          </w:tcPr>
          <w:p w:rsidR="00557A6F" w:rsidRDefault="00557A6F" w:rsidP="00557A6F">
            <w:pPr>
              <w:jc w:val="right"/>
            </w:pPr>
            <w:r>
              <w:t>3,5</w:t>
            </w:r>
          </w:p>
        </w:tc>
      </w:tr>
      <w:tr w:rsidR="00557A6F" w:rsidTr="00557A6F">
        <w:trPr>
          <w:trHeight w:val="380"/>
        </w:trPr>
        <w:tc>
          <w:tcPr>
            <w:tcW w:w="1020" w:type="dxa"/>
          </w:tcPr>
          <w:p w:rsidR="00557A6F" w:rsidRDefault="00557A6F" w:rsidP="00557A6F"/>
        </w:tc>
        <w:tc>
          <w:tcPr>
            <w:tcW w:w="4080" w:type="dxa"/>
          </w:tcPr>
          <w:p w:rsidR="00557A6F" w:rsidRDefault="00557A6F" w:rsidP="00557A6F">
            <w:r>
              <w:t>Sum kategori 13.80</w:t>
            </w:r>
          </w:p>
        </w:tc>
        <w:tc>
          <w:tcPr>
            <w:tcW w:w="1020" w:type="dxa"/>
          </w:tcPr>
          <w:p w:rsidR="00557A6F" w:rsidRDefault="00557A6F" w:rsidP="00557A6F">
            <w:pPr>
              <w:jc w:val="right"/>
            </w:pPr>
            <w:r>
              <w:t>20 253 117</w:t>
            </w:r>
          </w:p>
        </w:tc>
        <w:tc>
          <w:tcPr>
            <w:tcW w:w="1020" w:type="dxa"/>
          </w:tcPr>
          <w:p w:rsidR="00557A6F" w:rsidRDefault="00557A6F" w:rsidP="00557A6F">
            <w:pPr>
              <w:jc w:val="right"/>
            </w:pPr>
            <w:r>
              <w:t>19 011 900</w:t>
            </w:r>
          </w:p>
        </w:tc>
        <w:tc>
          <w:tcPr>
            <w:tcW w:w="1020" w:type="dxa"/>
          </w:tcPr>
          <w:p w:rsidR="00557A6F" w:rsidRDefault="00557A6F" w:rsidP="00557A6F">
            <w:pPr>
              <w:jc w:val="right"/>
            </w:pPr>
            <w:r>
              <w:t>18 848 261</w:t>
            </w:r>
          </w:p>
        </w:tc>
        <w:tc>
          <w:tcPr>
            <w:tcW w:w="1020" w:type="dxa"/>
          </w:tcPr>
          <w:p w:rsidR="00557A6F" w:rsidRDefault="00557A6F" w:rsidP="00557A6F">
            <w:pPr>
              <w:jc w:val="right"/>
            </w:pPr>
            <w:r>
              <w:t>-0,9</w:t>
            </w:r>
          </w:p>
        </w:tc>
      </w:tr>
    </w:tbl>
    <w:p w:rsidR="00557A6F" w:rsidRDefault="00557A6F" w:rsidP="00557A6F">
      <w:pPr>
        <w:pStyle w:val="tabell-noter"/>
      </w:pPr>
      <w:r>
        <w:t>Bevilgningen til bostøtte ble flyttet fra kap. 580 til kap. 581 i 2019.</w:t>
      </w:r>
    </w:p>
    <w:p w:rsidR="00557A6F" w:rsidRDefault="00557A6F" w:rsidP="00557A6F">
      <w:pPr>
        <w:pStyle w:val="avsnitt-tittel"/>
      </w:pPr>
      <w:r>
        <w:t>Inntekter under programkategori 13.80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557A6F" w:rsidTr="00557A6F">
        <w:trPr>
          <w:trHeight w:val="640"/>
        </w:trPr>
        <w:tc>
          <w:tcPr>
            <w:tcW w:w="1020" w:type="dxa"/>
            <w:shd w:val="clear" w:color="auto" w:fill="FFFFFF"/>
          </w:tcPr>
          <w:p w:rsidR="00557A6F" w:rsidRDefault="00557A6F" w:rsidP="00557A6F">
            <w:pPr>
              <w:pStyle w:val="Tabellnavn"/>
            </w:pPr>
            <w:r>
              <w:t>PIKL</w:t>
            </w:r>
          </w:p>
        </w:tc>
        <w:tc>
          <w:tcPr>
            <w:tcW w:w="4080" w:type="dxa"/>
          </w:tcPr>
          <w:p w:rsidR="00557A6F" w:rsidRDefault="00557A6F" w:rsidP="00557A6F"/>
        </w:tc>
        <w:tc>
          <w:tcPr>
            <w:tcW w:w="1020" w:type="dxa"/>
          </w:tcPr>
          <w:p w:rsidR="00557A6F" w:rsidRDefault="00557A6F" w:rsidP="00557A6F">
            <w:pPr>
              <w:pStyle w:val="Tabellnavn"/>
              <w:jc w:val="right"/>
            </w:pPr>
          </w:p>
        </w:tc>
        <w:tc>
          <w:tcPr>
            <w:tcW w:w="1020" w:type="dxa"/>
          </w:tcPr>
          <w:p w:rsidR="00557A6F" w:rsidRDefault="00557A6F" w:rsidP="00557A6F">
            <w:pPr>
              <w:pStyle w:val="Tabellnavn"/>
              <w:jc w:val="right"/>
            </w:pPr>
          </w:p>
        </w:tc>
        <w:tc>
          <w:tcPr>
            <w:tcW w:w="1020" w:type="dxa"/>
          </w:tcPr>
          <w:p w:rsidR="00557A6F" w:rsidRDefault="00557A6F" w:rsidP="00557A6F">
            <w:pPr>
              <w:pStyle w:val="Tabellnavn"/>
              <w:jc w:val="right"/>
            </w:pPr>
          </w:p>
        </w:tc>
        <w:tc>
          <w:tcPr>
            <w:tcW w:w="1020" w:type="dxa"/>
          </w:tcPr>
          <w:p w:rsidR="00557A6F" w:rsidRDefault="00557A6F" w:rsidP="00557A6F">
            <w:pPr>
              <w:jc w:val="right"/>
            </w:pPr>
            <w:r>
              <w:t>(i 1 000 kr)</w:t>
            </w:r>
          </w:p>
        </w:tc>
      </w:tr>
      <w:tr w:rsidR="00557A6F" w:rsidTr="00557A6F">
        <w:trPr>
          <w:trHeight w:val="600"/>
        </w:trPr>
        <w:tc>
          <w:tcPr>
            <w:tcW w:w="1020" w:type="dxa"/>
          </w:tcPr>
          <w:p w:rsidR="00557A6F" w:rsidRDefault="00557A6F" w:rsidP="00557A6F">
            <w:r>
              <w:t>Kap.</w:t>
            </w:r>
          </w:p>
        </w:tc>
        <w:tc>
          <w:tcPr>
            <w:tcW w:w="4080" w:type="dxa"/>
          </w:tcPr>
          <w:p w:rsidR="00557A6F" w:rsidRDefault="00557A6F" w:rsidP="00557A6F">
            <w:r>
              <w:t>Betegnelse</w:t>
            </w:r>
          </w:p>
        </w:tc>
        <w:tc>
          <w:tcPr>
            <w:tcW w:w="1020" w:type="dxa"/>
          </w:tcPr>
          <w:p w:rsidR="00557A6F" w:rsidRDefault="00557A6F" w:rsidP="00557A6F">
            <w:pPr>
              <w:jc w:val="right"/>
            </w:pPr>
            <w:r>
              <w:t>Reg</w:t>
            </w:r>
            <w:r>
              <w:t>n</w:t>
            </w:r>
            <w:r>
              <w:t>skap 2018</w:t>
            </w:r>
          </w:p>
        </w:tc>
        <w:tc>
          <w:tcPr>
            <w:tcW w:w="1020" w:type="dxa"/>
          </w:tcPr>
          <w:p w:rsidR="00557A6F" w:rsidRDefault="00557A6F" w:rsidP="00557A6F">
            <w:pPr>
              <w:jc w:val="right"/>
            </w:pPr>
            <w:r>
              <w:t xml:space="preserve">Saldert </w:t>
            </w:r>
            <w:r>
              <w:br/>
              <w:t>budsjett 2019</w:t>
            </w:r>
          </w:p>
        </w:tc>
        <w:tc>
          <w:tcPr>
            <w:tcW w:w="1020" w:type="dxa"/>
          </w:tcPr>
          <w:p w:rsidR="00557A6F" w:rsidRDefault="00557A6F" w:rsidP="00557A6F">
            <w:pPr>
              <w:jc w:val="right"/>
            </w:pPr>
            <w:r>
              <w:t xml:space="preserve">Forslag </w:t>
            </w:r>
            <w:r>
              <w:br/>
              <w:t>2020</w:t>
            </w:r>
          </w:p>
        </w:tc>
        <w:tc>
          <w:tcPr>
            <w:tcW w:w="1020" w:type="dxa"/>
          </w:tcPr>
          <w:p w:rsidR="00557A6F" w:rsidRDefault="00557A6F" w:rsidP="00557A6F">
            <w:pPr>
              <w:jc w:val="right"/>
            </w:pPr>
            <w:r>
              <w:t xml:space="preserve">Pst. endr. </w:t>
            </w:r>
            <w:r>
              <w:br/>
              <w:t>19/20</w:t>
            </w:r>
          </w:p>
        </w:tc>
      </w:tr>
      <w:tr w:rsidR="00557A6F" w:rsidTr="00557A6F">
        <w:trPr>
          <w:trHeight w:val="380"/>
        </w:trPr>
        <w:tc>
          <w:tcPr>
            <w:tcW w:w="1020" w:type="dxa"/>
          </w:tcPr>
          <w:p w:rsidR="00557A6F" w:rsidRDefault="00557A6F" w:rsidP="00557A6F">
            <w:r>
              <w:t>3585</w:t>
            </w:r>
          </w:p>
        </w:tc>
        <w:tc>
          <w:tcPr>
            <w:tcW w:w="4080" w:type="dxa"/>
          </w:tcPr>
          <w:p w:rsidR="00557A6F" w:rsidRDefault="00557A6F" w:rsidP="00557A6F">
            <w:r>
              <w:t>Husleietvistutvalget</w:t>
            </w:r>
          </w:p>
        </w:tc>
        <w:tc>
          <w:tcPr>
            <w:tcW w:w="1020" w:type="dxa"/>
          </w:tcPr>
          <w:p w:rsidR="00557A6F" w:rsidRDefault="00557A6F" w:rsidP="00557A6F">
            <w:pPr>
              <w:jc w:val="right"/>
            </w:pPr>
            <w:r>
              <w:t>1 621</w:t>
            </w:r>
          </w:p>
        </w:tc>
        <w:tc>
          <w:tcPr>
            <w:tcW w:w="1020" w:type="dxa"/>
          </w:tcPr>
          <w:p w:rsidR="00557A6F" w:rsidRDefault="00557A6F" w:rsidP="00557A6F">
            <w:pPr>
              <w:jc w:val="right"/>
            </w:pPr>
            <w:r>
              <w:t>1 472</w:t>
            </w:r>
          </w:p>
        </w:tc>
        <w:tc>
          <w:tcPr>
            <w:tcW w:w="1020" w:type="dxa"/>
          </w:tcPr>
          <w:p w:rsidR="00557A6F" w:rsidRDefault="00557A6F" w:rsidP="00557A6F">
            <w:pPr>
              <w:jc w:val="right"/>
            </w:pPr>
            <w:r>
              <w:t>1 915</w:t>
            </w:r>
          </w:p>
        </w:tc>
        <w:tc>
          <w:tcPr>
            <w:tcW w:w="1020" w:type="dxa"/>
          </w:tcPr>
          <w:p w:rsidR="00557A6F" w:rsidRDefault="00557A6F" w:rsidP="00557A6F">
            <w:pPr>
              <w:jc w:val="right"/>
            </w:pPr>
            <w:r>
              <w:t>30,1</w:t>
            </w:r>
          </w:p>
        </w:tc>
      </w:tr>
      <w:tr w:rsidR="00557A6F" w:rsidTr="00557A6F">
        <w:trPr>
          <w:trHeight w:val="380"/>
        </w:trPr>
        <w:tc>
          <w:tcPr>
            <w:tcW w:w="1020" w:type="dxa"/>
          </w:tcPr>
          <w:p w:rsidR="00557A6F" w:rsidRDefault="00557A6F" w:rsidP="00557A6F">
            <w:r>
              <w:t>3587</w:t>
            </w:r>
          </w:p>
        </w:tc>
        <w:tc>
          <w:tcPr>
            <w:tcW w:w="4080" w:type="dxa"/>
          </w:tcPr>
          <w:p w:rsidR="00557A6F" w:rsidRDefault="00557A6F" w:rsidP="00557A6F">
            <w:r>
              <w:t>Direktoratet for byggkvalitet</w:t>
            </w:r>
          </w:p>
        </w:tc>
        <w:tc>
          <w:tcPr>
            <w:tcW w:w="1020" w:type="dxa"/>
          </w:tcPr>
          <w:p w:rsidR="00557A6F" w:rsidRDefault="00557A6F" w:rsidP="00557A6F">
            <w:pPr>
              <w:jc w:val="right"/>
            </w:pPr>
            <w:r>
              <w:t>42 278</w:t>
            </w:r>
          </w:p>
        </w:tc>
        <w:tc>
          <w:tcPr>
            <w:tcW w:w="1020" w:type="dxa"/>
          </w:tcPr>
          <w:p w:rsidR="00557A6F" w:rsidRDefault="00557A6F" w:rsidP="00557A6F">
            <w:pPr>
              <w:jc w:val="right"/>
            </w:pPr>
            <w:r>
              <w:t>44 137</w:t>
            </w:r>
          </w:p>
        </w:tc>
        <w:tc>
          <w:tcPr>
            <w:tcW w:w="1020" w:type="dxa"/>
          </w:tcPr>
          <w:p w:rsidR="00557A6F" w:rsidRDefault="00557A6F" w:rsidP="00557A6F">
            <w:pPr>
              <w:jc w:val="right"/>
            </w:pPr>
            <w:r>
              <w:t>41 108</w:t>
            </w:r>
          </w:p>
        </w:tc>
        <w:tc>
          <w:tcPr>
            <w:tcW w:w="1020" w:type="dxa"/>
          </w:tcPr>
          <w:p w:rsidR="00557A6F" w:rsidRDefault="00557A6F" w:rsidP="00557A6F">
            <w:pPr>
              <w:jc w:val="right"/>
            </w:pPr>
            <w:r>
              <w:t>-6,9</w:t>
            </w:r>
          </w:p>
        </w:tc>
      </w:tr>
      <w:tr w:rsidR="00557A6F" w:rsidTr="00557A6F">
        <w:trPr>
          <w:trHeight w:val="380"/>
        </w:trPr>
        <w:tc>
          <w:tcPr>
            <w:tcW w:w="1020" w:type="dxa"/>
          </w:tcPr>
          <w:p w:rsidR="00557A6F" w:rsidRDefault="00557A6F" w:rsidP="00557A6F">
            <w:r>
              <w:t>5312</w:t>
            </w:r>
          </w:p>
        </w:tc>
        <w:tc>
          <w:tcPr>
            <w:tcW w:w="4080" w:type="dxa"/>
          </w:tcPr>
          <w:p w:rsidR="00557A6F" w:rsidRDefault="00557A6F" w:rsidP="00557A6F">
            <w:r>
              <w:t>Husbanken</w:t>
            </w:r>
          </w:p>
        </w:tc>
        <w:tc>
          <w:tcPr>
            <w:tcW w:w="1020" w:type="dxa"/>
          </w:tcPr>
          <w:p w:rsidR="00557A6F" w:rsidRDefault="00557A6F" w:rsidP="00557A6F">
            <w:pPr>
              <w:jc w:val="right"/>
            </w:pPr>
            <w:r>
              <w:t>12 491 281</w:t>
            </w:r>
          </w:p>
        </w:tc>
        <w:tc>
          <w:tcPr>
            <w:tcW w:w="1020" w:type="dxa"/>
          </w:tcPr>
          <w:p w:rsidR="00557A6F" w:rsidRDefault="00557A6F" w:rsidP="00557A6F">
            <w:pPr>
              <w:jc w:val="right"/>
            </w:pPr>
            <w:r>
              <w:t>12 423 383</w:t>
            </w:r>
          </w:p>
        </w:tc>
        <w:tc>
          <w:tcPr>
            <w:tcW w:w="1020" w:type="dxa"/>
          </w:tcPr>
          <w:p w:rsidR="00557A6F" w:rsidRDefault="00557A6F" w:rsidP="00557A6F">
            <w:pPr>
              <w:jc w:val="right"/>
            </w:pPr>
            <w:r>
              <w:t>12 782 663</w:t>
            </w:r>
          </w:p>
        </w:tc>
        <w:tc>
          <w:tcPr>
            <w:tcW w:w="1020" w:type="dxa"/>
          </w:tcPr>
          <w:p w:rsidR="00557A6F" w:rsidRDefault="00557A6F" w:rsidP="00557A6F">
            <w:pPr>
              <w:jc w:val="right"/>
            </w:pPr>
            <w:r>
              <w:t>2,9</w:t>
            </w:r>
          </w:p>
        </w:tc>
      </w:tr>
      <w:tr w:rsidR="00557A6F" w:rsidTr="00557A6F">
        <w:trPr>
          <w:trHeight w:val="380"/>
        </w:trPr>
        <w:tc>
          <w:tcPr>
            <w:tcW w:w="1020" w:type="dxa"/>
          </w:tcPr>
          <w:p w:rsidR="00557A6F" w:rsidRDefault="00557A6F" w:rsidP="00557A6F">
            <w:r>
              <w:t>5615</w:t>
            </w:r>
          </w:p>
        </w:tc>
        <w:tc>
          <w:tcPr>
            <w:tcW w:w="4080" w:type="dxa"/>
          </w:tcPr>
          <w:p w:rsidR="00557A6F" w:rsidRDefault="00557A6F" w:rsidP="00557A6F">
            <w:r>
              <w:t>Husbanken</w:t>
            </w:r>
          </w:p>
        </w:tc>
        <w:tc>
          <w:tcPr>
            <w:tcW w:w="1020" w:type="dxa"/>
          </w:tcPr>
          <w:p w:rsidR="00557A6F" w:rsidRDefault="00557A6F" w:rsidP="00557A6F">
            <w:pPr>
              <w:jc w:val="right"/>
            </w:pPr>
            <w:r>
              <w:t>2 893 508</w:t>
            </w:r>
          </w:p>
        </w:tc>
        <w:tc>
          <w:tcPr>
            <w:tcW w:w="1020" w:type="dxa"/>
          </w:tcPr>
          <w:p w:rsidR="00557A6F" w:rsidRDefault="00557A6F" w:rsidP="00557A6F">
            <w:pPr>
              <w:jc w:val="right"/>
            </w:pPr>
            <w:r>
              <w:t>3 309 000</w:t>
            </w:r>
          </w:p>
        </w:tc>
        <w:tc>
          <w:tcPr>
            <w:tcW w:w="1020" w:type="dxa"/>
          </w:tcPr>
          <w:p w:rsidR="00557A6F" w:rsidRDefault="00557A6F" w:rsidP="00557A6F">
            <w:pPr>
              <w:jc w:val="right"/>
            </w:pPr>
            <w:r>
              <w:t>3 386 000</w:t>
            </w:r>
          </w:p>
        </w:tc>
        <w:tc>
          <w:tcPr>
            <w:tcW w:w="1020" w:type="dxa"/>
          </w:tcPr>
          <w:p w:rsidR="00557A6F" w:rsidRDefault="00557A6F" w:rsidP="00557A6F">
            <w:pPr>
              <w:jc w:val="right"/>
            </w:pPr>
            <w:r>
              <w:t>2,3</w:t>
            </w:r>
          </w:p>
        </w:tc>
      </w:tr>
      <w:tr w:rsidR="00557A6F" w:rsidTr="00557A6F">
        <w:trPr>
          <w:trHeight w:val="380"/>
        </w:trPr>
        <w:tc>
          <w:tcPr>
            <w:tcW w:w="1020" w:type="dxa"/>
          </w:tcPr>
          <w:p w:rsidR="00557A6F" w:rsidRDefault="00557A6F" w:rsidP="00557A6F"/>
        </w:tc>
        <w:tc>
          <w:tcPr>
            <w:tcW w:w="4080" w:type="dxa"/>
          </w:tcPr>
          <w:p w:rsidR="00557A6F" w:rsidRDefault="00557A6F" w:rsidP="00557A6F">
            <w:r>
              <w:t>Sum kategori 13.80</w:t>
            </w:r>
          </w:p>
        </w:tc>
        <w:tc>
          <w:tcPr>
            <w:tcW w:w="1020" w:type="dxa"/>
          </w:tcPr>
          <w:p w:rsidR="00557A6F" w:rsidRDefault="00557A6F" w:rsidP="00557A6F">
            <w:pPr>
              <w:jc w:val="right"/>
            </w:pPr>
            <w:r>
              <w:t>15 428 688</w:t>
            </w:r>
          </w:p>
        </w:tc>
        <w:tc>
          <w:tcPr>
            <w:tcW w:w="1020" w:type="dxa"/>
          </w:tcPr>
          <w:p w:rsidR="00557A6F" w:rsidRDefault="00557A6F" w:rsidP="00557A6F">
            <w:pPr>
              <w:jc w:val="right"/>
            </w:pPr>
            <w:r>
              <w:t>15 777 992</w:t>
            </w:r>
          </w:p>
        </w:tc>
        <w:tc>
          <w:tcPr>
            <w:tcW w:w="1020" w:type="dxa"/>
          </w:tcPr>
          <w:p w:rsidR="00557A6F" w:rsidRDefault="00557A6F" w:rsidP="00557A6F">
            <w:pPr>
              <w:jc w:val="right"/>
            </w:pPr>
            <w:r>
              <w:t>16 211 686</w:t>
            </w:r>
          </w:p>
        </w:tc>
        <w:tc>
          <w:tcPr>
            <w:tcW w:w="1020" w:type="dxa"/>
          </w:tcPr>
          <w:p w:rsidR="00557A6F" w:rsidRDefault="00557A6F" w:rsidP="00557A6F">
            <w:pPr>
              <w:jc w:val="right"/>
            </w:pPr>
            <w:r>
              <w:t>2,7</w:t>
            </w:r>
          </w:p>
        </w:tc>
      </w:tr>
    </w:tbl>
    <w:p w:rsidR="00557A6F" w:rsidRDefault="00557A6F" w:rsidP="00557A6F">
      <w:pPr>
        <w:pStyle w:val="Undertittel"/>
      </w:pPr>
      <w:r>
        <w:t>Ansvarsområder</w:t>
      </w:r>
    </w:p>
    <w:p w:rsidR="00557A6F" w:rsidRDefault="00557A6F" w:rsidP="00557A6F">
      <w:r>
        <w:t>Staten sørger for gode rammer for bolig- og bygningssektoren gjennom å utvikle og forvalte rege</w:t>
      </w:r>
      <w:r>
        <w:t>l</w:t>
      </w:r>
      <w:r>
        <w:t>verk, økonomiske ordninger og kunnskap. Det er kommunene som iverksetter bolig- og bygning</w:t>
      </w:r>
      <w:r>
        <w:t>s</w:t>
      </w:r>
      <w:r>
        <w:t>politikken lokalt, mens det i hovedsak er private som prosjekterer, bygger, finansierer, selger, fo</w:t>
      </w:r>
      <w:r>
        <w:t>r</w:t>
      </w:r>
      <w:r>
        <w:t>valter og vedl</w:t>
      </w:r>
      <w:r>
        <w:t>i</w:t>
      </w:r>
      <w:r>
        <w:t>keholder bolig- og bygningsmassen.</w:t>
      </w:r>
    </w:p>
    <w:p w:rsidR="00557A6F" w:rsidRDefault="00557A6F" w:rsidP="00557A6F">
      <w:r>
        <w:t>Kommunal- og moderniseringsdepartementet skal bidra til at vanskeligstilte på boligmarkedet kan skaffe seg en egnet bolig og beholde den. Departementet har også ansvaret for regelverk og andre virke</w:t>
      </w:r>
      <w:r>
        <w:lastRenderedPageBreak/>
        <w:t>midler som skal fre</w:t>
      </w:r>
      <w:r>
        <w:t>m</w:t>
      </w:r>
      <w:r>
        <w:t>me god byggkvalitet og effektive prosesser i byggesaker. Departementet har ansv</w:t>
      </w:r>
      <w:r>
        <w:t>a</w:t>
      </w:r>
      <w:r>
        <w:t>ret for plan- og bygningsloven. Lovens plandel er omtalt under programkategori 13.90. I tillegg har departementet ansvar for blant annet borettslagsloven, eierseksjonsloven og husleiel</w:t>
      </w:r>
      <w:r>
        <w:t>o</w:t>
      </w:r>
      <w:r>
        <w:t>ven.</w:t>
      </w:r>
    </w:p>
    <w:p w:rsidR="00557A6F" w:rsidRDefault="00557A6F" w:rsidP="00557A6F">
      <w:r>
        <w:t>Kommunal- og moderniseringsdepartementet samarbeider med flere departementer for å sikre en helhetlig bolig- og bygningspolitikk. Departementet har tre underliggende virksomheter som er faginstanser på sine områder: Husbanken, Direktoratet for byggkvalitet (DiBK) og Husleietvistu</w:t>
      </w:r>
      <w:r>
        <w:t>t</w:t>
      </w:r>
      <w:r>
        <w:t>valget (HTU).</w:t>
      </w:r>
    </w:p>
    <w:p w:rsidR="00557A6F" w:rsidRDefault="00557A6F" w:rsidP="00557A6F">
      <w:r>
        <w:t>Husbanken iverksetter regjeringens boligsosiale politikk gjennom økonomiske virkemidler som bostøtte, tilskudd og lån. Husbanken legger også til rette for kunnskapsutvikling og kompetans</w:t>
      </w:r>
      <w:r>
        <w:t>e</w:t>
      </w:r>
      <w:r>
        <w:t>overføring til kommuner, frivillig sektor, byggsektoren og andre. I tillegg forvalter Husbanken ti</w:t>
      </w:r>
      <w:r>
        <w:t>l</w:t>
      </w:r>
      <w:r>
        <w:t>skuddsordninger for andre departementer. Selv om det er kommunene som har hovedansvaret for å bistå vanskeligstilte på boligmarkedet, skal statlige aktører sikre gode rammebetingelser. Husba</w:t>
      </w:r>
      <w:r>
        <w:t>n</w:t>
      </w:r>
      <w:r>
        <w:t>ken støtter opp om kommun</w:t>
      </w:r>
      <w:r>
        <w:t>e</w:t>
      </w:r>
      <w:r>
        <w:t>nes arbeid både faglig og økonomisk. Frivillige organisasjoner og bruker- og interesseorganisasjoner er viktige samarbeidspartnere.</w:t>
      </w:r>
    </w:p>
    <w:p w:rsidR="00557A6F" w:rsidRDefault="00557A6F" w:rsidP="00557A6F">
      <w:r>
        <w:t>DiBK er et nasjonalt kompetansesenter på bygningsområdet og sentral myndighet på flere områder innenfor bygningsdelen av plan- og bygningsloven. DiBK er tilsynsmyndighet for byggevarema</w:t>
      </w:r>
      <w:r>
        <w:t>r</w:t>
      </w:r>
      <w:r>
        <w:t>kedet og har ansvar for den sentrale godkjenningsordningen for foretak med ansvarsrett. Direkt</w:t>
      </w:r>
      <w:r>
        <w:t>o</w:t>
      </w:r>
      <w:r>
        <w:t>ratets arbeid er rettet mot kommunene, aktørene i byggeprosessen, byggevaremarkedet og publ</w:t>
      </w:r>
      <w:r>
        <w:t>i</w:t>
      </w:r>
      <w:r>
        <w:t>kum. Regelverket har stor betydning for blant annet boli</w:t>
      </w:r>
      <w:r>
        <w:t>g</w:t>
      </w:r>
      <w:r>
        <w:t>byggingen, og DiBK skal ha innsikt i hvordan regelverket virker.</w:t>
      </w:r>
    </w:p>
    <w:p w:rsidR="00557A6F" w:rsidRDefault="00557A6F" w:rsidP="00557A6F">
      <w:r>
        <w:t>HTU er et tvisteløsningsorgan som kan behandle alle typer tvister om leie av bolig etter husleiel</w:t>
      </w:r>
      <w:r>
        <w:t>o</w:t>
      </w:r>
      <w:r>
        <w:t>vene i Oslo, Akershus, Hordaland og Trøndelag. Forliksrådet behandler ikke slike saker i områder HTU dekker. HTU kan behandle saker i hele landet dersom forbrukere fremmer sak mot profesj</w:t>
      </w:r>
      <w:r>
        <w:t>o</w:t>
      </w:r>
      <w:r>
        <w:t>nelle utleiere (næringsdrivende). HTU gir også informasjon og veiledning om husleielovene, og besvarer spørsmål fra utleiere og leiere.</w:t>
      </w:r>
    </w:p>
    <w:p w:rsidR="00557A6F" w:rsidRDefault="00557A6F" w:rsidP="00557A6F">
      <w:pPr>
        <w:pStyle w:val="Undertittel"/>
      </w:pPr>
      <w:r>
        <w:t>Utviklingstrekk og utfordringer</w:t>
      </w:r>
    </w:p>
    <w:p w:rsidR="00557A6F" w:rsidRDefault="00557A6F" w:rsidP="00557A6F">
      <w:pPr>
        <w:pStyle w:val="avsnitt-undertittel"/>
      </w:pPr>
      <w:r>
        <w:t>Utviklingen i boligmarkedet</w:t>
      </w:r>
    </w:p>
    <w:p w:rsidR="00557A6F" w:rsidRDefault="00557A6F" w:rsidP="00557A6F">
      <w:r>
        <w:t>Etter en lengre periode med betydelig boligprisvekst, falt boligprisene i 2017. Ifølge tall fra Stati</w:t>
      </w:r>
      <w:r>
        <w:t>s</w:t>
      </w:r>
      <w:r>
        <w:t>tisk sentralbyrå (SSB) ble prisfallet hentet inn igjen i løpet av 2018. Per 4. kvartal 2018 var boli</w:t>
      </w:r>
      <w:r>
        <w:t>g</w:t>
      </w:r>
      <w:r>
        <w:t>prisene 1,5 pst. høyere enn nivået per 1. kvartal 2017, da korreksjonen i boligmarkedet kom. Pri</w:t>
      </w:r>
      <w:r>
        <w:t>s</w:t>
      </w:r>
      <w:r>
        <w:t>utviklingen i første halvdel av 2019 har imidlertid vært forsiktig, og boligprisene har økt med 2,1 pst. mellom 2. kvartal 2018 og 2. kvartal 2019. Med unntak av Oslo, har de regionale forskjellene i boligprisveksten blitt mindre. I Oslo har prisveksten mellom 2. kvartal 2018 og 2. kvartal 2019 ligget på 2,7 pst. Prognosene for boligpr</w:t>
      </w:r>
      <w:r>
        <w:t>i</w:t>
      </w:r>
      <w:r>
        <w:t>sene varierer, men de fleste miljøene forventer en stabil utvikling i boligprisene de neste årene. Forventet renteoppgang, flere nyproduserte boliger og for</w:t>
      </w:r>
      <w:r>
        <w:t>t</w:t>
      </w:r>
      <w:r>
        <w:t>satt strenge kredittregler er viktige forklaringer.</w:t>
      </w:r>
    </w:p>
    <w:p w:rsidR="00557A6F" w:rsidRDefault="00557A6F" w:rsidP="00557A6F">
      <w:r>
        <w:t>Tall fra SSB viser at boligbyggingen har ligget på et høyt nivå de siste årene. I 2016 og 2017 lå antall igangse</w:t>
      </w:r>
      <w:r>
        <w:t>t</w:t>
      </w:r>
      <w:r>
        <w:t>telsestillatelser på henholdsvis det høyeste og nest høyeste nivået målt siden 2000. I 2018 gikk antallet igangse</w:t>
      </w:r>
      <w:r>
        <w:t>t</w:t>
      </w:r>
      <w:r>
        <w:t xml:space="preserve">telsestillatelser ned i forhold til den foregående perioden, men nivået var fortsatt relativt høyt. Fra januar til juli 2019 er det gitt igangsettingstillatelser til ca. 19 400 boliger over hele landet. Dette er ca. 14,2 pst. høyere enn samme periode i fjor. </w:t>
      </w:r>
    </w:p>
    <w:p w:rsidR="00557A6F" w:rsidRDefault="00557A6F" w:rsidP="00557A6F">
      <w:pPr>
        <w:pStyle w:val="avsnitt-undertittel"/>
      </w:pPr>
      <w:r>
        <w:t>Byggereglene skal balansere flere samfunnshensyn</w:t>
      </w:r>
    </w:p>
    <w:p w:rsidR="00557A6F" w:rsidRDefault="00557A6F" w:rsidP="00557A6F">
      <w:r>
        <w:t>Kravene til bygg og byggeprosesser er komplekse. Regelverket er omfattende og skal balansere flere samfunnshensyn. Et brukerrettet og forutsigbart regelverk vil legge til rette for mer effektiv saksbehan</w:t>
      </w:r>
      <w:r>
        <w:t>d</w:t>
      </w:r>
      <w:r>
        <w:t>ling, økt produktivitet og færre byggfeil. Behovet for effektive, digitale løsninger er stort både i næringen og hos den enkelte forbruker. Sentrale og lokale myndigheter og næringen tar denne utfordringen på alvor, blant annet ved å utvikle og tilby nye digitale søknads- og saksb</w:t>
      </w:r>
      <w:r>
        <w:t>e</w:t>
      </w:r>
      <w:r>
        <w:t>handlingsløsninger. Ved utgangen av juli hadde 160 kommuner anskaffet fagsystem for digital byggesaksbehandling. Samtidig må bygg</w:t>
      </w:r>
      <w:r>
        <w:t>e</w:t>
      </w:r>
      <w:r>
        <w:t>reglene ta inn over seg fremtidige utfordringer. Boliger og bygg skal være tilpasset en aldrende befol</w:t>
      </w:r>
      <w:r>
        <w:t>k</w:t>
      </w:r>
      <w:r>
        <w:t>ning og klima- og miljøutfordringene vi står overfor. Det er også viktig at samfunnet opprettholder tillit til bygningsmyndighetene og til de ordninger som skal sikre kvalitet, likebehandling og seriøsitet i bygg</w:t>
      </w:r>
      <w:r>
        <w:t>e</w:t>
      </w:r>
      <w:r>
        <w:t>virksomheten.</w:t>
      </w:r>
    </w:p>
    <w:p w:rsidR="00557A6F" w:rsidRDefault="00557A6F" w:rsidP="00557A6F">
      <w:pPr>
        <w:pStyle w:val="avsnitt-undertittel"/>
      </w:pPr>
      <w:r>
        <w:lastRenderedPageBreak/>
        <w:t>Vanskeligstilte på boligmarkedet må få hjelp</w:t>
      </w:r>
    </w:p>
    <w:p w:rsidR="00557A6F" w:rsidRDefault="00557A6F" w:rsidP="00557A6F">
      <w:r>
        <w:t>Selv om de fleste bor godt i Norge i dag, gjelder ikke dette alle. Vanskeligstilte på boligmarkedet er pe</w:t>
      </w:r>
      <w:r>
        <w:t>r</w:t>
      </w:r>
      <w:r>
        <w:t>soner og familier som på egenhånd ikke klarer å skaffe seg eller beholde en god bolig i et godt bomiljø. Disse kan være uten egen bolig, stå i fare for å miste boligen sin eller bo i uegnet bolig eller bomiljø.</w:t>
      </w:r>
    </w:p>
    <w:p w:rsidR="00557A6F" w:rsidRDefault="00557A6F" w:rsidP="00557A6F">
      <w:r>
        <w:t>Dårlige boforhold, eller å være bostedsløs, har negative konsekvenser både for den enkelte og for samfunnet. Det blir vanskeligere å ta imot og ha nytte av helse-, omsorgs- og velferdstjenester, ta utdanning og delta i arbeidslivet. En utrygg bosituasjon kan gjøre integrering vanskeligere og fo</w:t>
      </w:r>
      <w:r>
        <w:t>r</w:t>
      </w:r>
      <w:r>
        <w:t>sterke hels</w:t>
      </w:r>
      <w:r>
        <w:t>e</w:t>
      </w:r>
      <w:r>
        <w:t>messige og sosiale problemer.</w:t>
      </w:r>
    </w:p>
    <w:p w:rsidR="00557A6F" w:rsidRDefault="00557A6F" w:rsidP="00557A6F">
      <w:r>
        <w:t>SSB anslår at rundt 3,4 pst. av befolkningen (175 000 personer) var vanskeligstilte på boligmark</w:t>
      </w:r>
      <w:r>
        <w:t>e</w:t>
      </w:r>
      <w:r>
        <w:t>det i 2018. Det var i overkant av 5 000 flere enn i 2017, og 18 000 flere enn i 2015, da SSB for første gang pr</w:t>
      </w:r>
      <w:r>
        <w:t>e</w:t>
      </w:r>
      <w:r>
        <w:t>senterte slike tall. I beregningen av hvem som er vanskeligstilte på boligmarkedet legger SSB til grunn husholdninger med lavinntekt, og som i tillegg bor trangt og/eller har høy gjeldsbelastning. Nærmere én tredjedel (56 000 personer) var vedvarende vanskeligstilte i 2018. Det vil si at de også ble registrert som vanskeligstilte i 2016 og 2017. Det var ca. 3 500 flere enn antall registrerte i 3-årsperioden 2015–2017. Økningen må blant annet sees i sammenheng med en høy tilstrømning av flyktninger i perioden. Enslige forsørgere, innvandrere og store barnefamilier er overrepresentert blant vanskeligstilte på boligmarkedet.</w:t>
      </w:r>
    </w:p>
    <w:p w:rsidR="00557A6F" w:rsidRDefault="00557A6F" w:rsidP="00557A6F">
      <w:pPr>
        <w:pStyle w:val="Undertittel"/>
      </w:pPr>
      <w:r>
        <w:t>Mål og rapportering, strategier og tiltak</w:t>
      </w:r>
    </w:p>
    <w:p w:rsidR="009017E2" w:rsidRPr="009017E2" w:rsidRDefault="009017E2" w:rsidP="009017E2">
      <w:pPr>
        <w:pStyle w:val="tabell-tittel"/>
      </w:pPr>
      <w:r>
        <w:t>Mål for programkategori 13.80 Bolig, bomiljø og bygg</w:t>
      </w:r>
    </w:p>
    <w:p w:rsidR="00557A6F" w:rsidRDefault="00557A6F" w:rsidP="00557A6F">
      <w:pPr>
        <w:pStyle w:val="Tabellnavn"/>
      </w:pPr>
      <w:r>
        <w:t>02J0xx2</w:t>
      </w:r>
    </w:p>
    <w:tbl>
      <w:tblPr>
        <w:tblStyle w:val="StandardTabell"/>
        <w:tblW w:w="0" w:type="auto"/>
        <w:tblLayout w:type="fixed"/>
        <w:tblLook w:val="04A0" w:firstRow="1" w:lastRow="0" w:firstColumn="1" w:lastColumn="0" w:noHBand="0" w:noVBand="1"/>
      </w:tblPr>
      <w:tblGrid>
        <w:gridCol w:w="9200"/>
      </w:tblGrid>
      <w:tr w:rsidR="00557A6F" w:rsidTr="00557A6F">
        <w:trPr>
          <w:trHeight w:val="380"/>
        </w:trPr>
        <w:tc>
          <w:tcPr>
            <w:tcW w:w="9200" w:type="dxa"/>
          </w:tcPr>
          <w:p w:rsidR="00557A6F" w:rsidRDefault="00557A6F" w:rsidP="00557A6F">
            <w:r>
              <w:t>1.</w:t>
            </w:r>
            <w:r>
              <w:tab/>
              <w:t>Sikre, miljøvennlige og tilgjengelige boliger og bygg</w:t>
            </w:r>
          </w:p>
        </w:tc>
      </w:tr>
      <w:tr w:rsidR="00557A6F" w:rsidTr="00557A6F">
        <w:trPr>
          <w:trHeight w:val="380"/>
        </w:trPr>
        <w:tc>
          <w:tcPr>
            <w:tcW w:w="9200" w:type="dxa"/>
          </w:tcPr>
          <w:p w:rsidR="00557A6F" w:rsidRDefault="00557A6F" w:rsidP="00557A6F">
            <w:r>
              <w:t>2.</w:t>
            </w:r>
            <w:r>
              <w:tab/>
              <w:t>Forutsigbare regler for effektiv ressursbruk i byggeprosessen</w:t>
            </w:r>
          </w:p>
        </w:tc>
      </w:tr>
      <w:tr w:rsidR="00557A6F" w:rsidTr="00557A6F">
        <w:trPr>
          <w:trHeight w:val="380"/>
        </w:trPr>
        <w:tc>
          <w:tcPr>
            <w:tcW w:w="9200" w:type="dxa"/>
          </w:tcPr>
          <w:p w:rsidR="00557A6F" w:rsidRDefault="00557A6F" w:rsidP="00557A6F">
            <w:r>
              <w:t>3.</w:t>
            </w:r>
            <w:r>
              <w:tab/>
              <w:t>Boliglover som fremmer trygge boforhold</w:t>
            </w:r>
          </w:p>
        </w:tc>
      </w:tr>
      <w:tr w:rsidR="00557A6F" w:rsidTr="00557A6F">
        <w:trPr>
          <w:trHeight w:val="380"/>
        </w:trPr>
        <w:tc>
          <w:tcPr>
            <w:tcW w:w="9200" w:type="dxa"/>
          </w:tcPr>
          <w:p w:rsidR="00557A6F" w:rsidRDefault="00557A6F" w:rsidP="00557A6F">
            <w:r>
              <w:t>4.</w:t>
            </w:r>
            <w:r>
              <w:tab/>
              <w:t>Vanskeligstilte på boligmarkedet skal kunne skaffe seg og beholde en egnet bolig</w:t>
            </w:r>
          </w:p>
        </w:tc>
      </w:tr>
    </w:tbl>
    <w:p w:rsidR="00557A6F" w:rsidRDefault="00557A6F" w:rsidP="00557A6F">
      <w:pPr>
        <w:pStyle w:val="avsnitt-tittel"/>
      </w:pPr>
      <w:r>
        <w:t>Mål 1 Sikre, miljøvennlige og tilgjengelige boliger og bygg</w:t>
      </w:r>
    </w:p>
    <w:p w:rsidR="00557A6F" w:rsidRDefault="00557A6F" w:rsidP="00557A6F">
      <w:r>
        <w:t>God byggkvalitet handler først og fremst om at boliger og bygg er sikre og miljøvennlige. I tillegg er god tilgjengelighet i bolig- og bygningsmassen viktig. Byggteknisk forskrift stiller minimum</w:t>
      </w:r>
      <w:r>
        <w:t>s</w:t>
      </w:r>
      <w:r>
        <w:t>krav til kvaliteter i bygg slik at viktige forbruker- og samfunnsinteresser ivaretas. I tillegg bruker staten økonomiske virkemidler for å fremme gode kvaliteter utover minimumskravene. Regj</w:t>
      </w:r>
      <w:r>
        <w:t>e</w:t>
      </w:r>
      <w:r>
        <w:t>ringen vil bidra til at boliger og bygg kan imøtekomme framtidige behov som følger av demogr</w:t>
      </w:r>
      <w:r>
        <w:t>a</w:t>
      </w:r>
      <w:r>
        <w:t>fiske endringer, miljøutfordringer og klim</w:t>
      </w:r>
      <w:r>
        <w:t>a</w:t>
      </w:r>
      <w:r>
        <w:t>endringer.</w:t>
      </w:r>
    </w:p>
    <w:p w:rsidR="00557A6F" w:rsidRDefault="00557A6F" w:rsidP="00557A6F">
      <w:pPr>
        <w:pStyle w:val="avsnitt-undertittel"/>
      </w:pPr>
      <w:r>
        <w:t>Rapport, strategier og tiltak</w:t>
      </w:r>
    </w:p>
    <w:p w:rsidR="00557A6F" w:rsidRDefault="00557A6F" w:rsidP="00557A6F">
      <w:r>
        <w:t>Utbyggerne følger tekniske krav og bygger med de kvaliteter boligkjøpere vil ha. Regjeringen tar sikte på at energikravene i TEK17, som allerede er strenge, skal skjerpes ytterligere blant annet som følge av klimaforliket. Det er en rekke hensyn som må vurderes når energikravene skal vid</w:t>
      </w:r>
      <w:r>
        <w:t>e</w:t>
      </w:r>
      <w:r>
        <w:t>reutvikles, som blant annet byggekostnader, driftskostnader, miljøkonsekvenser, energikravenes påvirkning på øvrige byg</w:t>
      </w:r>
      <w:r>
        <w:t>g</w:t>
      </w:r>
      <w:r>
        <w:t xml:space="preserve">kvaliteter og samspillet med energisystemet. </w:t>
      </w:r>
    </w:p>
    <w:p w:rsidR="00557A6F" w:rsidRDefault="00557A6F" w:rsidP="00557A6F">
      <w:r>
        <w:t>Staten stimulerer også til gode byggkvaliteter gjennom lån og tilskudd. I 2019 har departementet hatt forslag til ny forskrift om lån fra Husbanken på høring. Forslaget legger opp til at lån til b</w:t>
      </w:r>
      <w:r>
        <w:t>o</w:t>
      </w:r>
      <w:r>
        <w:t>ligkvalitet skal fremme miljø og tilgjengelighet i nye boliger. For eksisterende boliger innebærer forslaget at både tiltak innen energieffekt</w:t>
      </w:r>
      <w:r>
        <w:t>i</w:t>
      </w:r>
      <w:r>
        <w:t xml:space="preserve">visering og tilgjengelighet fortsatt skal være kriterier. Forslaget bidrar til et enklere og tydeligere regelverk for Husbankens lån, og legger til rette for en mer brukervennlig og digitalisert saksbehandling. Saken er nå til behandling i departementet. </w:t>
      </w:r>
    </w:p>
    <w:p w:rsidR="00557A6F" w:rsidRDefault="00557A6F" w:rsidP="00557A6F">
      <w:r>
        <w:lastRenderedPageBreak/>
        <w:t>I 2018 ble det gitt tilsagn om grunnlån til oppføring og oppgradering av 3 730 boliger for 6,6 mrd. kroner. Det ble gitt tilsagn om grunnlån til oppføring av 2 769 boliger. 2 377 av disse boligene ti</w:t>
      </w:r>
      <w:r>
        <w:t>l</w:t>
      </w:r>
      <w:r>
        <w:t>fredsstilte kvalitetskrav innenfor både energi og universell utforming utover kravene i byggteknisk forskrift. Av de 961 boligene som fikk grun</w:t>
      </w:r>
      <w:r>
        <w:t>n</w:t>
      </w:r>
      <w:r>
        <w:t>lån til oppgradering, tilfredsstilte 98 pst. energikrav og 43 pst. krav til universell utforming utover kravene i byggteknisk forskrift. Det ble gitt grunnlån til 99 boliger i forbilde- og pilotprosjekter. Se også omtale av Husbankens låneramme under kap. 2412, post 90 Nye lån.</w:t>
      </w:r>
    </w:p>
    <w:p w:rsidR="00557A6F" w:rsidRDefault="00557A6F" w:rsidP="00557A6F">
      <w:r>
        <w:t>Husbanken forvalter flere tilskudd som bidrar til gode byggkvaliteter. Tilskudd til heis skal bidra til å øke ti</w:t>
      </w:r>
      <w:r>
        <w:t>l</w:t>
      </w:r>
      <w:r>
        <w:t xml:space="preserve">gjengeligheten i boliger, mens tilskudd til tilstandsvurdering skal fremme energieffektive løsninger i eksisterende boliger og bygg. Tilskudd til tilpasning av bolig skal bidra til at personer med spesielle behov får tilpasset boligen til sine behov. Se nærmere omtale av tilskuddene under kap. 581, postene 75 og 79. </w:t>
      </w:r>
    </w:p>
    <w:p w:rsidR="00557A6F" w:rsidRDefault="00557A6F" w:rsidP="00557A6F">
      <w:r>
        <w:t>I henhold til plan- og bygningsloven § 11–2 skal «Kommuneplanens samfunnsdel ta stilling til langsiktige utfordringer». Husbankens tilskudd til etablering og tilpasning vil fra 2020 bli innle</w:t>
      </w:r>
      <w:r>
        <w:t>m</w:t>
      </w:r>
      <w:r>
        <w:t>met i komm</w:t>
      </w:r>
      <w:r>
        <w:t>u</w:t>
      </w:r>
      <w:r>
        <w:t>nerammen, jf. Prop. 91 L (2016–2017) og Innst. 376 L (2016–2017). Kommunene vil da få et mer helhetlig ansvar for å pla</w:t>
      </w:r>
      <w:r>
        <w:t>n</w:t>
      </w:r>
      <w:r>
        <w:t xml:space="preserve">legge </w:t>
      </w:r>
      <w:proofErr w:type="gramStart"/>
      <w:r>
        <w:t>og</w:t>
      </w:r>
      <w:proofErr w:type="gramEnd"/>
      <w:r>
        <w:t xml:space="preserve"> iverksette boligtiltak. </w:t>
      </w:r>
    </w:p>
    <w:p w:rsidR="00557A6F" w:rsidRDefault="00557A6F" w:rsidP="00557A6F">
      <w:pPr>
        <w:pStyle w:val="avsnitt-tittel"/>
      </w:pPr>
      <w:r>
        <w:t>Mål 2 Forutsigbare regler for effektiv ressursbruk i byggeprosessen</w:t>
      </w:r>
    </w:p>
    <w:p w:rsidR="00557A6F" w:rsidRDefault="00557A6F" w:rsidP="00557A6F">
      <w:r>
        <w:t>Regjeringen vil fortsette å forenkle plan- og bygningsloven og tilhørende forskrifter. Målet er ra</w:t>
      </w:r>
      <w:r>
        <w:t>s</w:t>
      </w:r>
      <w:r>
        <w:t>kere, enklere og rimeligere byggeprosesser. Digitalisering er et viktig verktøy for å oppnå dette. Regjeringen vil derfor stimulere til selvbetjeningsløsninger for søknader om byggetillatelser, at kommunikasjon i byg</w:t>
      </w:r>
      <w:r>
        <w:t>g</w:t>
      </w:r>
      <w:r>
        <w:t>sektoren går digitalt og at byggesøknader automatisk sjekkes mot gjeldende regelverk. En særlig utfor</w:t>
      </w:r>
      <w:r>
        <w:t>d</w:t>
      </w:r>
      <w:r>
        <w:t>ring er knyttet til fortetting og transformasjon i byer og tettsteder.</w:t>
      </w:r>
    </w:p>
    <w:p w:rsidR="00557A6F" w:rsidRDefault="00557A6F" w:rsidP="00557A6F">
      <w:r>
        <w:t>Enkelt og tilgjengelig regelverk, økt kompetanse, kontroll og offentlig tilsyn skal bidra til gode bygg og seriøsitet i byggenæringen.</w:t>
      </w:r>
    </w:p>
    <w:p w:rsidR="00557A6F" w:rsidRDefault="00557A6F" w:rsidP="00557A6F">
      <w:pPr>
        <w:pStyle w:val="avsnitt-undertittel"/>
      </w:pPr>
      <w:r>
        <w:t>Rapport, strategier og tiltak</w:t>
      </w:r>
    </w:p>
    <w:p w:rsidR="00557A6F" w:rsidRDefault="00557A6F" w:rsidP="00557A6F">
      <w:pPr>
        <w:pStyle w:val="avsnitt-under-undertittel"/>
      </w:pPr>
      <w:r>
        <w:t>Enklere regelverk</w:t>
      </w:r>
    </w:p>
    <w:p w:rsidR="00557A6F" w:rsidRDefault="00557A6F" w:rsidP="00557A6F">
      <w:r>
        <w:t>Departementet har sendt på høring forslag til lovendringer for å forenkle og tydeliggjøre beste</w:t>
      </w:r>
      <w:r>
        <w:t>m</w:t>
      </w:r>
      <w:r>
        <w:t>melsene i plan- og bygningslovens kapittel 31 om tiltak på eksisterende byggverk. Målet er at det skal bli enklere, rimeligere og mer forutsigbart for bolig- og bygningseiere å endre byggene sine. Det tas sikte på å ko</w:t>
      </w:r>
      <w:r>
        <w:t>m</w:t>
      </w:r>
      <w:r>
        <w:t>me tilbake til Stortinget i 2020. Departementet har også tatt initiativ for å sikre en mer ensartet kommunal praksis ved behandling av søknad om midlertidig brukstillatelse av nye bygg. Endringen vil i mange ti</w:t>
      </w:r>
      <w:r>
        <w:t>l</w:t>
      </w:r>
      <w:r>
        <w:t>feller redusere behandlingstiden. Tids- og kostnadsbesparelsen vil komme både næringen, kjøpere og leietakere til gode.</w:t>
      </w:r>
    </w:p>
    <w:p w:rsidR="00557A6F" w:rsidRDefault="00557A6F" w:rsidP="00557A6F">
      <w:r>
        <w:t>Departementet har også satt i gang et arbeid for å vurdere reglene for utbyggingsavtaler. Slike a</w:t>
      </w:r>
      <w:r>
        <w:t>v</w:t>
      </w:r>
      <w:r>
        <w:t>taler, som inngås mellom kommuner og utbyggere, kan innebære at grunneier eller utbygger er med på å finansiere offentlig infr</w:t>
      </w:r>
      <w:r>
        <w:t>a</w:t>
      </w:r>
      <w:r>
        <w:t>struktur. Departementet vil blant annet se nærmere på hvordan offentlig infrastruktur bør finansieres ved nyby</w:t>
      </w:r>
      <w:r>
        <w:t>g</w:t>
      </w:r>
      <w:r>
        <w:t>ging, og spesielt alternative modeller for hvordan utbyggere kan bidra i dette arbeidet.</w:t>
      </w:r>
    </w:p>
    <w:p w:rsidR="00557A6F" w:rsidRDefault="00557A6F" w:rsidP="00557A6F">
      <w:pPr>
        <w:pStyle w:val="avsnitt-under-undertittel"/>
      </w:pPr>
      <w:r>
        <w:t>Fulldigital byggesaksprosess</w:t>
      </w:r>
    </w:p>
    <w:p w:rsidR="00557A6F" w:rsidRDefault="00557A6F" w:rsidP="00557A6F">
      <w:r>
        <w:t>Gjennom oppfølging av ByggNett-strategien tilrettelegger Direktoratet for byggkvalitet (DiBK) for framtidens digitale byggsektor. I mars 2019 ble revidert strategi lagt fram under tittelen «Fellestj</w:t>
      </w:r>
      <w:r>
        <w:t>e</w:t>
      </w:r>
      <w:r>
        <w:t>nester BYGG – Regelverkets digitale motorvei.» Gjennom året har infrastrukturen for digital by</w:t>
      </w:r>
      <w:r>
        <w:t>g</w:t>
      </w:r>
      <w:r>
        <w:t>gesaksprosess blitt videreutviklet. Fellestjenester BYGG er basert på Altinn, og binder sammen digitale søknads- og saksbehandlingssystem i kommunene. Private leverandører leverer begge sy</w:t>
      </w:r>
      <w:r>
        <w:t>s</w:t>
      </w:r>
      <w:r>
        <w:t>temer. Fire tj</w:t>
      </w:r>
      <w:r>
        <w:t>e</w:t>
      </w:r>
      <w:r>
        <w:t>nesteleverandører tilbyr nå digitale byggesøknadsløsninger og to leverandører tilbyr system for digitalt nabovarsel. 160 kommuner har hittil anskaffet fagsystem for byggesaksbehan</w:t>
      </w:r>
      <w:r>
        <w:t>d</w:t>
      </w:r>
      <w:r>
        <w:t>ling etter eBygg</w:t>
      </w:r>
      <w:r>
        <w:t>e</w:t>
      </w:r>
      <w:r>
        <w:t>sak-standarden.</w:t>
      </w:r>
    </w:p>
    <w:p w:rsidR="00557A6F" w:rsidRDefault="009017E2" w:rsidP="009017E2">
      <w:pPr>
        <w:pStyle w:val="Figur"/>
      </w:pPr>
      <w:r>
        <w:lastRenderedPageBreak/>
        <w:t>[:figur:fig6-5.jpg]</w:t>
      </w:r>
    </w:p>
    <w:p w:rsidR="00557A6F" w:rsidRPr="009017E2" w:rsidRDefault="00557A6F" w:rsidP="00557A6F">
      <w:pPr>
        <w:pStyle w:val="figur-tittel"/>
      </w:pPr>
      <w:r w:rsidRPr="009017E2">
        <w:t>Fellestjenester BYGG</w:t>
      </w:r>
    </w:p>
    <w:p w:rsidR="00557A6F" w:rsidRDefault="00557A6F" w:rsidP="00557A6F">
      <w:pPr>
        <w:pStyle w:val="figur-noter"/>
      </w:pPr>
      <w:r>
        <w:t>Ved hjelp av Fellestjenester BYGG vil alle digitale byggesøknader komme til kommunene i et felles format og utsee</w:t>
      </w:r>
      <w:r>
        <w:t>n</w:t>
      </w:r>
      <w:r>
        <w:t>de, uavhengig av hvilket søknadssystem som er valgt. Fellestjenester BYGG tilbyr automatisk kontroll av en bygg</w:t>
      </w:r>
      <w:r>
        <w:t>e</w:t>
      </w:r>
      <w:r>
        <w:t>søknad før innsending til kommunen. I tillegg ivaretas digital videreformidling av søknader og videre dialog mellom søkeren og kommunen i forbindelse med behandling av søknaden.</w:t>
      </w:r>
    </w:p>
    <w:p w:rsidR="00557A6F" w:rsidRDefault="00557A6F" w:rsidP="00557A6F">
      <w:r>
        <w:lastRenderedPageBreak/>
        <w:t>Målet med Fellestjenester BYGG er at digital selvbetjening skal gjøre søknadsprosessen enkel og mer forutsigbar. Fellestjenesten skal gi flere korrekte og fullstendige byggesøknader, og bidra til økt likeb</w:t>
      </w:r>
      <w:r>
        <w:t>e</w:t>
      </w:r>
      <w:r>
        <w:t>handling. Digital saksbehandling i kommunene vil bidra til mer effektiv, forutsigbar og standardisert saksbehandling av byggesøknader. Arbeidet er basert på fire hovedtiltak:</w:t>
      </w:r>
    </w:p>
    <w:p w:rsidR="00557A6F" w:rsidRDefault="00557A6F" w:rsidP="00557A6F">
      <w:pPr>
        <w:pStyle w:val="Liste"/>
      </w:pPr>
      <w:r>
        <w:t>DiBK har lagt til rette for et marked for private aktører som kan tilby gode og innovative søknadslø</w:t>
      </w:r>
      <w:r>
        <w:t>s</w:t>
      </w:r>
      <w:r>
        <w:t xml:space="preserve">ninger og andre tjenester tilpasset innbyggere og ulike profesjonelle aktører. </w:t>
      </w:r>
    </w:p>
    <w:p w:rsidR="00557A6F" w:rsidRDefault="00557A6F" w:rsidP="00557A6F">
      <w:pPr>
        <w:pStyle w:val="Liste"/>
      </w:pPr>
      <w:r>
        <w:t>Fellestjenester BYGG kontrollerer søknader mot regelverket og sikrer informasjonsflyt mellom de ulike partene. Fellestjenesten er etablert på Altinn og bruker tilgjengelige statl</w:t>
      </w:r>
      <w:r>
        <w:t>i</w:t>
      </w:r>
      <w:r>
        <w:t>ge felleskomponenter i tillegg til KS sin FIKS-plattform.</w:t>
      </w:r>
    </w:p>
    <w:p w:rsidR="00557A6F" w:rsidRDefault="00557A6F" w:rsidP="00557A6F">
      <w:pPr>
        <w:pStyle w:val="Liste"/>
      </w:pPr>
      <w:r>
        <w:t>I nært samarbeid med KS sikrer DiBK at det finnes gode løsninger for byggesaksbehan</w:t>
      </w:r>
      <w:r>
        <w:t>d</w:t>
      </w:r>
      <w:r>
        <w:t>ling i kommunene. eByggesak er etablert som en ny standard for digital byggesaksbehan</w:t>
      </w:r>
      <w:r>
        <w:t>d</w:t>
      </w:r>
      <w:r>
        <w:t>ling.</w:t>
      </w:r>
    </w:p>
    <w:p w:rsidR="00557A6F" w:rsidRDefault="00557A6F" w:rsidP="00557A6F">
      <w:pPr>
        <w:pStyle w:val="Liste"/>
      </w:pPr>
      <w:r>
        <w:t>Langsiktig arbeid for å gjøre sektordata, planinformasjon og historiske data som er rel</w:t>
      </w:r>
      <w:r>
        <w:t>e</w:t>
      </w:r>
      <w:r>
        <w:t>vante for en by</w:t>
      </w:r>
      <w:r>
        <w:t>g</w:t>
      </w:r>
      <w:r>
        <w:t>gesak, tilgjengelig i de digitale søknadsløsningene. GeoLett er etablert som et eget prosjekt for å ivareta dette.</w:t>
      </w:r>
    </w:p>
    <w:p w:rsidR="00557A6F" w:rsidRDefault="00557A6F" w:rsidP="00557A6F">
      <w:r>
        <w:t>En mulighetsstudie utført av Devoteam for prosjektet Fellestjenester BYGG anslår et gevinstpote</w:t>
      </w:r>
      <w:r>
        <w:t>n</w:t>
      </w:r>
      <w:r>
        <w:t xml:space="preserve">sial i kommunal sektor og i byggenæringen på i alt 8,3 mrd. kroner over de neste 15 årene. </w:t>
      </w:r>
    </w:p>
    <w:p w:rsidR="00557A6F" w:rsidRDefault="00557A6F" w:rsidP="00557A6F">
      <w:r>
        <w:t>ByggSøk har vært statens løsning for elektroniske byggesøknader siden 2003. Teknologien har utvi</w:t>
      </w:r>
      <w:r>
        <w:t>k</w:t>
      </w:r>
      <w:r>
        <w:t>let seg mye på disse årene, og dagens nye løsninger gir helt andre muligheter og gevinster for alle brukere som har med by</w:t>
      </w:r>
      <w:r>
        <w:t>g</w:t>
      </w:r>
      <w:r>
        <w:t xml:space="preserve">gesaken å gjøre. På sikt vil ByggSøk stenges for nye byggesøknader. Systemet vil holdes åpent for avslutning av pågående saker inntil videre. Pågående saker kan også overføres til de nye systemene. </w:t>
      </w:r>
    </w:p>
    <w:p w:rsidR="00557A6F" w:rsidRDefault="00557A6F" w:rsidP="00557A6F">
      <w:r>
        <w:t>En forutsetning for å få til gode og effektive søknadsløsninger, er at brukerne får tilgang til nø</w:t>
      </w:r>
      <w:r>
        <w:t>d</w:t>
      </w:r>
      <w:r>
        <w:t>vendige og gode grunndata for forhåndsutfylling av byggesøknaden. Dette kan være matrikkeldata, plandata, temadata og historiske data. Sammen med Kartverket, Kommunal- og modernisering</w:t>
      </w:r>
      <w:r>
        <w:t>s</w:t>
      </w:r>
      <w:r>
        <w:t>departementet og KS, har DiBK startet prosjektet GeoLett for å sikre at gode grunndata gjøres ti</w:t>
      </w:r>
      <w:r>
        <w:t>l</w:t>
      </w:r>
      <w:r>
        <w:t>gjengelig. GeoLetts overordnede mål er å forbedre dat</w:t>
      </w:r>
      <w:r>
        <w:t>a</w:t>
      </w:r>
      <w:r>
        <w:t xml:space="preserve">grunnlaget for plan- og byggesaksprosessen ved </w:t>
      </w:r>
      <w:proofErr w:type="gramStart"/>
      <w:r>
        <w:t>å</w:t>
      </w:r>
      <w:proofErr w:type="gramEnd"/>
      <w:r>
        <w:t xml:space="preserve">: </w:t>
      </w:r>
    </w:p>
    <w:p w:rsidR="00557A6F" w:rsidRDefault="00557A6F" w:rsidP="00557A6F">
      <w:pPr>
        <w:pStyle w:val="Liste"/>
      </w:pPr>
      <w:r>
        <w:t>Fremme innovasjon når det gjelder metodebruk og digitale verktøy.</w:t>
      </w:r>
    </w:p>
    <w:p w:rsidR="00557A6F" w:rsidRDefault="00557A6F" w:rsidP="00557A6F">
      <w:pPr>
        <w:pStyle w:val="Liste"/>
      </w:pPr>
      <w:r>
        <w:t>Tilrettelegge for effektiv deling av informasjon.</w:t>
      </w:r>
    </w:p>
    <w:p w:rsidR="00557A6F" w:rsidRDefault="00557A6F" w:rsidP="00557A6F">
      <w:pPr>
        <w:pStyle w:val="Liste"/>
      </w:pPr>
      <w:r>
        <w:t>Bidra til å heve datakvalitet hos sektor-myndigheter og kommuner.</w:t>
      </w:r>
    </w:p>
    <w:p w:rsidR="00557A6F" w:rsidRDefault="00557A6F" w:rsidP="00557A6F">
      <w:r>
        <w:t>Gjennom FoU-prosjekter, pilotprosjekter og samarbeidsfora er det gjort viktige erfaringer om hvi</w:t>
      </w:r>
      <w:r>
        <w:t>l</w:t>
      </w:r>
      <w:r>
        <w:t>ke metoder det vil være hensiktsmessig å jobbe videre med for de ulike datasettene. Målet er å sette de ulike dataeierne i stand til å tilrettelegge sine data på en fordelaktig og god måte.</w:t>
      </w:r>
    </w:p>
    <w:p w:rsidR="00557A6F" w:rsidRDefault="00557A6F" w:rsidP="00557A6F">
      <w:pPr>
        <w:pStyle w:val="avsnitt-under-undertittel"/>
      </w:pPr>
      <w:r>
        <w:t>Samarbeid med byggenæringen</w:t>
      </w:r>
    </w:p>
    <w:p w:rsidR="00557A6F" w:rsidRDefault="00557A6F" w:rsidP="00557A6F">
      <w:r>
        <w:t>Bygg21 er et samarbeid mellom bygge- og eiendomsnæringen og statlige myndigheter. Målet er å legge til rette for at næringen kan løse utfordringer innenfor bærekraft, produktivitet og kostnad</w:t>
      </w:r>
      <w:r>
        <w:t>s</w:t>
      </w:r>
      <w:r>
        <w:t>utvikling bedre enn i dag. Bygg21 har gjennomført en rekke arrangementer for å spre beste praksis internt i n</w:t>
      </w:r>
      <w:r>
        <w:t>æ</w:t>
      </w:r>
      <w:r>
        <w:t xml:space="preserve">ringen, og for å inkludere hele næringen i dugnadsarbeidet. </w:t>
      </w:r>
    </w:p>
    <w:p w:rsidR="00557A6F" w:rsidRDefault="00557A6F" w:rsidP="00557A6F">
      <w:r>
        <w:t>I 2018 har Bygg21 hatt i oppdrag å vurdere mulighetene for bedre samhandling innad i byggepr</w:t>
      </w:r>
      <w:r>
        <w:t>o</w:t>
      </w:r>
      <w:r>
        <w:t>sjekter, og hvi</w:t>
      </w:r>
      <w:r>
        <w:t>l</w:t>
      </w:r>
      <w:r>
        <w:t>ke områder som har størst potensial for industrialisering og økt produktivitet. I 2019 leverte Bygg21 tre rapporter som svar på oppdraget. Bygg21 gir råd om hvordan næringen kan legge til rette for bedre samhandling i bygg</w:t>
      </w:r>
      <w:r>
        <w:t>e</w:t>
      </w:r>
      <w:r>
        <w:t>prosjekter, som kan bidra til kostnadsreduksjon. Videre gir Bygg21 råd om hvordan næringen kan legge til rette for industrialisering og hvordan bransjen kan etterspørre rett kompetanse til rett tid. I 2019 har Bygg21 også jo</w:t>
      </w:r>
      <w:r>
        <w:t>b</w:t>
      </w:r>
      <w:r>
        <w:t xml:space="preserve">bet med å spre resultatene fra tidligere oppdrag. </w:t>
      </w:r>
    </w:p>
    <w:p w:rsidR="00557A6F" w:rsidRDefault="00557A6F" w:rsidP="00557A6F">
      <w:pPr>
        <w:pStyle w:val="avsnitt-under-undertittel"/>
      </w:pPr>
      <w:r>
        <w:t>Byggkvalitet og tilsyn</w:t>
      </w:r>
    </w:p>
    <w:p w:rsidR="00557A6F" w:rsidRDefault="00557A6F" w:rsidP="00557A6F">
      <w:r>
        <w:t>Regjeringen viderefører innsatsen mot arbeidslivskriminalitet med forankring i sin reviderte strat</w:t>
      </w:r>
      <w:r>
        <w:t>e</w:t>
      </w:r>
      <w:r>
        <w:t>gi fra februar 2017. Regjeringen ønsker et godt og seriøst arbeidsliv i Norge. Da må arbeidslivets spilleregler fø</w:t>
      </w:r>
      <w:r>
        <w:t>l</w:t>
      </w:r>
      <w:r>
        <w:t>ges og arbeidslivskriminalitet forhindres og bekjempes. Noen av tiltakene er rettet mot bygge- og anleggsnæringen. I 2016 ble det innført seriøsitetskrav i den sentrale godkjenning</w:t>
      </w:r>
      <w:r>
        <w:t>s</w:t>
      </w:r>
      <w:r>
        <w:t>ordningen for foretak. Ordnin</w:t>
      </w:r>
      <w:r>
        <w:t>g</w:t>
      </w:r>
      <w:r>
        <w:lastRenderedPageBreak/>
        <w:t>en omfattet i 2018 13 600 foretak i bygge- og anleggsnæringen som betalte årsgebyr. De siste årene er o</w:t>
      </w:r>
      <w:r>
        <w:t>m</w:t>
      </w:r>
      <w:r>
        <w:t>fanget av tilsyn med foretakene økt betydelig. Dette bidrar til å sikre kvaliteten på foretakene i ordningen.</w:t>
      </w:r>
    </w:p>
    <w:p w:rsidR="00557A6F" w:rsidRDefault="00557A6F" w:rsidP="00557A6F">
      <w:r>
        <w:t>Våren 2018 ble Byggkvalitetutvalget satt ned. Utvalget, som er et uavhengig ekspertutvalg, skal blant annet evaluere dagens system med sentral godkjenning og ansvarsrett, og vurdere om or</w:t>
      </w:r>
      <w:r>
        <w:t>d</w:t>
      </w:r>
      <w:r>
        <w:t>ningen bør videreføres, forbedres eller om det finnes andre løsninger som er bedre egnet. Det er etablert en bredt sammensatt referansegruppe med deltakelse fra organisasjonene i bygg- og a</w:t>
      </w:r>
      <w:r>
        <w:t>n</w:t>
      </w:r>
      <w:r>
        <w:t xml:space="preserve">leggsnæringen. Utvalget skal levere sin tilrådning til kommunal- og moderniseringsministeren i februar 2020. Departementet vil vurdere rapporten når den foreligger. </w:t>
      </w:r>
    </w:p>
    <w:p w:rsidR="00557A6F" w:rsidRDefault="00557A6F" w:rsidP="00557A6F">
      <w:r>
        <w:t>DiBK har de senere årene styrket sitt markedstilsyn med produkter til byggverk. Formålet med ma</w:t>
      </w:r>
      <w:r>
        <w:t>r</w:t>
      </w:r>
      <w:r>
        <w:t>kedstilsynet er å sørge for at disse produktene oppfyller de tekniske kravene til helse, miljø og sikkerhet. DiBK både velger selv hvilke produkter og aktører som skal kontrolleres (proaktive ti</w:t>
      </w:r>
      <w:r>
        <w:t>l</w:t>
      </w:r>
      <w:r>
        <w:t>syn) og gjør tilsyn basert på bekymringsmeldinger og tips fra andre (reaktive tilsyn). I 2018 satte DiBK i gang 28 reaktive og 90 proaktive tilsyn. Henholdsvis 26 reaktive og 259 proaktive tilsyn ble avsluttet.</w:t>
      </w:r>
    </w:p>
    <w:p w:rsidR="00557A6F" w:rsidRDefault="00557A6F" w:rsidP="00557A6F">
      <w:r>
        <w:t>Det blir stadig mer krevende å føre tilsyn med byggevaremarkedet, blant annet fordi direkteimpo</w:t>
      </w:r>
      <w:r>
        <w:t>r</w:t>
      </w:r>
      <w:r>
        <w:t>ten til byggeplass øker. DiBK deltar derfor i nasjonale og internasjonale nettverk med andre ti</w:t>
      </w:r>
      <w:r>
        <w:t>l</w:t>
      </w:r>
      <w:r>
        <w:t>synsmyndigheter. DiBK har i perioden 2017–2020 særlig oppmerksomhet på å få større samlet effekt ut av kommunenes, direktoratets og andre myndigheters tilsyn med byggevirksomheten. DiBK vil rette tilsynet mot de produktene hvor det er størst risiko for at dokumentasjonen har feil. Likeledes vil det bli viktig å utnytte digitale hjelpemidler i tilsynsprosessene.</w:t>
      </w:r>
    </w:p>
    <w:p w:rsidR="00557A6F" w:rsidRDefault="00557A6F" w:rsidP="00557A6F">
      <w:pPr>
        <w:pStyle w:val="avsnitt-tittel"/>
      </w:pPr>
      <w:r>
        <w:t>Mål 3 Boliglover som fremmer trygge boforhold</w:t>
      </w:r>
    </w:p>
    <w:p w:rsidR="00557A6F" w:rsidRDefault="00557A6F" w:rsidP="00557A6F">
      <w:r>
        <w:t>Eierseksjonsloven, borettslagsloven og husleieloven skal fremme trygge boforhold for dem som eier b</w:t>
      </w:r>
      <w:r>
        <w:t>o</w:t>
      </w:r>
      <w:r>
        <w:t>liger i eierseksjonssameier og borettslag, og for dem som leier bolig.</w:t>
      </w:r>
    </w:p>
    <w:p w:rsidR="00557A6F" w:rsidRDefault="00557A6F" w:rsidP="00557A6F">
      <w:r>
        <w:t>Mange eier bolig i et eierseksjonssameie eller et borettslag. Totalt finnes det ca. 455 000 boligse</w:t>
      </w:r>
      <w:r>
        <w:t>k</w:t>
      </w:r>
      <w:r>
        <w:t>sjoner og 357 430 borettslagsboliger (andeler). Regjeringen er opptatt av at rettigheter og plikter fo</w:t>
      </w:r>
      <w:r>
        <w:t>r</w:t>
      </w:r>
      <w:r>
        <w:t>deles rettferdig mellom boligeierne. Enkeltpersoners interesser må balanseres og avveies mot hensynet til fellesskapet (de øvrige b</w:t>
      </w:r>
      <w:r>
        <w:t>e</w:t>
      </w:r>
      <w:r>
        <w:t xml:space="preserve">boerne). </w:t>
      </w:r>
    </w:p>
    <w:p w:rsidR="00557A6F" w:rsidRDefault="00557A6F" w:rsidP="00557A6F">
      <w:r>
        <w:t>Regjeringen er på samme måte opptatt av en rettferdig fordeling av rettigheter og plikter mellom partene i et husleieforhold. Ofte vil leier være den svakeste parten i leieforholdet. Lovgiver må derfor sørge for beskyttelse av noen grunnleggende rettigheter for leier. Samtidig må utleiers inte</w:t>
      </w:r>
      <w:r>
        <w:t>r</w:t>
      </w:r>
      <w:r>
        <w:t>esser ivaretas. Fra tid til annen vil det oppstå konflikter som partene ikke klarer å løse selv. Hu</w:t>
      </w:r>
      <w:r>
        <w:t>s</w:t>
      </w:r>
      <w:r>
        <w:t>leietvistutvalget skal løse disse tvistene med faglig integritet og høy effektivitet.</w:t>
      </w:r>
    </w:p>
    <w:p w:rsidR="00557A6F" w:rsidRDefault="00557A6F" w:rsidP="00557A6F">
      <w:pPr>
        <w:pStyle w:val="avsnitt-undertittel"/>
      </w:pPr>
      <w:r>
        <w:t>Rapport, strategier og tiltak</w:t>
      </w:r>
    </w:p>
    <w:p w:rsidR="00557A6F" w:rsidRDefault="00557A6F" w:rsidP="00557A6F">
      <w:pPr>
        <w:pStyle w:val="avsnitt-under-undertittel"/>
      </w:pPr>
      <w:r>
        <w:t>En ny og bedre eierseksjonslov</w:t>
      </w:r>
    </w:p>
    <w:p w:rsidR="00557A6F" w:rsidRDefault="00557A6F" w:rsidP="00557A6F">
      <w:r>
        <w:t>Ny eierseksjonslov trådte i kraft 1. januar 2018. Loven er mer moderne, brukervennlig og system</w:t>
      </w:r>
      <w:r>
        <w:t>a</w:t>
      </w:r>
      <w:r>
        <w:t>tisk enn den forrige loven. Klare og forståelige lover er viktig for å styrke demokratiet og rettssi</w:t>
      </w:r>
      <w:r>
        <w:t>k</w:t>
      </w:r>
      <w:r>
        <w:t>kerheten, og for å nå målet med lovene.</w:t>
      </w:r>
    </w:p>
    <w:p w:rsidR="00557A6F" w:rsidRDefault="00557A6F" w:rsidP="00557A6F">
      <w:r>
        <w:t>Med den nye eierseksjonsloven er den rettslige reguleringen av eierseksjonssameiene blitt bedre. Depart</w:t>
      </w:r>
      <w:r>
        <w:t>e</w:t>
      </w:r>
      <w:r>
        <w:t xml:space="preserve">mentet varslet imidlertid i Prop. 39 L (2016–2017) </w:t>
      </w:r>
      <w:r>
        <w:rPr>
          <w:rStyle w:val="kursiv"/>
          <w:spacing w:val="3"/>
          <w:sz w:val="21"/>
          <w:szCs w:val="21"/>
        </w:rPr>
        <w:t xml:space="preserve">Lov om eierseksjoner </w:t>
      </w:r>
      <w:r>
        <w:t>at det er behov for å forbedre reg</w:t>
      </w:r>
      <w:r>
        <w:t>u</w:t>
      </w:r>
      <w:r>
        <w:t>leringen av de store utbyggingsprosjektene. Lovendringer synes nødvendige for å sikre rasjonell drift av sameiene når utbyggingen er sluttført. Et uavhengig ekspertutvalg ble op</w:t>
      </w:r>
      <w:r>
        <w:t>p</w:t>
      </w:r>
      <w:r>
        <w:t>nevnt i september 2017, og leverte sin rapport 14. september 2018. Rapporten ble sendt på høring i januar 2019. Departementet tar sikte på å komme tilbake til Stortinget i 2020.</w:t>
      </w:r>
    </w:p>
    <w:p w:rsidR="00557A6F" w:rsidRDefault="00557A6F" w:rsidP="00557A6F">
      <w:r>
        <w:t>I forbindelse med behandlingen av regjeringens lovforslag våren 2017, vedtok Stortinget fire a</w:t>
      </w:r>
      <w:r>
        <w:t>n</w:t>
      </w:r>
      <w:r>
        <w:t>modningsvedtak. Vedtak nr. 705 inneholdt et ønske om å regulere «hyblifisering» i eierseksjonsl</w:t>
      </w:r>
      <w:r>
        <w:t>o</w:t>
      </w:r>
      <w:r>
        <w:t>ven (og i plan- og bygningsl</w:t>
      </w:r>
      <w:r>
        <w:t>o</w:t>
      </w:r>
      <w:r>
        <w:t>ven), mens vedtak nr. 706 inneholdt en anmodning om å regulere korttidsutleie i eierseksjonsloven. Vedtak nr. 707 omhandlet et ønske om å innskjerpe eierse</w:t>
      </w:r>
      <w:r>
        <w:t>k</w:t>
      </w:r>
      <w:r>
        <w:t>sjonslovens forbud mot å kjøpe flere enn to boliger i ett og samme eierseksjonssameie («erverv</w:t>
      </w:r>
      <w:r>
        <w:t>s</w:t>
      </w:r>
      <w:r>
        <w:t>begrensingen»). Det siste vedtaket – nr. 716 – inneholdt en anmodning om å innføre rett til å lade elbil i borettslag og sameier.</w:t>
      </w:r>
    </w:p>
    <w:p w:rsidR="00557A6F" w:rsidRDefault="00557A6F" w:rsidP="00557A6F">
      <w:r>
        <w:lastRenderedPageBreak/>
        <w:t>Til oppfølging av vedtak nr. 706 om korttidsutleie og 707 om ervervsbegrensingen sendte depa</w:t>
      </w:r>
      <w:r>
        <w:t>r</w:t>
      </w:r>
      <w:r>
        <w:t>tementet i mai 2018 et forslag på høring om å lovfeste klare grenser for hvor mye man kan kor</w:t>
      </w:r>
      <w:r>
        <w:t>t</w:t>
      </w:r>
      <w:r>
        <w:t>tidsutleie og et forslag om å skjerpe forbudet mot å kjøpe flere enn to boliger i ett og samme sa</w:t>
      </w:r>
      <w:r>
        <w:t>m</w:t>
      </w:r>
      <w:r>
        <w:t xml:space="preserve">eie. Forslagene fikk bred støtte, og ble fulgt opp i Prop. 36 L (2018–2019) </w:t>
      </w:r>
      <w:r>
        <w:rPr>
          <w:rStyle w:val="kursiv"/>
          <w:sz w:val="21"/>
          <w:szCs w:val="21"/>
        </w:rPr>
        <w:t>Endringar i eigarseksjon</w:t>
      </w:r>
      <w:r>
        <w:rPr>
          <w:rStyle w:val="kursiv"/>
          <w:sz w:val="21"/>
          <w:szCs w:val="21"/>
        </w:rPr>
        <w:t>s</w:t>
      </w:r>
      <w:r>
        <w:rPr>
          <w:rStyle w:val="kursiv"/>
          <w:sz w:val="21"/>
          <w:szCs w:val="21"/>
        </w:rPr>
        <w:t>lova mv. (korttidsutleige, skjerpa ervervsavgrensning og eigarskiftegebyr)</w:t>
      </w:r>
      <w:r>
        <w:t>. Forslagene ble vedtatt i Stortin</w:t>
      </w:r>
      <w:r>
        <w:t>g</w:t>
      </w:r>
      <w:r>
        <w:t xml:space="preserve">et 2. april 2019, og trer i kraft 1. januar 2020. </w:t>
      </w:r>
    </w:p>
    <w:p w:rsidR="00557A6F" w:rsidRDefault="00557A6F" w:rsidP="00557A6F">
      <w:r>
        <w:t>Anmodningsvedtak nr. 705 om hyblifisering og 716 om lading av elbil er fulgt opp gjennom et lovforslag som ble sendt på høring 3. mai 2019. Departementet tar sikte på å komme tilbake til Stortinget i 2020, jf. omtale av anmodningsvedtak i Del 1.</w:t>
      </w:r>
    </w:p>
    <w:p w:rsidR="00557A6F" w:rsidRDefault="00557A6F" w:rsidP="00557A6F">
      <w:pPr>
        <w:pStyle w:val="avsnitt-under-undertittel"/>
      </w:pPr>
      <w:r>
        <w:t>Oppmykning av reglene for korttidsutleie i borettslagsloven</w:t>
      </w:r>
    </w:p>
    <w:p w:rsidR="00557A6F" w:rsidRDefault="00557A6F" w:rsidP="00557A6F">
      <w:r>
        <w:t>Ett av formålene med borettslagsloven er å regulere rettigheter og plikter i borettslag. Loven fun</w:t>
      </w:r>
      <w:r>
        <w:t>g</w:t>
      </w:r>
      <w:r>
        <w:t>erer godt, og departementet ser ikke behov for å gjøre større endringer i denne. Departementet har imidlertid utredet en ny regel om korttidsutleie i loven. Bakgrunnen for den nye regelen er at mange opplever det som unødvendig strengt at eieren av en borettslagsleilighet ikke kan låne eller leie ut boligen sin for en uke eller to – uten å måtte søke styret om samtykke. Et forslag om å gi eiere av borettslagsleiligh</w:t>
      </w:r>
      <w:r>
        <w:t>e</w:t>
      </w:r>
      <w:r>
        <w:t xml:space="preserve">ter rett til å drive med korttiddsutleie i 30 dager i løpet av året, uten å måtte søke styret i forkant, ble derfor sendt på høring i mai 2018. Forslaget ble fulgt opp i Prop. 36 L (2018–2019) </w:t>
      </w:r>
      <w:r>
        <w:rPr>
          <w:rStyle w:val="kursiv"/>
          <w:spacing w:val="2"/>
          <w:sz w:val="21"/>
          <w:szCs w:val="21"/>
        </w:rPr>
        <w:t>Endringar i eigarseksjonslova mv. (korttidsutleige, skjerpa ervervsavgrensning og eigarski</w:t>
      </w:r>
      <w:r>
        <w:rPr>
          <w:rStyle w:val="kursiv"/>
          <w:spacing w:val="2"/>
          <w:sz w:val="21"/>
          <w:szCs w:val="21"/>
        </w:rPr>
        <w:t>f</w:t>
      </w:r>
      <w:r>
        <w:rPr>
          <w:rStyle w:val="kursiv"/>
          <w:spacing w:val="2"/>
          <w:sz w:val="21"/>
          <w:szCs w:val="21"/>
        </w:rPr>
        <w:t xml:space="preserve">tegebyr). </w:t>
      </w:r>
      <w:r>
        <w:t>Forslagene ble vedtatt i Stortinget 2. april 2019, og vil tre i kraft 1. januar 2020, sammen med de nye reglene om korttidsutleie i eierseksjonsloven, jf. omtale ovenfor.</w:t>
      </w:r>
    </w:p>
    <w:p w:rsidR="00557A6F" w:rsidRDefault="00557A6F" w:rsidP="00557A6F">
      <w:pPr>
        <w:pStyle w:val="avsnitt-tittel"/>
      </w:pPr>
      <w:r>
        <w:t>Mål 4 Vanskeligstilte på boligmarkedet skal kunne skaffe seg og beholde en egnet bolig</w:t>
      </w:r>
    </w:p>
    <w:p w:rsidR="00557A6F" w:rsidRDefault="00557A6F" w:rsidP="00557A6F">
      <w:r>
        <w:t>Regjeringen vil at alle skal ha mulighet til å skaffe seg en egnet bolig, og være en del av et trygt bomiljø og lokalsamfunn. Målet er at ingen skal være bostedsløs og at alle skal ha et trygt og godt sted å bo.</w:t>
      </w:r>
    </w:p>
    <w:p w:rsidR="00557A6F" w:rsidRDefault="00557A6F" w:rsidP="00557A6F">
      <w:r>
        <w:t>Regjeringen vil videre legge til rette for at så mange som mulig som ønsker det, skal kunne eie sin egen bolig. Samtidig er det viktig å stimulere til flere og mer egnede utleieboliger for vanskelig</w:t>
      </w:r>
      <w:r>
        <w:t>s</w:t>
      </w:r>
      <w:r>
        <w:t>tilte på boligmarkedet. Disse målsettingene er forankret i regjeringens nasjonale strategi for boli</w:t>
      </w:r>
      <w:r>
        <w:t>g</w:t>
      </w:r>
      <w:r>
        <w:t>sosialt arbeid Bolig for velferd (2014–2020).</w:t>
      </w:r>
    </w:p>
    <w:p w:rsidR="00557A6F" w:rsidRDefault="00557A6F" w:rsidP="00557A6F">
      <w:pPr>
        <w:pStyle w:val="avsnitt-undertittel"/>
      </w:pPr>
      <w:r>
        <w:t>Rapport, strategier og tiltak</w:t>
      </w:r>
    </w:p>
    <w:p w:rsidR="00557A6F" w:rsidRDefault="00557A6F" w:rsidP="00557A6F">
      <w:pPr>
        <w:pStyle w:val="avsnitt-under-undertittel"/>
      </w:pPr>
      <w:r>
        <w:t>Ny vurdering av mål, virkemidler og roller i den boligsosiale politikken</w:t>
      </w:r>
    </w:p>
    <w:p w:rsidR="00557A6F" w:rsidRDefault="00557A6F" w:rsidP="00557A6F">
      <w:r>
        <w:t>Regjeringen har igangsatt og gjennomført tiltak som bidrar til raskere og rimeligere boligbygging. Slik kan flest mulig skaffe seg en bolig. Samtidig har regjeringen høye ambisjoner om å hjelpe dem som i dag står i fare for å bli eller er vanskeligstilte på boligmarkedet. Forrige melding til Stortinget om b</w:t>
      </w:r>
      <w:r>
        <w:t>o</w:t>
      </w:r>
      <w:r>
        <w:t>ligpolitikken ble lagt fram i 2013. Siden den gang har både utfordringene og virkemidlene endret seg, og det er behov for å gjøre en ny vurdering av mål, virkemidler og roller. Regjeringen tar sikte på å legge fram en melding om den boligsosiale politikken for Stortinget i løpet av 2020.</w:t>
      </w:r>
    </w:p>
    <w:p w:rsidR="00557A6F" w:rsidRDefault="00557A6F" w:rsidP="00557A6F">
      <w:pPr>
        <w:pStyle w:val="avsnitt-under-undertittel"/>
      </w:pPr>
      <w:r>
        <w:t>«Bolig for velferd» styrker det boligsosiale arbeidet</w:t>
      </w:r>
    </w:p>
    <w:p w:rsidR="00557A6F" w:rsidRDefault="00557A6F" w:rsidP="00557A6F">
      <w:r>
        <w:rPr>
          <w:rStyle w:val="kursiv"/>
          <w:sz w:val="21"/>
          <w:szCs w:val="21"/>
        </w:rPr>
        <w:t xml:space="preserve">Bolig for velferd – Nasjonal strategi for boligsosialt arbeid (2014–2020) </w:t>
      </w:r>
      <w:r>
        <w:t>gir retningen for arbeidet med b</w:t>
      </w:r>
      <w:r>
        <w:t>o</w:t>
      </w:r>
      <w:r>
        <w:t>liger og oppfølgingstjenester for vanskeligstilte på boligmarkedet til 2020. Strategien skal bidra til at kommunene møter en samordnet stat og får bedre rammebetingelser</w:t>
      </w:r>
      <w:r>
        <w:rPr>
          <w:rStyle w:val="kursiv"/>
          <w:sz w:val="21"/>
          <w:szCs w:val="21"/>
        </w:rPr>
        <w:t xml:space="preserve"> </w:t>
      </w:r>
      <w:r>
        <w:t>i arbeidet. Barn og unge er en pri</w:t>
      </w:r>
      <w:r>
        <w:t>o</w:t>
      </w:r>
      <w:r>
        <w:t>ritert målgruppe.</w:t>
      </w:r>
    </w:p>
    <w:p w:rsidR="00557A6F" w:rsidRDefault="00557A6F" w:rsidP="00557A6F">
      <w:r>
        <w:t>Målene i strategien er:</w:t>
      </w:r>
    </w:p>
    <w:p w:rsidR="00557A6F" w:rsidRDefault="00557A6F" w:rsidP="00A833AD">
      <w:pPr>
        <w:pStyle w:val="Nummerertliste"/>
        <w:numPr>
          <w:ilvl w:val="0"/>
          <w:numId w:val="33"/>
        </w:numPr>
      </w:pPr>
      <w:r>
        <w:t xml:space="preserve">Alle skal ha et godt sted å bo. </w:t>
      </w:r>
    </w:p>
    <w:p w:rsidR="00557A6F" w:rsidRDefault="00557A6F" w:rsidP="00557A6F">
      <w:pPr>
        <w:pStyle w:val="Nummerertliste"/>
      </w:pPr>
      <w:r>
        <w:t xml:space="preserve">Alle med behov for tjenester skal få hjelp til å mestre boforholdet. </w:t>
      </w:r>
    </w:p>
    <w:p w:rsidR="00557A6F" w:rsidRDefault="00557A6F" w:rsidP="00557A6F">
      <w:pPr>
        <w:pStyle w:val="Nummerertliste"/>
      </w:pPr>
      <w:r>
        <w:t xml:space="preserve">Den offentlige innsatsen skal være helhetlig og effektiv. </w:t>
      </w:r>
    </w:p>
    <w:p w:rsidR="00557A6F" w:rsidRDefault="00557A6F" w:rsidP="00557A6F">
      <w:r>
        <w:t>Arbeids- og sosialdepartementet, Barne- og familiedepartementet, Helse- og omsorgsdeparteme</w:t>
      </w:r>
      <w:r>
        <w:t>n</w:t>
      </w:r>
      <w:r>
        <w:t>tet, Justis- og beredskapsdepartementet og Kunnskapsdepartementet er sammen med Kommunal- og moderni</w:t>
      </w:r>
      <w:r>
        <w:lastRenderedPageBreak/>
        <w:t>seringsdepartementet ansvarlige for strategien. Seks underliggende direktorater gje</w:t>
      </w:r>
      <w:r>
        <w:t>n</w:t>
      </w:r>
      <w:r>
        <w:t>nomfører. Husbanken koordinerer direktoratsarbeidet, og Fylkesmannen jobber for statlig samor</w:t>
      </w:r>
      <w:r>
        <w:t>d</w:t>
      </w:r>
      <w:r>
        <w:t>ning overfor kommun</w:t>
      </w:r>
      <w:r>
        <w:t>e</w:t>
      </w:r>
      <w:r>
        <w:t>ne. Fylkesmannen skal også bidra til at boligsosiale hensyn vektlegges i helhetlig kommunal planlegging. Se nærmere omtale av fylkesmannens innsats under programk</w:t>
      </w:r>
      <w:r>
        <w:t>a</w:t>
      </w:r>
      <w:r>
        <w:t>tegori 13.25.</w:t>
      </w:r>
    </w:p>
    <w:p w:rsidR="00557A6F" w:rsidRDefault="00557A6F" w:rsidP="00557A6F">
      <w:r>
        <w:t>Viktige resultater fra det boligsosiale arbeidet er:</w:t>
      </w:r>
    </w:p>
    <w:p w:rsidR="00557A6F" w:rsidRDefault="00557A6F" w:rsidP="00557A6F">
      <w:pPr>
        <w:pStyle w:val="Liste"/>
      </w:pPr>
      <w:r>
        <w:t>Antall bostedsløse er redusert fra 6 200 til 3 900 personer i perioden 2012–2016. Dette er det laveste tallet siden kartlegginger av bostedsløse startet i 1996. Antall bostedsløse barn ble i denne perioden mer enn halvert</w:t>
      </w:r>
      <w:r>
        <w:rPr>
          <w:vertAlign w:val="superscript"/>
        </w:rPr>
        <w:footnoteReference w:id="14"/>
      </w:r>
      <w:r>
        <w:t xml:space="preserve">. </w:t>
      </w:r>
    </w:p>
    <w:p w:rsidR="00557A6F" w:rsidRDefault="00557A6F" w:rsidP="00557A6F">
      <w:pPr>
        <w:pStyle w:val="Liste"/>
      </w:pPr>
      <w:r>
        <w:t>Bruken av midlertidige botilbud har gått ned. Andelen som oppholder seg i midlertidige botilbud lenger enn tre måneder er redusert fra 25 pst. til 19 pst. i perioden 2015–2018. Antallet barnefamilier i midlertidig botilbud ble redusert fra 363 familier i 2014 til 218 f</w:t>
      </w:r>
      <w:r>
        <w:t>a</w:t>
      </w:r>
      <w:r>
        <w:t>milier i 2018.</w:t>
      </w:r>
    </w:p>
    <w:p w:rsidR="00557A6F" w:rsidRDefault="00557A6F" w:rsidP="00557A6F">
      <w:pPr>
        <w:pStyle w:val="Liste"/>
      </w:pPr>
      <w:r>
        <w:t xml:space="preserve">Andelen av de boligsosiale virkemidlene som går til barnefamilier har økt. For eksempel gikk 55 pst. av alle startlån til barnefamilier i 2018, mot 47 pst. i 2014. </w:t>
      </w:r>
    </w:p>
    <w:p w:rsidR="00557A6F" w:rsidRDefault="00557A6F" w:rsidP="00557A6F">
      <w:pPr>
        <w:pStyle w:val="Liste"/>
      </w:pPr>
      <w:r>
        <w:t>Så langt i strategiperioden har kommunene bosatt over 50 000 flyktninger.</w:t>
      </w:r>
    </w:p>
    <w:p w:rsidR="00557A6F" w:rsidRDefault="00557A6F" w:rsidP="00557A6F">
      <w:r>
        <w:t>Ett av to prioriterte tiltak i strategiarbeidet er å tilrettelegge for at vanskeligstilte barnefamilier bor i egnet bolig. Barn i lavinntektsfamilier bor ofte dårligere og trangere enn andre, og de bor sjeldnere i en bolig som familien selv eier. Barnefamilier som bor i kommunale utleieboliger har oftere en dårligere bostandard og mer utrygge bomiljøer enn andre. Innsatsen rettet mot barn som vokser opp i familier med vedvarende lav inntekt er styrket, blant annet gjennom økning av bostøtten og ti</w:t>
      </w:r>
      <w:r>
        <w:t>l</w:t>
      </w:r>
      <w:r>
        <w:t>skudd til etabl</w:t>
      </w:r>
      <w:r>
        <w:t>e</w:t>
      </w:r>
      <w:r>
        <w:t>ring i 2019.</w:t>
      </w:r>
    </w:p>
    <w:p w:rsidR="00557A6F" w:rsidRDefault="00557A6F" w:rsidP="00557A6F">
      <w:r>
        <w:t>Det andre prioriterte tiltaket er å bidra til et helhetlig tilbud av boliger og tjenester for personer med rusmi</w:t>
      </w:r>
      <w:r>
        <w:t>d</w:t>
      </w:r>
      <w:r>
        <w:t xml:space="preserve">delavhengighet og psykiske lidelser. Målet om at flere rusavhengige får et egnet sted å bo er også en målsetning i </w:t>
      </w:r>
      <w:r>
        <w:rPr>
          <w:rStyle w:val="kursiv"/>
          <w:spacing w:val="3"/>
          <w:sz w:val="21"/>
          <w:szCs w:val="21"/>
        </w:rPr>
        <w:t>Opptrappingsplanen for rusfeltet (2016–2020)</w:t>
      </w:r>
      <w:r>
        <w:t>. For 2019 er 50 mill. kroner inne</w:t>
      </w:r>
      <w:r>
        <w:t>n</w:t>
      </w:r>
      <w:r>
        <w:t>for tilskudd til utlei</w:t>
      </w:r>
      <w:r>
        <w:t>e</w:t>
      </w:r>
      <w:r>
        <w:t>boliger øremerket boliger for personer med rusproblemer. Ved utgangen av juli 2019 var det gitt tilsagn til 46 boliger for totalt 19 mill. kroner til målgruppen. Arbeidet ses også i sammenheng med nasjonal strategi for samordnet tilbakeføring etter gjennomført straff (2017–2021).</w:t>
      </w:r>
    </w:p>
    <w:p w:rsidR="00557A6F" w:rsidRDefault="00557A6F" w:rsidP="00557A6F">
      <w:pPr>
        <w:pStyle w:val="avsnitt-under-undertittel"/>
      </w:pPr>
      <w:r>
        <w:t>Bostøtte – hjelp til de med lave inntekter og høye boutgifter</w:t>
      </w:r>
    </w:p>
    <w:p w:rsidR="00557A6F" w:rsidRDefault="00557A6F" w:rsidP="00557A6F">
      <w:r>
        <w:t>Bostøtte skal gi husstander med lave inntekter og høye boutgifter mulighet til å skaffe seg og b</w:t>
      </w:r>
      <w:r>
        <w:t>e</w:t>
      </w:r>
      <w:r>
        <w:t>holde en egnet bolig. Regjeringen vil sørge for en god bostøtteordning som er målrettet mot dem som trenger det mest. Både omleggingen i 2017 til å bruke oppdaterte inntektsdata og nye rutiner som sikrer at realve</w:t>
      </w:r>
      <w:r>
        <w:t>r</w:t>
      </w:r>
      <w:r>
        <w:t>dien av bostøtten opprettholdes år for år, er viktige tiltak for å oppnå dette. Beregning på grunnlag av oppdaterte inntektsdata gir færre feilutbetalinger enn tidligere. Som følge av dette gikk summen Hu</w:t>
      </w:r>
      <w:r>
        <w:t>s</w:t>
      </w:r>
      <w:r>
        <w:t xml:space="preserve">banken måtte vurdere å kreve tilbake ned fra 213 mill. kroner for 2016 til 47 mill. kroner for 2017. Antall saker gikk ned fra 9 100 til 3 100. </w:t>
      </w:r>
    </w:p>
    <w:p w:rsidR="00557A6F" w:rsidRDefault="00557A6F" w:rsidP="00557A6F">
      <w:r>
        <w:t>I 2018 utbetalte Husbanken 2 697 mill. kroner i bostøtte. Mottakerne hadde i gjennomsnitt årlige boutgifter på om lag 95 200 kroner og en årlig brutto skattbar husstandsinntekt på om lag 134 000 kroner. Mange husstander som mottar bostøtte har i tillegg inntekter som ikke inngår i husstandens skat</w:t>
      </w:r>
      <w:r>
        <w:t>t</w:t>
      </w:r>
      <w:r>
        <w:t>bare inntekt, herunder sosialhjelp og ulike barnebidrag. I desember 2018 fikk om lag 88 200 husstander bostøtte.</w:t>
      </w:r>
    </w:p>
    <w:p w:rsidR="00557A6F" w:rsidRDefault="00557A6F" w:rsidP="00557A6F">
      <w:r>
        <w:t>Tall fra Statistisk sentralbyrå viser at andelen barn som lever i fattigdom har økt helt siden begy</w:t>
      </w:r>
      <w:r>
        <w:t>n</w:t>
      </w:r>
      <w:r>
        <w:t>nelsen av 2000-tallet. I 2001 tilhørte 3,3 pst. av alle barn en husholdning med vedvarende lavin</w:t>
      </w:r>
      <w:r>
        <w:t>n</w:t>
      </w:r>
      <w:r>
        <w:t>tekt. I 2013 og 2017 var andelen økt til henholdsvis 8,6 pst. og 10,7 pst. For å redusere barnefa</w:t>
      </w:r>
      <w:r>
        <w:t>t</w:t>
      </w:r>
      <w:r>
        <w:t xml:space="preserve">tigdom ble bostøtten for barnefamilier og andre store husstander, styrket betydelig i 2019. </w:t>
      </w:r>
    </w:p>
    <w:p w:rsidR="00557A6F" w:rsidRDefault="00557A6F" w:rsidP="00557A6F">
      <w:r>
        <w:t xml:space="preserve">Uførereformen, som ble innført 1. januar 2015, innebar at uføre fikk høyere inntekt og samtidig høyere skatt. Uføretrygden ble skattemessig likestilt med lønnsinntekt. Siden bostøtten beregnes på bakgrunn av </w:t>
      </w:r>
      <w:r>
        <w:lastRenderedPageBreak/>
        <w:t>skattbar inntekt, medførte dette lavere bostøtte for uføre. En midlertidig kompens</w:t>
      </w:r>
      <w:r>
        <w:t>a</w:t>
      </w:r>
      <w:r>
        <w:t>sjonsordning hindret imidlertid nedgang i bostøtten for uføre som mottok bostøtte før reformen. Ordningen ble permanent i 2019. Dermed sikres mottake</w:t>
      </w:r>
      <w:r>
        <w:t>r</w:t>
      </w:r>
      <w:r>
        <w:t xml:space="preserve">ne større forutsigbarhet om framtidig bostøtte. I januar 2019 gjaldt dette om lag 12 000 uføre. </w:t>
      </w:r>
    </w:p>
    <w:p w:rsidR="00557A6F" w:rsidRDefault="00557A6F" w:rsidP="00557A6F">
      <w:r>
        <w:t>Tilpasninger i bostøtteregelverket sikrer at enslige alderspensjonister fikk beholde bostøtten da minste pensjon</w:t>
      </w:r>
      <w:r>
        <w:t>s</w:t>
      </w:r>
      <w:r>
        <w:t>nivå, særskilt sats for enslige, økte med 4 000 kroner fra 1. september 2019. En annen tilpassing av regelverket sikrer at unge uføre som er omfattet av overgangsordningen fra 2009 ikke lenger risikerer å falle ut av overgangsordningen på grunn av etterbetalt trygd etter reg</w:t>
      </w:r>
      <w:r>
        <w:t>u</w:t>
      </w:r>
      <w:r>
        <w:t>lering av grunnbeløpet G. Disse endringene berører om lag 12 000 alderspensjonister og 200 unge uføre.</w:t>
      </w:r>
    </w:p>
    <w:p w:rsidR="00557A6F" w:rsidRDefault="00557A6F" w:rsidP="00557A6F">
      <w:pPr>
        <w:pStyle w:val="avsnitt-under-undertittel"/>
      </w:pPr>
      <w:r>
        <w:t>Hjelp til eie</w:t>
      </w:r>
    </w:p>
    <w:p w:rsidR="00557A6F" w:rsidRDefault="00557A6F" w:rsidP="00557A6F">
      <w:r>
        <w:t>Regjeringen vil legge til rette for at så mange som mulig som ønsker det, skal kunne eie sin egen bolig. Startlån fremmer eierlinjen ved å bidra til at også de med langvarige finansieringsproblemer skal kunne eie bolig. Kommunene formidlet i 2018 startlån for 9,3 mrd. kroner fordelt på 6 900 husstander. Gjennomsnittlig startlån per bolig økte med om lag 120 000 kroner, til 1 342 000 kr</w:t>
      </w:r>
      <w:r>
        <w:t>o</w:t>
      </w:r>
      <w:r>
        <w:t>ner, fra 2017 til 2018. Til sammenlikning var gjennomsnittlig startlån per bolig 580 000 kroner i 2010. Økningen skyldes at flere får startlån til å fullfinansiere boliger, og at det har vært en generell prisstigning på boliger. At flere får star</w:t>
      </w:r>
      <w:r>
        <w:t>t</w:t>
      </w:r>
      <w:r>
        <w:t xml:space="preserve">lån til </w:t>
      </w:r>
      <w:proofErr w:type="gramStart"/>
      <w:r>
        <w:t>å</w:t>
      </w:r>
      <w:proofErr w:type="gramEnd"/>
      <w:r>
        <w:t xml:space="preserve"> fulllfinansiere boligen henger igjen sammen med at regjeringen har målrettet ordningen mot dem som trenger det mest. Flere barnefamilier fikk startlån i 2018 sammenlignet med 2017, og 55 pst. av alle startlån gikk til barnefamilier.</w:t>
      </w:r>
    </w:p>
    <w:p w:rsidR="00557A6F" w:rsidRDefault="00557A6F" w:rsidP="00557A6F">
      <w:r>
        <w:t>Startlån vil også i 2020 være prioritert innenfor Husbankens låneramme. Regjeringen foreslår en lån</w:t>
      </w:r>
      <w:r>
        <w:t>e</w:t>
      </w:r>
      <w:r>
        <w:t>ramme på 16 mrd. kroner i 2020, jf. omtale under kap. 2412, post 90 Nye lån.</w:t>
      </w:r>
    </w:p>
    <w:p w:rsidR="00557A6F" w:rsidRDefault="00557A6F" w:rsidP="00557A6F">
      <w:r>
        <w:t>Husbanken skal prioritere arbeidet med å hjelpe vanskeligstilte barnefamilier fra leie til eie. For å bidra til å r</w:t>
      </w:r>
      <w:r>
        <w:t>e</w:t>
      </w:r>
      <w:r>
        <w:t>dusere barnefattigdom ble bevilgningen til tilskudd til etablering økt med 110 mill. kroner i revidert nasjonalbudsjett for 2019, jf. Prop. 114 S (2018–2019)</w:t>
      </w:r>
      <w:r>
        <w:rPr>
          <w:rStyle w:val="kursiv"/>
          <w:sz w:val="21"/>
          <w:szCs w:val="21"/>
        </w:rPr>
        <w:t xml:space="preserve"> Tilleggsbevilgninger og o</w:t>
      </w:r>
      <w:r>
        <w:rPr>
          <w:rStyle w:val="kursiv"/>
          <w:sz w:val="21"/>
          <w:szCs w:val="21"/>
        </w:rPr>
        <w:t>m</w:t>
      </w:r>
      <w:r>
        <w:rPr>
          <w:rStyle w:val="kursiv"/>
          <w:sz w:val="21"/>
          <w:szCs w:val="21"/>
        </w:rPr>
        <w:t xml:space="preserve">prioriteringer i statsbudsjettet for 2019 </w:t>
      </w:r>
      <w:r>
        <w:t>og Innst. 391 S (2018–2019). Det vil sikre at flere familier får bedre boforhold, samtidig som flere utleieboliger frigjøres til andre vanskeligstilte. I 2018 ble det gitt tilskudd til etablering til 1 663 husstander for 411 mill. kroner. Dette er en økning i antall mo</w:t>
      </w:r>
      <w:r>
        <w:t>t</w:t>
      </w:r>
      <w:r>
        <w:t>takere på 5 pst. fra året før. 46 pst. av samlet utbetalte tilskudd til etablering i 2018 gikk til barn</w:t>
      </w:r>
      <w:r>
        <w:t>e</w:t>
      </w:r>
      <w:r>
        <w:t>familier.</w:t>
      </w:r>
    </w:p>
    <w:p w:rsidR="00557A6F" w:rsidRDefault="00557A6F" w:rsidP="00557A6F">
      <w:pPr>
        <w:pStyle w:val="avsnitt-under-undertittel"/>
      </w:pPr>
      <w:r>
        <w:t>Flere egnede utleieboliger</w:t>
      </w:r>
    </w:p>
    <w:p w:rsidR="00557A6F" w:rsidRDefault="00557A6F" w:rsidP="00557A6F">
      <w:r>
        <w:t>Regjeringen har forenklet reglene for eksisterende bygg, slik at det blir enklere og billigere å ti</w:t>
      </w:r>
      <w:r>
        <w:t>l</w:t>
      </w:r>
      <w:r>
        <w:t>passe boligen til utleie. Det er lempet på tekniske krav ved bruksendring i bolig, fra for eksempel bod til soverom i bolig. Dermed kan mer areal i boligmassen bli godkjent som boligareal til utleie. Å ta i bruk en større del av eksisterende boligmasse til boligformål er fornuftig ut fra samfunn</w:t>
      </w:r>
      <w:r>
        <w:t>s</w:t>
      </w:r>
      <w:r>
        <w:t>økonomiske, mi</w:t>
      </w:r>
      <w:r>
        <w:t>l</w:t>
      </w:r>
      <w:r>
        <w:t>jømessige og privatøkonomiske hensyn. Dette kan øke tilbudet av utleieboliger slik at flere får en e</w:t>
      </w:r>
      <w:r>
        <w:t>g</w:t>
      </w:r>
      <w:r>
        <w:t>net bolig.</w:t>
      </w:r>
    </w:p>
    <w:p w:rsidR="00557A6F" w:rsidRDefault="00557A6F" w:rsidP="00557A6F">
      <w:r>
        <w:t>I 2018 var det totalt 110 171 kommunalt disponerte boliger i Norge, jf. tall fra Komm</w:t>
      </w:r>
      <w:r>
        <w:t>u</w:t>
      </w:r>
      <w:r>
        <w:t>ne-Stat-Rapportering (KOSTRA). Dette er 813 færre enn i 2017, men 1 165 flere enn i 2016. Ne</w:t>
      </w:r>
      <w:r>
        <w:t>d</w:t>
      </w:r>
      <w:r>
        <w:t>gangen fra 2017 til 2018 må ses i sammenheng med at det var større behov for bosetting av flyk</w:t>
      </w:r>
      <w:r>
        <w:t>t</w:t>
      </w:r>
      <w:r>
        <w:t>ninger i komm</w:t>
      </w:r>
      <w:r>
        <w:t>u</w:t>
      </w:r>
      <w:r>
        <w:t>nene i 2017 enn i 2018. Det er antall innleide boliger som er redusert, mens antallet kommunalt eide boliger har økt. I 2018 fikk 19 600 hu</w:t>
      </w:r>
      <w:r>
        <w:t>s</w:t>
      </w:r>
      <w:r>
        <w:t xml:space="preserve">stander tildelt kommunal bolig, noe som er 1 000 færre enn i 2017. </w:t>
      </w:r>
    </w:p>
    <w:p w:rsidR="00557A6F" w:rsidRDefault="00557A6F" w:rsidP="00557A6F">
      <w:r>
        <w:t>I 2018 ga Husbanken tilsagn om tilskudd til 675 utleieboliger, noe som er 659 færre enn i 2017. E</w:t>
      </w:r>
      <w:r>
        <w:t>t</w:t>
      </w:r>
      <w:r>
        <w:t>terspørselen etter tilskudd til utleieboliger har vært fallende de siste årene. Lavere etterspørsel skyldes trolig først og fremst at kommunene har investert i et høyt antall utleieboliger de siste år</w:t>
      </w:r>
      <w:r>
        <w:t>e</w:t>
      </w:r>
      <w:r>
        <w:t>ne, og at det skal bosettes langt færre flyk</w:t>
      </w:r>
      <w:r>
        <w:t>t</w:t>
      </w:r>
      <w:r>
        <w:t>ninger enn det som har vært anslått for få år tilbake. Etter mange år der tilsagnsrammen i stor grad har blitt b</w:t>
      </w:r>
      <w:r>
        <w:t>e</w:t>
      </w:r>
      <w:r>
        <w:t>nyttet fullt ut, ble det i 2018 kun gitt tilsagn for 394,4 mill. kroner. Se omtale under kap. 581, post 76 Utleiebol</w:t>
      </w:r>
      <w:r>
        <w:t>i</w:t>
      </w:r>
      <w:r>
        <w:t xml:space="preserve">ger. </w:t>
      </w:r>
    </w:p>
    <w:p w:rsidR="00557A6F" w:rsidRDefault="00557A6F" w:rsidP="00557A6F">
      <w:r>
        <w:t>I 2018 ga Husbanken tilsagn om 1 519,5 mill. kroner i grunnlån til kjøp og oppføring av 734 utle</w:t>
      </w:r>
      <w:r>
        <w:t>i</w:t>
      </w:r>
      <w:r>
        <w:t>eboliger. Av dette gikk 1 036 mill. kroner til kjøp og oppføring av 425 boliger i private utleiepr</w:t>
      </w:r>
      <w:r>
        <w:t>o</w:t>
      </w:r>
      <w:r>
        <w:t xml:space="preserve">sjekter hvor </w:t>
      </w:r>
      <w:r>
        <w:lastRenderedPageBreak/>
        <w:t>en andel av boligene er med kommunal tilvisningsavtale. I første halvår 2019 ga Hu</w:t>
      </w:r>
      <w:r>
        <w:t>s</w:t>
      </w:r>
      <w:r>
        <w:t>banken tilsagn om grunnlån til kjøp og op</w:t>
      </w:r>
      <w:r>
        <w:t>p</w:t>
      </w:r>
      <w:r>
        <w:t>føring av 275 utleieboliger. Det er 29 pst. færre enn i første halvår 2018.</w:t>
      </w:r>
    </w:p>
    <w:p w:rsidR="00557A6F" w:rsidRDefault="00557A6F" w:rsidP="00557A6F">
      <w:r>
        <w:t>Regjeringen legger også til rette for flere studentboliger, noe som bidrar til mindre press i utlei</w:t>
      </w:r>
      <w:r>
        <w:t>e</w:t>
      </w:r>
      <w:r>
        <w:t>markedet. Tilskudd til studentboliger skal bidra til en rimelig bosituasjon for studenter. I 2018 ga Kun</w:t>
      </w:r>
      <w:r>
        <w:t>n</w:t>
      </w:r>
      <w:r>
        <w:t>skapsdepartementet tilsagn om bygging av 2 188 hybelenheter for 715 mill. kroner. Det er Husbanken som forvalter tilsagnene gitt av Kunnskapsdepartementet. Tilskudd til studentboliger er nærmere omtalt i Prop. 1 S (2019–2020) for Kunnskap</w:t>
      </w:r>
      <w:r>
        <w:t>s</w:t>
      </w:r>
      <w:r>
        <w:t>departementet.</w:t>
      </w:r>
    </w:p>
    <w:p w:rsidR="00557A6F" w:rsidRDefault="00557A6F" w:rsidP="00557A6F">
      <w:r>
        <w:t>Gjennom investeringstilskuddet stimulerer regjeringen til at kommunene bygger ut et tilstrekkelig tilbud av moderne sykehjemsplasser og omsorgsboliger, blant annet for å møte utfordringen med et stadig økende antall eldre. Investeringstilskuddet til omsorgsboliger og sykehjemsplasser, som Husbanken også forvalter, er nærmere omtalt i Prop. 1 S (2019–2020) for Helse- og omsorgsd</w:t>
      </w:r>
      <w:r>
        <w:t>e</w:t>
      </w:r>
      <w:r>
        <w:t>partementet.</w:t>
      </w:r>
    </w:p>
    <w:p w:rsidR="00557A6F" w:rsidRDefault="00557A6F" w:rsidP="00557A6F">
      <w:pPr>
        <w:pStyle w:val="avsnitt-under-undertittel"/>
      </w:pPr>
      <w:r>
        <w:t>Digitalisering for bedre tjenester til brukerne, effektiv saksbehandling og sikre systemer</w:t>
      </w:r>
    </w:p>
    <w:p w:rsidR="00557A6F" w:rsidRDefault="00557A6F" w:rsidP="00557A6F">
      <w:r>
        <w:t>I dag er det få gode systemer for å søke, tildele og administrere kommunale utleieboliger. Søknad om bolig er ofte papirbasert, mange kommuner har ikke egnede saksbehandlingsverktøy, og det er lite eller ingen integrasjon mellom systemene brukt i det boligsosiale arbeidet i kommunen. Det finnes heller ikke en god nasjonal oversikt over boligmassen. Konsekvensen er at en del innbygg</w:t>
      </w:r>
      <w:r>
        <w:t>e</w:t>
      </w:r>
      <w:r>
        <w:t>re som trenger komm</w:t>
      </w:r>
      <w:r>
        <w:t>u</w:t>
      </w:r>
      <w:r>
        <w:t>nal bolig, må gjennom en lite brukervennlig prosess da saksbehandlingen ofte er lang og uoversiktlig. Kommunene og staten har også et usikkert beslutningsgrunnlag for videre politikkutforming og iverksetting. Mangelfull oversikt bidrar til at boliger blir stående to</w:t>
      </w:r>
      <w:r>
        <w:t>m</w:t>
      </w:r>
      <w:r>
        <w:t>me. Det fører til tapte leieinntekter, og svekker kommunenes mulighet til å tildele boliger som tre</w:t>
      </w:r>
      <w:r>
        <w:t>f</w:t>
      </w:r>
      <w:r>
        <w:t xml:space="preserve">fer vanskeligstiltes spesifikke behov. Fra 2015 til 2017 har antallet ikke-utleide boliger økt med over 2 000 boliger, til om lag 8 000 boliger. </w:t>
      </w:r>
    </w:p>
    <w:p w:rsidR="00557A6F" w:rsidRDefault="00557A6F" w:rsidP="00557A6F">
      <w:r>
        <w:t>Regjeringen har derfor tatt initiativ til et stat-kommune-samarbeid for å utvikle digitale løsninger på dette omr</w:t>
      </w:r>
      <w:r>
        <w:t>å</w:t>
      </w:r>
      <w:r>
        <w:t>det. Nye løsninger skal bidra til at leietakere av kommunale utleieboliger bor i en egnet bolig tildelt gjennom en god og brukervennlig saksbehandling. Løsningene skal hjelpe ko</w:t>
      </w:r>
      <w:r>
        <w:t>m</w:t>
      </w:r>
      <w:r>
        <w:t>munene til å disp</w:t>
      </w:r>
      <w:r>
        <w:t>o</w:t>
      </w:r>
      <w:r>
        <w:t>nere sine boliger mest mulig effektivt, og gi kommunene og staten bedre data over de kommunale utleieboligene. I 2020 foreslår regjeringen å bevilge 30 mill. kroner over Hu</w:t>
      </w:r>
      <w:r>
        <w:t>s</w:t>
      </w:r>
      <w:r>
        <w:t>bankens budsjett til dette form</w:t>
      </w:r>
      <w:r>
        <w:t>å</w:t>
      </w:r>
      <w:r>
        <w:t>let, jf. omtale under kap. 2412 post 45 Større utstyrsanskaffelser og vedlikehold.</w:t>
      </w:r>
    </w:p>
    <w:p w:rsidR="00557A6F" w:rsidRDefault="00557A6F" w:rsidP="00557A6F">
      <w:r>
        <w:t xml:space="preserve">Husbanken tilbyr en rekke tjenester til kommunene og andre brukere på det boligsosiale området. Det er etablert digital støtte til kommunene for forvaltning av bostøtte og startlån. De tilbyr også gode selvbetjeningsløsninger for innhenting av data og statistikk om Husbankens ordninger og bruk av disse. </w:t>
      </w:r>
    </w:p>
    <w:p w:rsidR="00557A6F" w:rsidRDefault="00557A6F" w:rsidP="00557A6F">
      <w:r>
        <w:t>Husbanken er også i gang med en større modernisering av sine kjernesystemer for låne- og ti</w:t>
      </w:r>
      <w:r>
        <w:t>l</w:t>
      </w:r>
      <w:r>
        <w:t>skuddsforvaltning. De nye systemene vil være bygget på en plattform som gir mulighet for mer automat</w:t>
      </w:r>
      <w:r>
        <w:t>i</w:t>
      </w:r>
      <w:r>
        <w:t>sering, integrasjoner og tilpasninger til nye digitale løsninger. Moderniseringen bidrar til effektivisering, enklere arbeidsprosesser og bedre kundeoppfølging. I tillegg får Husbanken bedre oversikt over egen forvaltning. Moderniseringsprogrammet vil fortsette ut 2021.</w:t>
      </w:r>
    </w:p>
    <w:p w:rsidR="00557A6F" w:rsidRDefault="00557A6F" w:rsidP="00557A6F">
      <w:pPr>
        <w:pStyle w:val="b-budkaptit"/>
      </w:pPr>
      <w:r>
        <w:t>Kap. 580 Bostøtte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7A6F" w:rsidTr="00557A6F">
        <w:trPr>
          <w:trHeight w:val="640"/>
        </w:trPr>
        <w:tc>
          <w:tcPr>
            <w:tcW w:w="1140" w:type="dxa"/>
            <w:shd w:val="clear" w:color="auto" w:fill="FFFFFF"/>
          </w:tcPr>
          <w:p w:rsidR="00557A6F" w:rsidRDefault="00557A6F" w:rsidP="00557A6F">
            <w:pPr>
              <w:pStyle w:val="Tabellnavn"/>
            </w:pPr>
            <w:r>
              <w:t>KPAL</w:t>
            </w:r>
          </w:p>
        </w:tc>
        <w:tc>
          <w:tcPr>
            <w:tcW w:w="4560" w:type="dxa"/>
          </w:tcPr>
          <w:p w:rsidR="00557A6F" w:rsidRDefault="00557A6F" w:rsidP="00557A6F"/>
        </w:tc>
        <w:tc>
          <w:tcPr>
            <w:tcW w:w="1140" w:type="dxa"/>
          </w:tcPr>
          <w:p w:rsidR="00557A6F" w:rsidRDefault="00557A6F" w:rsidP="00557A6F">
            <w:pPr>
              <w:pStyle w:val="Tabellnavn"/>
              <w:jc w:val="right"/>
            </w:pPr>
          </w:p>
        </w:tc>
        <w:tc>
          <w:tcPr>
            <w:tcW w:w="1140" w:type="dxa"/>
          </w:tcPr>
          <w:p w:rsidR="00557A6F" w:rsidRDefault="00557A6F" w:rsidP="00557A6F">
            <w:pPr>
              <w:pStyle w:val="Tabellnavn"/>
              <w:jc w:val="right"/>
            </w:pPr>
          </w:p>
        </w:tc>
        <w:tc>
          <w:tcPr>
            <w:tcW w:w="1140" w:type="dxa"/>
          </w:tcPr>
          <w:p w:rsidR="00557A6F" w:rsidRDefault="00557A6F" w:rsidP="00557A6F">
            <w:pPr>
              <w:jc w:val="right"/>
            </w:pPr>
            <w:r>
              <w:t>(i 1 000 kr)</w:t>
            </w:r>
          </w:p>
        </w:tc>
      </w:tr>
      <w:tr w:rsidR="00557A6F" w:rsidTr="00557A6F">
        <w:trPr>
          <w:trHeight w:val="600"/>
        </w:trPr>
        <w:tc>
          <w:tcPr>
            <w:tcW w:w="1140" w:type="dxa"/>
          </w:tcPr>
          <w:p w:rsidR="00557A6F" w:rsidRDefault="00557A6F" w:rsidP="00557A6F">
            <w:r>
              <w:t>Post</w:t>
            </w:r>
          </w:p>
        </w:tc>
        <w:tc>
          <w:tcPr>
            <w:tcW w:w="4560" w:type="dxa"/>
          </w:tcPr>
          <w:p w:rsidR="00557A6F" w:rsidRDefault="00557A6F" w:rsidP="00557A6F">
            <w:r>
              <w:t>Betegnelse</w:t>
            </w:r>
          </w:p>
        </w:tc>
        <w:tc>
          <w:tcPr>
            <w:tcW w:w="1140" w:type="dxa"/>
          </w:tcPr>
          <w:p w:rsidR="00557A6F" w:rsidRDefault="00557A6F" w:rsidP="00557A6F">
            <w:pPr>
              <w:jc w:val="right"/>
            </w:pPr>
            <w:r>
              <w:t>Regnskap 2018</w:t>
            </w:r>
          </w:p>
        </w:tc>
        <w:tc>
          <w:tcPr>
            <w:tcW w:w="1140" w:type="dxa"/>
          </w:tcPr>
          <w:p w:rsidR="00557A6F" w:rsidRDefault="00557A6F" w:rsidP="00557A6F">
            <w:pPr>
              <w:jc w:val="right"/>
            </w:pPr>
            <w:r>
              <w:t xml:space="preserve">Saldert </w:t>
            </w:r>
            <w:r>
              <w:br/>
              <w:t>budsjett 2019</w:t>
            </w:r>
          </w:p>
        </w:tc>
        <w:tc>
          <w:tcPr>
            <w:tcW w:w="1140" w:type="dxa"/>
          </w:tcPr>
          <w:p w:rsidR="00557A6F" w:rsidRDefault="00557A6F" w:rsidP="00557A6F">
            <w:pPr>
              <w:jc w:val="right"/>
            </w:pPr>
            <w:r>
              <w:t xml:space="preserve">Forslag </w:t>
            </w:r>
            <w:r>
              <w:br/>
              <w:t>2020</w:t>
            </w:r>
          </w:p>
        </w:tc>
      </w:tr>
      <w:tr w:rsidR="00557A6F" w:rsidTr="00557A6F">
        <w:trPr>
          <w:trHeight w:val="380"/>
        </w:trPr>
        <w:tc>
          <w:tcPr>
            <w:tcW w:w="1140" w:type="dxa"/>
          </w:tcPr>
          <w:p w:rsidR="00557A6F" w:rsidRDefault="00557A6F" w:rsidP="00557A6F">
            <w:r>
              <w:t>70</w:t>
            </w:r>
          </w:p>
        </w:tc>
        <w:tc>
          <w:tcPr>
            <w:tcW w:w="4560" w:type="dxa"/>
          </w:tcPr>
          <w:p w:rsidR="00557A6F" w:rsidRDefault="00557A6F" w:rsidP="00557A6F">
            <w:r>
              <w:t>Bostøtte</w:t>
            </w:r>
            <w:r>
              <w:rPr>
                <w:rStyle w:val="kursiv"/>
                <w:sz w:val="21"/>
                <w:szCs w:val="21"/>
              </w:rPr>
              <w:t xml:space="preserve">, overslagsbevilgning </w:t>
            </w:r>
          </w:p>
        </w:tc>
        <w:tc>
          <w:tcPr>
            <w:tcW w:w="1140" w:type="dxa"/>
          </w:tcPr>
          <w:p w:rsidR="00557A6F" w:rsidRDefault="00557A6F" w:rsidP="00557A6F">
            <w:pPr>
              <w:jc w:val="right"/>
            </w:pPr>
            <w:r>
              <w:t>2 697 056</w:t>
            </w:r>
          </w:p>
        </w:tc>
        <w:tc>
          <w:tcPr>
            <w:tcW w:w="1140" w:type="dxa"/>
          </w:tcPr>
          <w:p w:rsidR="00557A6F" w:rsidRDefault="00557A6F" w:rsidP="00557A6F">
            <w:pPr>
              <w:jc w:val="right"/>
            </w:pPr>
          </w:p>
        </w:tc>
        <w:tc>
          <w:tcPr>
            <w:tcW w:w="1140" w:type="dxa"/>
          </w:tcPr>
          <w:p w:rsidR="00557A6F" w:rsidRDefault="00557A6F" w:rsidP="00557A6F">
            <w:pPr>
              <w:jc w:val="right"/>
            </w:pPr>
          </w:p>
        </w:tc>
      </w:tr>
      <w:tr w:rsidR="00557A6F" w:rsidTr="00557A6F">
        <w:trPr>
          <w:trHeight w:val="380"/>
        </w:trPr>
        <w:tc>
          <w:tcPr>
            <w:tcW w:w="1140" w:type="dxa"/>
          </w:tcPr>
          <w:p w:rsidR="00557A6F" w:rsidRDefault="00557A6F" w:rsidP="00557A6F"/>
        </w:tc>
        <w:tc>
          <w:tcPr>
            <w:tcW w:w="4560" w:type="dxa"/>
          </w:tcPr>
          <w:p w:rsidR="00557A6F" w:rsidRDefault="00557A6F" w:rsidP="00557A6F">
            <w:r>
              <w:t>Sum kap. 0580</w:t>
            </w:r>
          </w:p>
        </w:tc>
        <w:tc>
          <w:tcPr>
            <w:tcW w:w="1140" w:type="dxa"/>
          </w:tcPr>
          <w:p w:rsidR="00557A6F" w:rsidRDefault="00557A6F" w:rsidP="00557A6F">
            <w:pPr>
              <w:jc w:val="right"/>
            </w:pPr>
            <w:r>
              <w:t>2 697 056</w:t>
            </w:r>
          </w:p>
        </w:tc>
        <w:tc>
          <w:tcPr>
            <w:tcW w:w="1140" w:type="dxa"/>
          </w:tcPr>
          <w:p w:rsidR="00557A6F" w:rsidRDefault="00557A6F" w:rsidP="00557A6F">
            <w:pPr>
              <w:jc w:val="right"/>
            </w:pPr>
          </w:p>
        </w:tc>
        <w:tc>
          <w:tcPr>
            <w:tcW w:w="1140" w:type="dxa"/>
          </w:tcPr>
          <w:p w:rsidR="00557A6F" w:rsidRDefault="00557A6F" w:rsidP="00557A6F">
            <w:pPr>
              <w:jc w:val="right"/>
            </w:pPr>
          </w:p>
        </w:tc>
      </w:tr>
    </w:tbl>
    <w:p w:rsidR="00557A6F" w:rsidRDefault="00557A6F" w:rsidP="00557A6F">
      <w:r>
        <w:t>Post 70 Bostøtte ble flyttet fra kap. 580 Bostøtte til kap. 581 Bolig- og bomiljøtiltak i 2019. Fly</w:t>
      </w:r>
      <w:r>
        <w:t>t</w:t>
      </w:r>
      <w:r>
        <w:t>tingen er av teknisk karakter og innebærer ingen innholdsmessige endringer.</w:t>
      </w:r>
    </w:p>
    <w:p w:rsidR="00557A6F" w:rsidRDefault="00557A6F" w:rsidP="00557A6F">
      <w:pPr>
        <w:pStyle w:val="b-budkaptit"/>
      </w:pPr>
      <w:r>
        <w:lastRenderedPageBreak/>
        <w:t>Kap. 581 Bolig- og bomiljøtiltak</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7A6F" w:rsidTr="00557A6F">
        <w:trPr>
          <w:trHeight w:val="640"/>
        </w:trPr>
        <w:tc>
          <w:tcPr>
            <w:tcW w:w="1140" w:type="dxa"/>
            <w:shd w:val="clear" w:color="auto" w:fill="FFFFFF"/>
          </w:tcPr>
          <w:p w:rsidR="00557A6F" w:rsidRDefault="00557A6F" w:rsidP="00557A6F">
            <w:pPr>
              <w:pStyle w:val="Tabellnavn"/>
            </w:pPr>
            <w:r>
              <w:t>KPAL</w:t>
            </w:r>
          </w:p>
        </w:tc>
        <w:tc>
          <w:tcPr>
            <w:tcW w:w="4560" w:type="dxa"/>
          </w:tcPr>
          <w:p w:rsidR="00557A6F" w:rsidRDefault="00557A6F" w:rsidP="00557A6F"/>
        </w:tc>
        <w:tc>
          <w:tcPr>
            <w:tcW w:w="1140" w:type="dxa"/>
          </w:tcPr>
          <w:p w:rsidR="00557A6F" w:rsidRDefault="00557A6F" w:rsidP="00557A6F">
            <w:pPr>
              <w:pStyle w:val="Tabellnavn"/>
              <w:jc w:val="right"/>
            </w:pPr>
          </w:p>
        </w:tc>
        <w:tc>
          <w:tcPr>
            <w:tcW w:w="1140" w:type="dxa"/>
          </w:tcPr>
          <w:p w:rsidR="00557A6F" w:rsidRDefault="00557A6F" w:rsidP="00557A6F">
            <w:pPr>
              <w:pStyle w:val="Tabellnavn"/>
              <w:jc w:val="right"/>
            </w:pPr>
          </w:p>
        </w:tc>
        <w:tc>
          <w:tcPr>
            <w:tcW w:w="1140" w:type="dxa"/>
          </w:tcPr>
          <w:p w:rsidR="00557A6F" w:rsidRDefault="00557A6F" w:rsidP="00557A6F">
            <w:pPr>
              <w:jc w:val="right"/>
            </w:pPr>
            <w:r>
              <w:t>(i 1 000 kr)</w:t>
            </w:r>
          </w:p>
        </w:tc>
      </w:tr>
      <w:tr w:rsidR="00557A6F" w:rsidTr="00557A6F">
        <w:trPr>
          <w:trHeight w:val="600"/>
        </w:trPr>
        <w:tc>
          <w:tcPr>
            <w:tcW w:w="1140" w:type="dxa"/>
          </w:tcPr>
          <w:p w:rsidR="00557A6F" w:rsidRDefault="00557A6F" w:rsidP="00557A6F">
            <w:r>
              <w:t>Post</w:t>
            </w:r>
          </w:p>
        </w:tc>
        <w:tc>
          <w:tcPr>
            <w:tcW w:w="4560" w:type="dxa"/>
          </w:tcPr>
          <w:p w:rsidR="00557A6F" w:rsidRDefault="00557A6F" w:rsidP="00557A6F">
            <w:r>
              <w:t>Betegnelse</w:t>
            </w:r>
          </w:p>
        </w:tc>
        <w:tc>
          <w:tcPr>
            <w:tcW w:w="1140" w:type="dxa"/>
          </w:tcPr>
          <w:p w:rsidR="00557A6F" w:rsidRDefault="00557A6F" w:rsidP="00557A6F">
            <w:pPr>
              <w:jc w:val="right"/>
            </w:pPr>
            <w:r>
              <w:t>Regnskap 2018</w:t>
            </w:r>
          </w:p>
        </w:tc>
        <w:tc>
          <w:tcPr>
            <w:tcW w:w="1140" w:type="dxa"/>
          </w:tcPr>
          <w:p w:rsidR="00557A6F" w:rsidRDefault="00557A6F" w:rsidP="00557A6F">
            <w:pPr>
              <w:jc w:val="right"/>
            </w:pPr>
            <w:r>
              <w:t xml:space="preserve">Saldert </w:t>
            </w:r>
            <w:r>
              <w:br/>
              <w:t>budsjett 2019</w:t>
            </w:r>
          </w:p>
        </w:tc>
        <w:tc>
          <w:tcPr>
            <w:tcW w:w="1140" w:type="dxa"/>
          </w:tcPr>
          <w:p w:rsidR="00557A6F" w:rsidRDefault="00557A6F" w:rsidP="00557A6F">
            <w:pPr>
              <w:jc w:val="right"/>
            </w:pPr>
            <w:r>
              <w:t xml:space="preserve">Forslag </w:t>
            </w:r>
            <w:r>
              <w:br/>
              <w:t>2020</w:t>
            </w:r>
          </w:p>
        </w:tc>
      </w:tr>
      <w:tr w:rsidR="00557A6F" w:rsidTr="00557A6F">
        <w:trPr>
          <w:trHeight w:val="380"/>
        </w:trPr>
        <w:tc>
          <w:tcPr>
            <w:tcW w:w="1140" w:type="dxa"/>
          </w:tcPr>
          <w:p w:rsidR="00557A6F" w:rsidRDefault="00557A6F" w:rsidP="00557A6F">
            <w:r>
              <w:t>70</w:t>
            </w:r>
          </w:p>
        </w:tc>
        <w:tc>
          <w:tcPr>
            <w:tcW w:w="4560" w:type="dxa"/>
          </w:tcPr>
          <w:p w:rsidR="00557A6F" w:rsidRDefault="00557A6F" w:rsidP="00557A6F">
            <w:r>
              <w:t>Bostøtte</w:t>
            </w:r>
            <w:r>
              <w:rPr>
                <w:rStyle w:val="kursiv"/>
                <w:sz w:val="21"/>
                <w:szCs w:val="21"/>
              </w:rPr>
              <w:t xml:space="preserve">, overslagsbevilgning </w:t>
            </w:r>
          </w:p>
        </w:tc>
        <w:tc>
          <w:tcPr>
            <w:tcW w:w="1140" w:type="dxa"/>
          </w:tcPr>
          <w:p w:rsidR="00557A6F" w:rsidRDefault="00557A6F" w:rsidP="00557A6F">
            <w:pPr>
              <w:jc w:val="right"/>
            </w:pPr>
          </w:p>
        </w:tc>
        <w:tc>
          <w:tcPr>
            <w:tcW w:w="1140" w:type="dxa"/>
          </w:tcPr>
          <w:p w:rsidR="00557A6F" w:rsidRDefault="00557A6F" w:rsidP="00557A6F">
            <w:pPr>
              <w:jc w:val="right"/>
            </w:pPr>
            <w:r>
              <w:t>2 828 591</w:t>
            </w:r>
          </w:p>
        </w:tc>
        <w:tc>
          <w:tcPr>
            <w:tcW w:w="1140" w:type="dxa"/>
          </w:tcPr>
          <w:p w:rsidR="00557A6F" w:rsidRDefault="00557A6F" w:rsidP="00557A6F">
            <w:pPr>
              <w:jc w:val="right"/>
            </w:pPr>
            <w:r>
              <w:t>2 842 343</w:t>
            </w:r>
          </w:p>
        </w:tc>
      </w:tr>
      <w:tr w:rsidR="00557A6F" w:rsidTr="00557A6F">
        <w:trPr>
          <w:trHeight w:val="380"/>
        </w:trPr>
        <w:tc>
          <w:tcPr>
            <w:tcW w:w="1140" w:type="dxa"/>
          </w:tcPr>
          <w:p w:rsidR="00557A6F" w:rsidRDefault="00557A6F" w:rsidP="00557A6F">
            <w:r>
              <w:t>75</w:t>
            </w:r>
          </w:p>
        </w:tc>
        <w:tc>
          <w:tcPr>
            <w:tcW w:w="4560" w:type="dxa"/>
          </w:tcPr>
          <w:p w:rsidR="00557A6F" w:rsidRDefault="00557A6F" w:rsidP="00557A6F">
            <w:r>
              <w:t xml:space="preserve">Etablering og tilpasning av bolig </w:t>
            </w:r>
          </w:p>
        </w:tc>
        <w:tc>
          <w:tcPr>
            <w:tcW w:w="1140" w:type="dxa"/>
          </w:tcPr>
          <w:p w:rsidR="00557A6F" w:rsidRDefault="00557A6F" w:rsidP="00557A6F">
            <w:pPr>
              <w:jc w:val="right"/>
            </w:pPr>
            <w:r>
              <w:t>478 211</w:t>
            </w:r>
          </w:p>
        </w:tc>
        <w:tc>
          <w:tcPr>
            <w:tcW w:w="1140" w:type="dxa"/>
          </w:tcPr>
          <w:p w:rsidR="00557A6F" w:rsidRDefault="00557A6F" w:rsidP="00557A6F">
            <w:pPr>
              <w:jc w:val="right"/>
            </w:pPr>
            <w:r>
              <w:t>481 574</w:t>
            </w:r>
          </w:p>
        </w:tc>
        <w:tc>
          <w:tcPr>
            <w:tcW w:w="1140" w:type="dxa"/>
          </w:tcPr>
          <w:p w:rsidR="00557A6F" w:rsidRDefault="00557A6F" w:rsidP="00557A6F">
            <w:pPr>
              <w:jc w:val="right"/>
            </w:pPr>
          </w:p>
        </w:tc>
      </w:tr>
      <w:tr w:rsidR="00557A6F" w:rsidTr="00557A6F">
        <w:trPr>
          <w:trHeight w:val="380"/>
        </w:trPr>
        <w:tc>
          <w:tcPr>
            <w:tcW w:w="1140" w:type="dxa"/>
          </w:tcPr>
          <w:p w:rsidR="00557A6F" w:rsidRDefault="00557A6F" w:rsidP="00557A6F">
            <w:r>
              <w:t>76</w:t>
            </w:r>
          </w:p>
        </w:tc>
        <w:tc>
          <w:tcPr>
            <w:tcW w:w="4560" w:type="dxa"/>
          </w:tcPr>
          <w:p w:rsidR="00557A6F" w:rsidRDefault="00557A6F" w:rsidP="00557A6F">
            <w:r>
              <w:t>Utleieboliger</w:t>
            </w:r>
            <w:r>
              <w:rPr>
                <w:rStyle w:val="kursiv"/>
                <w:sz w:val="21"/>
                <w:szCs w:val="21"/>
              </w:rPr>
              <w:t xml:space="preserve">, kan overføres </w:t>
            </w:r>
          </w:p>
        </w:tc>
        <w:tc>
          <w:tcPr>
            <w:tcW w:w="1140" w:type="dxa"/>
          </w:tcPr>
          <w:p w:rsidR="00557A6F" w:rsidRDefault="00557A6F" w:rsidP="00557A6F">
            <w:pPr>
              <w:jc w:val="right"/>
            </w:pPr>
            <w:r>
              <w:t>678 475</w:t>
            </w:r>
          </w:p>
        </w:tc>
        <w:tc>
          <w:tcPr>
            <w:tcW w:w="1140" w:type="dxa"/>
          </w:tcPr>
          <w:p w:rsidR="00557A6F" w:rsidRDefault="00557A6F" w:rsidP="00557A6F">
            <w:pPr>
              <w:jc w:val="right"/>
            </w:pPr>
            <w:r>
              <w:t>710 464</w:t>
            </w:r>
          </w:p>
        </w:tc>
        <w:tc>
          <w:tcPr>
            <w:tcW w:w="1140" w:type="dxa"/>
          </w:tcPr>
          <w:p w:rsidR="00557A6F" w:rsidRDefault="00557A6F" w:rsidP="00557A6F">
            <w:pPr>
              <w:jc w:val="right"/>
            </w:pPr>
            <w:r>
              <w:t>485 067</w:t>
            </w:r>
          </w:p>
        </w:tc>
      </w:tr>
      <w:tr w:rsidR="00557A6F" w:rsidTr="00557A6F">
        <w:trPr>
          <w:trHeight w:val="380"/>
        </w:trPr>
        <w:tc>
          <w:tcPr>
            <w:tcW w:w="1140" w:type="dxa"/>
          </w:tcPr>
          <w:p w:rsidR="00557A6F" w:rsidRDefault="00557A6F" w:rsidP="00557A6F">
            <w:r>
              <w:t>77</w:t>
            </w:r>
          </w:p>
        </w:tc>
        <w:tc>
          <w:tcPr>
            <w:tcW w:w="4560" w:type="dxa"/>
          </w:tcPr>
          <w:p w:rsidR="00557A6F" w:rsidRDefault="00557A6F" w:rsidP="00557A6F">
            <w:r>
              <w:t>Bærekraftig bolig- og byggkvalitet</w:t>
            </w:r>
            <w:r>
              <w:rPr>
                <w:rStyle w:val="kursiv"/>
                <w:sz w:val="21"/>
                <w:szCs w:val="21"/>
              </w:rPr>
              <w:t xml:space="preserve">, kan overføres </w:t>
            </w:r>
          </w:p>
        </w:tc>
        <w:tc>
          <w:tcPr>
            <w:tcW w:w="1140" w:type="dxa"/>
          </w:tcPr>
          <w:p w:rsidR="00557A6F" w:rsidRDefault="00557A6F" w:rsidP="00557A6F">
            <w:pPr>
              <w:jc w:val="right"/>
            </w:pPr>
            <w:r>
              <w:t>14 256</w:t>
            </w:r>
          </w:p>
        </w:tc>
        <w:tc>
          <w:tcPr>
            <w:tcW w:w="1140" w:type="dxa"/>
          </w:tcPr>
          <w:p w:rsidR="00557A6F" w:rsidRDefault="00557A6F" w:rsidP="00557A6F">
            <w:pPr>
              <w:jc w:val="right"/>
            </w:pPr>
          </w:p>
        </w:tc>
        <w:tc>
          <w:tcPr>
            <w:tcW w:w="1140" w:type="dxa"/>
          </w:tcPr>
          <w:p w:rsidR="00557A6F" w:rsidRDefault="00557A6F" w:rsidP="00557A6F">
            <w:pPr>
              <w:jc w:val="right"/>
            </w:pPr>
          </w:p>
        </w:tc>
      </w:tr>
      <w:tr w:rsidR="00557A6F" w:rsidTr="00557A6F">
        <w:trPr>
          <w:trHeight w:val="380"/>
        </w:trPr>
        <w:tc>
          <w:tcPr>
            <w:tcW w:w="1140" w:type="dxa"/>
          </w:tcPr>
          <w:p w:rsidR="00557A6F" w:rsidRDefault="00557A6F" w:rsidP="00557A6F">
            <w:r>
              <w:t>78</w:t>
            </w:r>
          </w:p>
        </w:tc>
        <w:tc>
          <w:tcPr>
            <w:tcW w:w="4560" w:type="dxa"/>
          </w:tcPr>
          <w:p w:rsidR="00557A6F" w:rsidRDefault="00557A6F" w:rsidP="00557A6F">
            <w:r>
              <w:t>Boligsosiale tiltak</w:t>
            </w:r>
            <w:r>
              <w:rPr>
                <w:rStyle w:val="kursiv"/>
                <w:sz w:val="21"/>
                <w:szCs w:val="21"/>
              </w:rPr>
              <w:t xml:space="preserve">, kan overføres </w:t>
            </w:r>
          </w:p>
        </w:tc>
        <w:tc>
          <w:tcPr>
            <w:tcW w:w="1140" w:type="dxa"/>
          </w:tcPr>
          <w:p w:rsidR="00557A6F" w:rsidRDefault="00557A6F" w:rsidP="00557A6F">
            <w:pPr>
              <w:jc w:val="right"/>
            </w:pPr>
            <w:r>
              <w:t>29 677</w:t>
            </w:r>
          </w:p>
        </w:tc>
        <w:tc>
          <w:tcPr>
            <w:tcW w:w="1140" w:type="dxa"/>
          </w:tcPr>
          <w:p w:rsidR="00557A6F" w:rsidRDefault="00557A6F" w:rsidP="00557A6F">
            <w:pPr>
              <w:jc w:val="right"/>
            </w:pPr>
            <w:r>
              <w:t>15 587</w:t>
            </w:r>
          </w:p>
        </w:tc>
        <w:tc>
          <w:tcPr>
            <w:tcW w:w="1140" w:type="dxa"/>
          </w:tcPr>
          <w:p w:rsidR="00557A6F" w:rsidRDefault="00557A6F" w:rsidP="00557A6F">
            <w:pPr>
              <w:jc w:val="right"/>
            </w:pPr>
            <w:r>
              <w:t>11 229</w:t>
            </w:r>
          </w:p>
        </w:tc>
      </w:tr>
      <w:tr w:rsidR="00557A6F" w:rsidTr="00557A6F">
        <w:trPr>
          <w:trHeight w:val="380"/>
        </w:trPr>
        <w:tc>
          <w:tcPr>
            <w:tcW w:w="1140" w:type="dxa"/>
          </w:tcPr>
          <w:p w:rsidR="00557A6F" w:rsidRDefault="00557A6F" w:rsidP="00557A6F">
            <w:r>
              <w:t>79</w:t>
            </w:r>
          </w:p>
        </w:tc>
        <w:tc>
          <w:tcPr>
            <w:tcW w:w="4560" w:type="dxa"/>
          </w:tcPr>
          <w:p w:rsidR="00557A6F" w:rsidRDefault="00557A6F" w:rsidP="00557A6F">
            <w:r>
              <w:t>Heis og tilstandsvurdering</w:t>
            </w:r>
            <w:r>
              <w:rPr>
                <w:rStyle w:val="kursiv"/>
                <w:sz w:val="21"/>
                <w:szCs w:val="21"/>
              </w:rPr>
              <w:t xml:space="preserve">, kan overføres </w:t>
            </w:r>
          </w:p>
        </w:tc>
        <w:tc>
          <w:tcPr>
            <w:tcW w:w="1140" w:type="dxa"/>
          </w:tcPr>
          <w:p w:rsidR="00557A6F" w:rsidRDefault="00557A6F" w:rsidP="00557A6F">
            <w:pPr>
              <w:jc w:val="right"/>
            </w:pPr>
            <w:r>
              <w:t>84 047</w:t>
            </w:r>
          </w:p>
        </w:tc>
        <w:tc>
          <w:tcPr>
            <w:tcW w:w="1140" w:type="dxa"/>
          </w:tcPr>
          <w:p w:rsidR="00557A6F" w:rsidRDefault="00557A6F" w:rsidP="00557A6F">
            <w:pPr>
              <w:jc w:val="right"/>
            </w:pPr>
            <w:r>
              <w:t>40 000</w:t>
            </w:r>
          </w:p>
        </w:tc>
        <w:tc>
          <w:tcPr>
            <w:tcW w:w="1140" w:type="dxa"/>
          </w:tcPr>
          <w:p w:rsidR="00557A6F" w:rsidRDefault="00557A6F" w:rsidP="00557A6F">
            <w:pPr>
              <w:jc w:val="right"/>
            </w:pPr>
            <w:r>
              <w:t>50 000</w:t>
            </w:r>
          </w:p>
        </w:tc>
      </w:tr>
      <w:tr w:rsidR="00557A6F" w:rsidTr="00557A6F">
        <w:trPr>
          <w:trHeight w:val="380"/>
        </w:trPr>
        <w:tc>
          <w:tcPr>
            <w:tcW w:w="1140" w:type="dxa"/>
          </w:tcPr>
          <w:p w:rsidR="00557A6F" w:rsidRDefault="00557A6F" w:rsidP="00557A6F"/>
        </w:tc>
        <w:tc>
          <w:tcPr>
            <w:tcW w:w="4560" w:type="dxa"/>
          </w:tcPr>
          <w:p w:rsidR="00557A6F" w:rsidRDefault="00557A6F" w:rsidP="00557A6F">
            <w:r>
              <w:t>Sum kap. 0581</w:t>
            </w:r>
          </w:p>
        </w:tc>
        <w:tc>
          <w:tcPr>
            <w:tcW w:w="1140" w:type="dxa"/>
          </w:tcPr>
          <w:p w:rsidR="00557A6F" w:rsidRDefault="00557A6F" w:rsidP="00557A6F">
            <w:pPr>
              <w:jc w:val="right"/>
            </w:pPr>
            <w:r>
              <w:t>1 284 666</w:t>
            </w:r>
          </w:p>
        </w:tc>
        <w:tc>
          <w:tcPr>
            <w:tcW w:w="1140" w:type="dxa"/>
          </w:tcPr>
          <w:p w:rsidR="00557A6F" w:rsidRDefault="00557A6F" w:rsidP="00557A6F">
            <w:pPr>
              <w:jc w:val="right"/>
            </w:pPr>
            <w:r>
              <w:t>4 076 216</w:t>
            </w:r>
          </w:p>
        </w:tc>
        <w:tc>
          <w:tcPr>
            <w:tcW w:w="1140" w:type="dxa"/>
          </w:tcPr>
          <w:p w:rsidR="00557A6F" w:rsidRDefault="00557A6F" w:rsidP="00557A6F">
            <w:pPr>
              <w:jc w:val="right"/>
            </w:pPr>
            <w:r>
              <w:t>3 388 639</w:t>
            </w:r>
          </w:p>
        </w:tc>
      </w:tr>
    </w:tbl>
    <w:p w:rsidR="00557A6F" w:rsidRDefault="00557A6F" w:rsidP="00557A6F">
      <w:pPr>
        <w:pStyle w:val="tabell-noter"/>
      </w:pPr>
      <w:r>
        <w:t>Vedrørende 2019: Ved Stortingets vedtak av 2. april 2019 ble post 70 økt med 274 mill. kroner til 3 102,6 mill. kroner, jf. Prop. 54 S og Innst. 229 S (2018–2019). Ved Stortingets vedtak av 21. juni 2019 ble post 70 redusert med 22,8 mill. kroner til 3 079,8 mill. kroner, post 75 økt med 110 mill. kroner til 591,6 mill. kroner og post 76 redusert med 252,2 mill. kroner til 458,3 mill. kroner, jf. Prop. 114 S og Innst. 391 S (2018–2019).</w:t>
      </w:r>
    </w:p>
    <w:p w:rsidR="00557A6F" w:rsidRDefault="00557A6F" w:rsidP="00557A6F">
      <w:r>
        <w:t>Siden det kan ta flere år å ferdigstille prosjektene det gis støtte til, budsjetteres postene 76, 77, 78 og 79 med tilsagnsramme, bevilgning og tilsagnsfullmakt. Tilsagnsrammen er summen av nye ti</w:t>
      </w:r>
      <w:r>
        <w:t>l</w:t>
      </w:r>
      <w:r>
        <w:t>sagn som kan gis det enkelte år, bevilgningen dekker tilsagnene som kommer til utbetaling i det enkelte budsjettår og tilsagnsfullmakten viser utestående forpliktelser ved utgangen av året. Se Prop. 1 S (2017–2018) for Kommunal- og moderniseringsdepartementet boks 6.2 for informasjon om budsjetteringssystemet.</w:t>
      </w:r>
    </w:p>
    <w:p w:rsidR="00557A6F" w:rsidRDefault="00557A6F" w:rsidP="00557A6F">
      <w:r>
        <w:t xml:space="preserve">Ordningene under kap. 581 skal bidra til </w:t>
      </w:r>
      <w:proofErr w:type="gramStart"/>
      <w:r>
        <w:t>å</w:t>
      </w:r>
      <w:proofErr w:type="gramEnd"/>
      <w:r>
        <w:t xml:space="preserve"> nå mål 1 Sikre, miljøvennlige og tilgjengelige boliger og bygg og mål 4 Vanskeligstilte på boligmarkedet skal kunne skaffe seg og beholde en egnet bolig.</w:t>
      </w:r>
    </w:p>
    <w:p w:rsidR="00557A6F" w:rsidRDefault="00557A6F" w:rsidP="00557A6F">
      <w:pPr>
        <w:pStyle w:val="b-post"/>
      </w:pPr>
      <w:r>
        <w:t>Post 70 Bostøtte, overslagsbevilgning</w:t>
      </w:r>
    </w:p>
    <w:p w:rsidR="00557A6F" w:rsidRDefault="00557A6F" w:rsidP="00557A6F">
      <w:r>
        <w:t>Formålet med bostøtte er å sikre personer med lave inntekter og høye boutgifter en egnet bolig.</w:t>
      </w:r>
    </w:p>
    <w:p w:rsidR="00557A6F" w:rsidRDefault="00557A6F" w:rsidP="00557A6F">
      <w:r>
        <w:t>Følgende kriterier legges til grunn for å vurdere måloppnåelsen for ordningen:</w:t>
      </w:r>
    </w:p>
    <w:p w:rsidR="00557A6F" w:rsidRDefault="00557A6F" w:rsidP="00557A6F">
      <w:pPr>
        <w:pStyle w:val="Liste"/>
      </w:pPr>
      <w:r>
        <w:t>Mottakernes boutgiftsbelastning før og etter bostøtte, sammenliknet med gjennomsnittet for hele befol</w:t>
      </w:r>
      <w:r>
        <w:t>k</w:t>
      </w:r>
      <w:r>
        <w:t>ningen.</w:t>
      </w:r>
    </w:p>
    <w:p w:rsidR="00557A6F" w:rsidRDefault="00557A6F" w:rsidP="00557A6F">
      <w:pPr>
        <w:pStyle w:val="Liste"/>
      </w:pPr>
      <w:r>
        <w:t>Inntektsgrenser i bostøtten sammenliknet med lavinntektsgrensen i henhold til EUs defin</w:t>
      </w:r>
      <w:r>
        <w:t>i</w:t>
      </w:r>
      <w:r>
        <w:t>sjon.</w:t>
      </w:r>
    </w:p>
    <w:p w:rsidR="00557A6F" w:rsidRDefault="00557A6F" w:rsidP="00557A6F">
      <w:pPr>
        <w:pStyle w:val="Liste"/>
      </w:pPr>
      <w:r>
        <w:t>Boutgiftstak sammenliknet med tall fra leiemarkedsundersøkelsen.</w:t>
      </w:r>
    </w:p>
    <w:p w:rsidR="00557A6F" w:rsidRDefault="00557A6F" w:rsidP="00557A6F">
      <w:pPr>
        <w:pStyle w:val="avsnitt-tittel"/>
      </w:pPr>
      <w:r>
        <w:t>Tildelingskriterier</w:t>
      </w:r>
    </w:p>
    <w:p w:rsidR="00557A6F" w:rsidRDefault="00557A6F" w:rsidP="00557A6F">
      <w:r>
        <w:t>Bostøtten er en behovsprøvd rettighetsordning som omfatter alle over 18 år. Unntaket er studenter som ikke har barn og som ikke er i arbeidsrettede tiltak, og militært og sivilt tjenestepliktige. Disse kan få annen offentlig støtte. Boligen må normalt ha egen inngang, gi mulighet til hvile og matl</w:t>
      </w:r>
      <w:r>
        <w:t>a</w:t>
      </w:r>
      <w:r>
        <w:t>ging, og ha eget bad og toalett. På visse vilkår kan det gjøres unntak for beboere i bokollektiv. Ti</w:t>
      </w:r>
      <w:r>
        <w:t>l</w:t>
      </w:r>
      <w:r>
        <w:t>delingskriterier og beregningsregler er gitt i lov og forskrift. Støtten beregnes ut fra søkerens in</w:t>
      </w:r>
      <w:r>
        <w:t>n</w:t>
      </w:r>
      <w:r>
        <w:t>tekt, formue og boutgifter. Det beregnes en egenandel som øker med høyere inntekt. Boutgiftene som medregnes, avgrenses av et boutgiftstak. Forholdet mellom egenandelen og boutgiftstaket a</w:t>
      </w:r>
      <w:r>
        <w:t>v</w:t>
      </w:r>
      <w:r>
        <w:t>gjør den øvre inntektsgrensen for å mo</w:t>
      </w:r>
      <w:r>
        <w:t>t</w:t>
      </w:r>
      <w:r>
        <w:t>ta bostøtte.</w:t>
      </w:r>
    </w:p>
    <w:p w:rsidR="00557A6F" w:rsidRDefault="00557A6F" w:rsidP="00557A6F">
      <w:pPr>
        <w:pStyle w:val="avsnitt-tittel"/>
      </w:pPr>
      <w:r>
        <w:lastRenderedPageBreak/>
        <w:t>Oppfølging og kontroll</w:t>
      </w:r>
    </w:p>
    <w:p w:rsidR="00557A6F" w:rsidRDefault="00557A6F" w:rsidP="00557A6F">
      <w:r>
        <w:t>Husbanken forvalter ordningen i samarbeid med kommunene. Støtten behovsprøves mot brutto inntekt, i hovedsak dokumentert månedlig gjennom a-ordningen. Inntekter som ikke rapporteres i a-ordningen, innhentes fra skatteetatens skattemelding, men kan korrigeres av søker. Samlet inntekt blir i etterkant kontrollert mot skatteoppgjøret, og avvik som overstiger grensebeløp som framgår av forskriften, blir utbetalt eller krevd tilbake. Fra 2019 gjennomfører Husbanken også månedlige kontroller for å avdekke om personer i husstanden over 18 år er student og mottar ytelser fra Lån</w:t>
      </w:r>
      <w:r>
        <w:t>e</w:t>
      </w:r>
      <w:r>
        <w:t xml:space="preserve">kassen. </w:t>
      </w:r>
    </w:p>
    <w:p w:rsidR="00557A6F" w:rsidRDefault="00557A6F" w:rsidP="00557A6F">
      <w:pPr>
        <w:pStyle w:val="avsnitt-tittel"/>
      </w:pPr>
      <w:r>
        <w:t>Rapport</w:t>
      </w:r>
    </w:p>
    <w:p w:rsidR="00557A6F" w:rsidRDefault="00557A6F" w:rsidP="00557A6F">
      <w:r>
        <w:t>I 2018 ble det totalt utbetalt 2 697,1 mill. kroner i bostøtte. Hver måned mottok i gjennomsnitt om lag 88 500 husstander bostøtte. Gjennomsnittlig utbetaling var 2 535 kroner per måned. Det tilsv</w:t>
      </w:r>
      <w:r>
        <w:t>a</w:t>
      </w:r>
      <w:r>
        <w:t xml:space="preserve">rer om lag 30 400 kroner for hele året, mot 29 300 kroner i 2017. </w:t>
      </w:r>
    </w:p>
    <w:p w:rsidR="00557A6F" w:rsidRDefault="00557A6F" w:rsidP="00557A6F">
      <w:r>
        <w:t>Gjennomsnittlig antall mottakere var 2 400 lavere i 2018 enn i 2017, og 16 900 lavere enn i 2016. Det er flere årsaker til at antall bostøttemottakere har gått ned. Omleggingen til å beregne bostøtte på grunn av faktisk inntekt førte til at et betydelig antall som tidligere uberettiget har fått bostøtte, falt ut av or</w:t>
      </w:r>
      <w:r>
        <w:t>d</w:t>
      </w:r>
      <w:r>
        <w:t>ningen i 2017. Den senere nedgangen skyldes blant annet færre søkere. En årsak til dette kan være økende sysselsetting. Økt gjennomsnittlig utbetaling henger sammen med økende boutgifter, og at and</w:t>
      </w:r>
      <w:r>
        <w:t>e</w:t>
      </w:r>
      <w:r>
        <w:t>len mottakere som har svært lave inntekter ser ut til å øke.</w:t>
      </w:r>
    </w:p>
    <w:p w:rsidR="00557A6F" w:rsidRDefault="00557A6F" w:rsidP="00557A6F">
      <w:r>
        <w:t>Bostøttemottakerne bruker en langt høyere andel av inntekten på boutgifter enn befolkningen for øvrig. Tall fra SSB viser at bokostnadene i 2015 i gjennomsnitt utgjorde 12,5 pst. av norske hu</w:t>
      </w:r>
      <w:r>
        <w:t>s</w:t>
      </w:r>
      <w:r>
        <w:t>holdningers skattepliktige in</w:t>
      </w:r>
      <w:r>
        <w:t>n</w:t>
      </w:r>
      <w:r>
        <w:t>tekter. Bostøttemottakernes boutgifter utgjorde i gjennomsnitt 71 pst. av husstandenes skattbare inntekter i 2018. Fratrukket bostøtten utgjorde boutgiftene for mottake</w:t>
      </w:r>
      <w:r>
        <w:t>r</w:t>
      </w:r>
      <w:r>
        <w:t xml:space="preserve">ne i gjennomsnitt 49 pst. av samlet inntekt. </w:t>
      </w:r>
    </w:p>
    <w:p w:rsidR="00557A6F" w:rsidRDefault="00557A6F" w:rsidP="00557A6F">
      <w:r>
        <w:t xml:space="preserve">Ved utgangen av 2018 var øvre inntektsgrense for enslige bostøttemottakere i de fleste kommunene om lag 214 000 kroner per år. Inntektsgrensen for en familie i Oslo med to voksne og tre barn var om lag 379 000 kroner per år. Inntektsgrensene i bostøtten gjelder inntekt før skatt. </w:t>
      </w:r>
    </w:p>
    <w:p w:rsidR="00557A6F" w:rsidRDefault="00557A6F" w:rsidP="00557A6F">
      <w:r>
        <w:t>Bostøtten tar hensyn til boutgifter opp til en viss grense (boutgiftstak). Boutgiftstakene reguleres årlig på bakgrunn av endringene i konsumprisindeksen året før. I de fleste kommunene var boutgiftstaket for en enslig ved utgangen av 2018 om lag 5 500 kroner per måned. For en familie på to voksne og tre barn i Oslo gjaldt ved u</w:t>
      </w:r>
      <w:r>
        <w:t>t</w:t>
      </w:r>
      <w:r>
        <w:t xml:space="preserve">gangen av 2018 et tak på 10 150 kroner. </w:t>
      </w:r>
    </w:p>
    <w:p w:rsidR="00557A6F" w:rsidRDefault="00557A6F" w:rsidP="00557A6F">
      <w:r>
        <w:t>I statsbudsjettet for 2019 ble det vedtatt at minste pensjonsnivå, særskilt sats for enslige, skulle økes med 4 000 kroner fra 1. september 2019. For at dette ikke skulle føre til redusert bostøtte, ble det gjort endringer i bostøtt</w:t>
      </w:r>
      <w:r>
        <w:t>e</w:t>
      </w:r>
      <w:r>
        <w:t>regelverket fra samme dato. Enslige alderspensjonister får etter dette en mer gunstig egenandelsberegning enn andre grupper.</w:t>
      </w:r>
    </w:p>
    <w:p w:rsidR="00557A6F" w:rsidRDefault="00557A6F" w:rsidP="00557A6F">
      <w:r>
        <w:t>For å dekke høye strømregninger for husstander med lave inntekter, vedtok Stortinget i april 2019 en ekstra utb</w:t>
      </w:r>
      <w:r>
        <w:t>e</w:t>
      </w:r>
      <w:r>
        <w:t xml:space="preserve">taling til alle bostøttemottakere, jf. Prop. 54 S (2018–2019) </w:t>
      </w:r>
      <w:r>
        <w:rPr>
          <w:rStyle w:val="kursiv"/>
          <w:sz w:val="21"/>
          <w:szCs w:val="21"/>
        </w:rPr>
        <w:t xml:space="preserve">Endring i statsbudsjettet 2019 under Kommunal- og moderniseringsdepartementet (ekstra utbetaling til mottakere av bostøtte som hjelp til å dekke høye strømutgifter) </w:t>
      </w:r>
      <w:r>
        <w:t>og Innst. 229 S (2018–2019). På bakgrunn av dette utbetalte Husba</w:t>
      </w:r>
      <w:r>
        <w:t>n</w:t>
      </w:r>
      <w:r>
        <w:t xml:space="preserve">ken 268 mill. kroner i ekstra bostøtte i april. </w:t>
      </w:r>
    </w:p>
    <w:p w:rsidR="00557A6F" w:rsidRDefault="00557A6F" w:rsidP="00557A6F">
      <w:r>
        <w:t>I forbindelse med revidert nasjonalbudsjett for 2019 ble bostøtten for barnefamilier og andre store husstander økt med 66 mill. kroner. Takene for årlige boutgifter for husstander med to eller flere pers</w:t>
      </w:r>
      <w:r>
        <w:t>o</w:t>
      </w:r>
      <w:r>
        <w:t xml:space="preserve">ner er økt med 11 050 kroner fra 1. juli 2019. Tiltaket skal bidra til å redusere barnefattigdom. Det vises til Prop. 114 S (2018–2019) </w:t>
      </w:r>
      <w:r>
        <w:rPr>
          <w:rStyle w:val="kursiv"/>
          <w:sz w:val="21"/>
          <w:szCs w:val="21"/>
        </w:rPr>
        <w:t>Tilleggsbevilgninger og omprioriteringer i statsbudsjettet for 2019</w:t>
      </w:r>
      <w:r>
        <w:t xml:space="preserve"> og Innst. 391 S (2018–2019)</w:t>
      </w:r>
      <w:r>
        <w:rPr>
          <w:rStyle w:val="kursiv"/>
          <w:sz w:val="21"/>
          <w:szCs w:val="21"/>
        </w:rPr>
        <w:t>.</w:t>
      </w:r>
    </w:p>
    <w:p w:rsidR="00557A6F" w:rsidRDefault="00557A6F" w:rsidP="00557A6F">
      <w:r>
        <w:t>Da bostøtten ble lagt om i 2009, fikk unge uføre bostøttemottakere en overgangsordning som sikrer dem bostøtte på minst samme nivå som i juni 2009, så lenge de har krav på bostøtte. Rettigheten faller bort dersom inntekten overstiger en viss grense. Når trygdens grunnbeløp G reguleres i mai fører det ofte til at NAV må etterbetale trygdeøkningen for en måned. Unge uføre mottakere har falt ut av overgangsordningen som følge av dette. I fo</w:t>
      </w:r>
      <w:r>
        <w:t>r</w:t>
      </w:r>
      <w:r>
        <w:t>bindelse med revidert nasjonalbudsjett for 2019 ble det besluttet å justere regelverket slik at etterbetaling i forbindelse med framtidige regul</w:t>
      </w:r>
      <w:r>
        <w:t>e</w:t>
      </w:r>
      <w:r>
        <w:t>ringer av G ikke reduserer b</w:t>
      </w:r>
      <w:r>
        <w:t>o</w:t>
      </w:r>
      <w:r>
        <w:t xml:space="preserve">støtten til unge uføre som er i overgangsordningen. På bakgrunn av dette ble bevilgningen til bostøtte økt </w:t>
      </w:r>
      <w:r>
        <w:lastRenderedPageBreak/>
        <w:t>med 1,2 mill. kroner i 2019. Per juni 2019 hadde om lag 227 unge uføre fortsatt rett til overgangsor</w:t>
      </w:r>
      <w:r>
        <w:t>d</w:t>
      </w:r>
      <w:r>
        <w:t>ningen.</w:t>
      </w:r>
    </w:p>
    <w:p w:rsidR="00557A6F" w:rsidRDefault="00557A6F" w:rsidP="00557A6F">
      <w:r>
        <w:t>Uføre som mottok bostøtte før uførereformen trådte i kraft 1. januar 2015, er omfattet av en ko</w:t>
      </w:r>
      <w:r>
        <w:t>m</w:t>
      </w:r>
      <w:r>
        <w:t>pensasjonsor</w:t>
      </w:r>
      <w:r>
        <w:t>d</w:t>
      </w:r>
      <w:r>
        <w:t>ning som hindrer at reformen fører til reduksjon i bostøtten. Ordningen omfattet om lag 12 000 av i alt 15 300 uføre mottakere per januar 2019, mot om lag 13 300 på samme tid i 2018.</w:t>
      </w:r>
    </w:p>
    <w:p w:rsidR="00557A6F" w:rsidRDefault="00557A6F" w:rsidP="00557A6F">
      <w:r>
        <w:t>I 2016 fikk Husbanken adgang til å gi bostøtte til personer bosatt i private bokollektiv på visse vi</w:t>
      </w:r>
      <w:r>
        <w:t>l</w:t>
      </w:r>
      <w:r>
        <w:t>kår. Tiltaket skulle forenkle bosettingen av flyktninger og andre vanskeligstilte på boligmarkedet. I 2018 og 2019 har antall mottakere i slike kollektiver variert mellom 1 400 og 1 700 personer.</w:t>
      </w:r>
    </w:p>
    <w:p w:rsidR="00557A6F" w:rsidRDefault="00557A6F" w:rsidP="00557A6F">
      <w:r>
        <w:t>I saldert budsjett for 2019 ble det bevilget 2 828,6 mill. kroner til bostøtte. Budsjettet forutsatte at i gjennomsnitt 89 200 mottakere ville motta 31 600 kroner i bostøtte. I juli 2019 mottok 79 500 hu</w:t>
      </w:r>
      <w:r>
        <w:t>s</w:t>
      </w:r>
      <w:r>
        <w:t>stander bostøtte. Dette er om lag 4 300 færre enn i samme måned året før. Nedgangen skyldes først og fremst færre søknader.</w:t>
      </w:r>
    </w:p>
    <w:p w:rsidR="00557A6F" w:rsidRDefault="00557A6F" w:rsidP="00557A6F">
      <w:pPr>
        <w:pStyle w:val="avsnitt-tittel"/>
      </w:pPr>
      <w:r>
        <w:t>Budsjettforslag</w:t>
      </w:r>
    </w:p>
    <w:p w:rsidR="00557A6F" w:rsidRDefault="00557A6F" w:rsidP="00557A6F">
      <w:r>
        <w:t>For å bidra til å redusere barnefattigdom, ble bostøtten for 26 000 barnefamilier og andre store hu</w:t>
      </w:r>
      <w:r>
        <w:t>s</w:t>
      </w:r>
      <w:r>
        <w:t>stander økt med opptil 8 140 kroner per år i forbindelse med revidert budsjett for 2019. Tiltaket får full bu</w:t>
      </w:r>
      <w:r>
        <w:t>d</w:t>
      </w:r>
      <w:r>
        <w:t xml:space="preserve">sjetteffekt i 2020, og øker bevilgningsbehovet med 158 mill. kroner. </w:t>
      </w:r>
    </w:p>
    <w:p w:rsidR="00557A6F" w:rsidRDefault="00557A6F" w:rsidP="00557A6F">
      <w:r>
        <w:t>1. januar 2020 trer en rekke kommunesammenslåinger i kraft. I enkelte tilfeller slås presskomm</w:t>
      </w:r>
      <w:r>
        <w:t>u</w:t>
      </w:r>
      <w:r>
        <w:t>ner som har særlig høye boutgiftstak sammen med nabokommuner som ikke har hatt det. For å likebehandle alle bostøttemottakere i samme kommune, legges det til grunn at de høyeste boutgif</w:t>
      </w:r>
      <w:r>
        <w:t>t</w:t>
      </w:r>
      <w:r>
        <w:t>stakene skal gjelde i hele den nye ko</w:t>
      </w:r>
      <w:r>
        <w:t>m</w:t>
      </w:r>
      <w:r>
        <w:t>munen. På bakgrunn av dette foreslås det å øke bevilgningen med 9 mill. kroner i 2020. Hvilke kommuner dette gjelder, framgår av tabellen nedenfor.</w:t>
      </w:r>
    </w:p>
    <w:p w:rsidR="00557A6F" w:rsidRDefault="00557A6F" w:rsidP="00557A6F">
      <w:pPr>
        <w:pStyle w:val="Tabellnavn"/>
      </w:pPr>
      <w:r>
        <w:t>03N1xx2</w:t>
      </w:r>
    </w:p>
    <w:tbl>
      <w:tblPr>
        <w:tblStyle w:val="StandardTabell"/>
        <w:tblW w:w="0" w:type="auto"/>
        <w:tblLayout w:type="fixed"/>
        <w:tblLook w:val="04A0" w:firstRow="1" w:lastRow="0" w:firstColumn="1" w:lastColumn="0" w:noHBand="0" w:noVBand="1"/>
      </w:tblPr>
      <w:tblGrid>
        <w:gridCol w:w="3060"/>
        <w:gridCol w:w="3060"/>
        <w:gridCol w:w="3060"/>
      </w:tblGrid>
      <w:tr w:rsidR="00557A6F" w:rsidTr="00557A6F">
        <w:trPr>
          <w:trHeight w:val="360"/>
        </w:trPr>
        <w:tc>
          <w:tcPr>
            <w:tcW w:w="3060" w:type="dxa"/>
            <w:shd w:val="clear" w:color="auto" w:fill="FFFFFF"/>
          </w:tcPr>
          <w:p w:rsidR="00557A6F" w:rsidRDefault="00557A6F" w:rsidP="00557A6F">
            <w:r>
              <w:t>Kommune fra 1.1.2020</w:t>
            </w:r>
          </w:p>
        </w:tc>
        <w:tc>
          <w:tcPr>
            <w:tcW w:w="3060" w:type="dxa"/>
          </w:tcPr>
          <w:p w:rsidR="00557A6F" w:rsidRDefault="00557A6F" w:rsidP="00557A6F">
            <w:r>
              <w:t>Tidligere kommune med hevet tak</w:t>
            </w:r>
          </w:p>
        </w:tc>
        <w:tc>
          <w:tcPr>
            <w:tcW w:w="3060" w:type="dxa"/>
          </w:tcPr>
          <w:p w:rsidR="00557A6F" w:rsidRDefault="00557A6F" w:rsidP="00557A6F">
            <w:r>
              <w:t>Tidligere kommuner uten h</w:t>
            </w:r>
            <w:r>
              <w:t>e</w:t>
            </w:r>
            <w:r>
              <w:t>vet tak</w:t>
            </w:r>
          </w:p>
        </w:tc>
      </w:tr>
      <w:tr w:rsidR="00557A6F" w:rsidTr="00557A6F">
        <w:trPr>
          <w:trHeight w:val="380"/>
        </w:trPr>
        <w:tc>
          <w:tcPr>
            <w:tcW w:w="3060" w:type="dxa"/>
          </w:tcPr>
          <w:p w:rsidR="00557A6F" w:rsidRDefault="00557A6F" w:rsidP="00557A6F">
            <w:r>
              <w:t>Nordre Follo</w:t>
            </w:r>
          </w:p>
        </w:tc>
        <w:tc>
          <w:tcPr>
            <w:tcW w:w="3060" w:type="dxa"/>
          </w:tcPr>
          <w:p w:rsidR="00557A6F" w:rsidRDefault="00557A6F" w:rsidP="00557A6F">
            <w:r>
              <w:t>Oppegård</w:t>
            </w:r>
          </w:p>
        </w:tc>
        <w:tc>
          <w:tcPr>
            <w:tcW w:w="3060" w:type="dxa"/>
          </w:tcPr>
          <w:p w:rsidR="00557A6F" w:rsidRDefault="00557A6F" w:rsidP="00557A6F">
            <w:r>
              <w:t>Ski</w:t>
            </w:r>
          </w:p>
        </w:tc>
      </w:tr>
      <w:tr w:rsidR="00557A6F" w:rsidTr="00557A6F">
        <w:trPr>
          <w:trHeight w:val="380"/>
        </w:trPr>
        <w:tc>
          <w:tcPr>
            <w:tcW w:w="3060" w:type="dxa"/>
          </w:tcPr>
          <w:p w:rsidR="00557A6F" w:rsidRDefault="00557A6F" w:rsidP="00557A6F">
            <w:r>
              <w:t>Lillestrøm</w:t>
            </w:r>
          </w:p>
        </w:tc>
        <w:tc>
          <w:tcPr>
            <w:tcW w:w="3060" w:type="dxa"/>
          </w:tcPr>
          <w:p w:rsidR="00557A6F" w:rsidRDefault="00557A6F" w:rsidP="00557A6F">
            <w:r>
              <w:t>Skedsmo</w:t>
            </w:r>
          </w:p>
        </w:tc>
        <w:tc>
          <w:tcPr>
            <w:tcW w:w="3060" w:type="dxa"/>
          </w:tcPr>
          <w:p w:rsidR="00557A6F" w:rsidRDefault="00557A6F" w:rsidP="00557A6F">
            <w:r>
              <w:t>Sørum, Fet</w:t>
            </w:r>
          </w:p>
        </w:tc>
      </w:tr>
      <w:tr w:rsidR="00557A6F" w:rsidTr="00557A6F">
        <w:trPr>
          <w:trHeight w:val="380"/>
        </w:trPr>
        <w:tc>
          <w:tcPr>
            <w:tcW w:w="3060" w:type="dxa"/>
          </w:tcPr>
          <w:p w:rsidR="00557A6F" w:rsidRDefault="00557A6F" w:rsidP="00557A6F">
            <w:r>
              <w:t>Asker</w:t>
            </w:r>
          </w:p>
        </w:tc>
        <w:tc>
          <w:tcPr>
            <w:tcW w:w="3060" w:type="dxa"/>
          </w:tcPr>
          <w:p w:rsidR="00557A6F" w:rsidRDefault="00557A6F" w:rsidP="00557A6F">
            <w:r>
              <w:t>Asker</w:t>
            </w:r>
          </w:p>
        </w:tc>
        <w:tc>
          <w:tcPr>
            <w:tcW w:w="3060" w:type="dxa"/>
          </w:tcPr>
          <w:p w:rsidR="00557A6F" w:rsidRDefault="00557A6F" w:rsidP="00557A6F">
            <w:r>
              <w:t>Røyken, Hurum</w:t>
            </w:r>
          </w:p>
        </w:tc>
      </w:tr>
      <w:tr w:rsidR="00557A6F" w:rsidTr="00557A6F">
        <w:trPr>
          <w:trHeight w:val="380"/>
        </w:trPr>
        <w:tc>
          <w:tcPr>
            <w:tcW w:w="3060" w:type="dxa"/>
          </w:tcPr>
          <w:p w:rsidR="00557A6F" w:rsidRDefault="00557A6F" w:rsidP="00557A6F">
            <w:r>
              <w:t>Kristiansand</w:t>
            </w:r>
          </w:p>
        </w:tc>
        <w:tc>
          <w:tcPr>
            <w:tcW w:w="3060" w:type="dxa"/>
          </w:tcPr>
          <w:p w:rsidR="00557A6F" w:rsidRDefault="00557A6F" w:rsidP="00557A6F">
            <w:r>
              <w:t>Kristiansand</w:t>
            </w:r>
          </w:p>
        </w:tc>
        <w:tc>
          <w:tcPr>
            <w:tcW w:w="3060" w:type="dxa"/>
          </w:tcPr>
          <w:p w:rsidR="00557A6F" w:rsidRDefault="00557A6F" w:rsidP="00557A6F">
            <w:r>
              <w:t>Songdalen, Søgne</w:t>
            </w:r>
          </w:p>
        </w:tc>
      </w:tr>
      <w:tr w:rsidR="00557A6F" w:rsidTr="00557A6F">
        <w:trPr>
          <w:trHeight w:val="380"/>
        </w:trPr>
        <w:tc>
          <w:tcPr>
            <w:tcW w:w="3060" w:type="dxa"/>
          </w:tcPr>
          <w:p w:rsidR="00557A6F" w:rsidRDefault="00557A6F" w:rsidP="00557A6F">
            <w:r>
              <w:t>Sandnes</w:t>
            </w:r>
          </w:p>
        </w:tc>
        <w:tc>
          <w:tcPr>
            <w:tcW w:w="3060" w:type="dxa"/>
          </w:tcPr>
          <w:p w:rsidR="00557A6F" w:rsidRDefault="00557A6F" w:rsidP="00557A6F">
            <w:r>
              <w:t>Sandnes</w:t>
            </w:r>
          </w:p>
        </w:tc>
        <w:tc>
          <w:tcPr>
            <w:tcW w:w="3060" w:type="dxa"/>
          </w:tcPr>
          <w:p w:rsidR="00557A6F" w:rsidRDefault="00557A6F" w:rsidP="00557A6F">
            <w:r>
              <w:t>Forsand</w:t>
            </w:r>
          </w:p>
        </w:tc>
      </w:tr>
      <w:tr w:rsidR="00557A6F" w:rsidTr="00557A6F">
        <w:trPr>
          <w:trHeight w:val="380"/>
        </w:trPr>
        <w:tc>
          <w:tcPr>
            <w:tcW w:w="3060" w:type="dxa"/>
          </w:tcPr>
          <w:p w:rsidR="00557A6F" w:rsidRDefault="00557A6F" w:rsidP="00557A6F">
            <w:r>
              <w:t>Stavanger</w:t>
            </w:r>
          </w:p>
        </w:tc>
        <w:tc>
          <w:tcPr>
            <w:tcW w:w="3060" w:type="dxa"/>
          </w:tcPr>
          <w:p w:rsidR="00557A6F" w:rsidRDefault="00557A6F" w:rsidP="00557A6F">
            <w:r>
              <w:t>Stavanger</w:t>
            </w:r>
          </w:p>
        </w:tc>
        <w:tc>
          <w:tcPr>
            <w:tcW w:w="3060" w:type="dxa"/>
          </w:tcPr>
          <w:p w:rsidR="00557A6F" w:rsidRDefault="00557A6F" w:rsidP="00557A6F">
            <w:r>
              <w:t>Finnøy, Rennesøy</w:t>
            </w:r>
          </w:p>
        </w:tc>
      </w:tr>
      <w:tr w:rsidR="00557A6F" w:rsidTr="00557A6F">
        <w:trPr>
          <w:trHeight w:val="380"/>
        </w:trPr>
        <w:tc>
          <w:tcPr>
            <w:tcW w:w="3060" w:type="dxa"/>
          </w:tcPr>
          <w:p w:rsidR="00557A6F" w:rsidRDefault="00557A6F" w:rsidP="00557A6F">
            <w:r>
              <w:t>Trondheim</w:t>
            </w:r>
          </w:p>
        </w:tc>
        <w:tc>
          <w:tcPr>
            <w:tcW w:w="3060" w:type="dxa"/>
          </w:tcPr>
          <w:p w:rsidR="00557A6F" w:rsidRDefault="00557A6F" w:rsidP="00557A6F">
            <w:r>
              <w:t>Trondheim</w:t>
            </w:r>
          </w:p>
        </w:tc>
        <w:tc>
          <w:tcPr>
            <w:tcW w:w="3060" w:type="dxa"/>
          </w:tcPr>
          <w:p w:rsidR="00557A6F" w:rsidRDefault="00557A6F" w:rsidP="00557A6F">
            <w:r>
              <w:t>Klæbu</w:t>
            </w:r>
          </w:p>
        </w:tc>
      </w:tr>
    </w:tbl>
    <w:p w:rsidR="00557A6F" w:rsidRDefault="00557A6F" w:rsidP="00557A6F">
      <w:r>
        <w:t xml:space="preserve">I forbindelse med revidert budsjett for 2019 ble regelverket for minstepensjonistene og for unge uføre som er en del av overgangsordningen fra 2009 justert, jf. omtale ovenfor. På bakgrunn av dette foreslås det å øke bevilgningen med henholdsvis 3,4 mill. kroner og 2 mill. kroner i 2020. </w:t>
      </w:r>
    </w:p>
    <w:p w:rsidR="00557A6F" w:rsidRDefault="00557A6F" w:rsidP="00557A6F">
      <w:r>
        <w:t>Med bakgrunn i SSBs prognoser for blant annet sysselsetting og realinntekt forventes det en redu</w:t>
      </w:r>
      <w:r>
        <w:t>k</w:t>
      </w:r>
      <w:r>
        <w:t xml:space="preserve">sjon i antall søkere fram til 2021. Dette reduserer anslått bevilgningsbehov med om lag 245 mill. kroner i 2020. </w:t>
      </w:r>
    </w:p>
    <w:p w:rsidR="00557A6F" w:rsidRDefault="00557A6F" w:rsidP="00557A6F">
      <w:r>
        <w:t>Samlet foreslås det å øke bevilgningen med 13,8 mill. kroner, til 2 842,3 mill. kroner. Det er lagt til grunn at i gjennomsnitt om lag 82 900 husstander vil få bostøtte hver måned, og at de i gjenno</w:t>
      </w:r>
      <w:r>
        <w:t>m</w:t>
      </w:r>
      <w:r>
        <w:t>snitt vil motta 34 000 kr</w:t>
      </w:r>
      <w:r>
        <w:t>o</w:t>
      </w:r>
      <w:r>
        <w:t>ner i bostøtte i 2020. I tillegg er det forutsatt at det vil bli etterbetalt om lag 20 mill. kr</w:t>
      </w:r>
      <w:r>
        <w:t>o</w:t>
      </w:r>
      <w:r>
        <w:t>ner, blant annet som følge av feilrettinger og klagebehandling.</w:t>
      </w:r>
    </w:p>
    <w:p w:rsidR="00557A6F" w:rsidRDefault="00557A6F" w:rsidP="00557A6F">
      <w:pPr>
        <w:pStyle w:val="b-post"/>
      </w:pPr>
      <w:r>
        <w:lastRenderedPageBreak/>
        <w:t>Post 75 Etablering og tilpasning av bolig</w:t>
      </w:r>
    </w:p>
    <w:p w:rsidR="00557A6F" w:rsidRDefault="00557A6F" w:rsidP="00557A6F">
      <w:r>
        <w:t>Det er to tilskuddsordninger på posten: tilskudd til etablering og tilskudd til tilpasning. Tilskudd til eta</w:t>
      </w:r>
      <w:r>
        <w:t>b</w:t>
      </w:r>
      <w:r>
        <w:t>lering skal bidra til at vanskeligstilte skal kunne etablere seg i og beholde egen bolig. Tilskudd til tilpa</w:t>
      </w:r>
      <w:r>
        <w:t>s</w:t>
      </w:r>
      <w:r>
        <w:t>ning av bolig skal bidra til at personer med spesielle behov får tilpasset boligen. Det vises til Prop. 1 S (2018–2019) for nærmere redegjørelse for måloppnåelse, tildelingskriterier, oppfø</w:t>
      </w:r>
      <w:r>
        <w:t>l</w:t>
      </w:r>
      <w:r>
        <w:t>ging og kontroll av ordningene.</w:t>
      </w:r>
    </w:p>
    <w:p w:rsidR="00557A6F" w:rsidRDefault="00557A6F" w:rsidP="00557A6F">
      <w:pPr>
        <w:pStyle w:val="avsnitt-tittel"/>
      </w:pPr>
      <w:r>
        <w:t>Rapport</w:t>
      </w:r>
    </w:p>
    <w:p w:rsidR="00557A6F" w:rsidRDefault="00557A6F" w:rsidP="00557A6F">
      <w:r>
        <w:t>I 2018 ble det utbetalt tilskudd til etablering og tilpasning for til sammen 478,2 mill. kroner, en økning på om lag 15 mill. kroner fra 2017.</w:t>
      </w:r>
    </w:p>
    <w:p w:rsidR="00557A6F" w:rsidRDefault="00557A6F" w:rsidP="00557A6F">
      <w:r>
        <w:t>Det ble gitt til sammen 411 mill. kroner i tilskudd til etablering til 1 663 husstander i 2018, mot 396 mill. kroner til 1 583 husstander i 2017. Det gjennomsnittlige tilskuddsbeløpet gikk ned fra 250 000 kroner til 247 000 kroner.</w:t>
      </w:r>
    </w:p>
    <w:p w:rsidR="00557A6F" w:rsidRDefault="00557A6F" w:rsidP="00557A6F">
      <w:r>
        <w:t>I 2018 flyttet 966 husstander fra leid til eid bolig ved hjelp av tilskudd til etablering. Det er 6 flere enn i 2017. I tillegg fikk 362 husstander hjelp til å beholde boligen sin, en økning på vel 70 hu</w:t>
      </w:r>
      <w:r>
        <w:t>s</w:t>
      </w:r>
      <w:r>
        <w:t>stander fra 2017.</w:t>
      </w:r>
    </w:p>
    <w:p w:rsidR="00557A6F" w:rsidRDefault="00557A6F" w:rsidP="00557A6F">
      <w:r>
        <w:t>Kommunene har anledning til å sette av etableringstilskudd til å dekke tap på startlån. Muligheten for slike fondsavsetninger har i flere år vært strammet inn fordi kommunene i en periode satte av store mi</w:t>
      </w:r>
      <w:r>
        <w:t>d</w:t>
      </w:r>
      <w:r>
        <w:t>ler til fondene. Fondene utgjorde 341 mill. kroner ved utgangen av 2018. Det er på samme nivå som i 2017. Det tilsvarer 0,6 pst. av Husbankens startlånsportefølje. Det ble i 2018 trukket om lag 23 mill. kroner av fondene til å dekke komm</w:t>
      </w:r>
      <w:r>
        <w:t>u</w:t>
      </w:r>
      <w:r>
        <w:t>nale tap på startlån.</w:t>
      </w:r>
    </w:p>
    <w:p w:rsidR="00557A6F" w:rsidRDefault="00557A6F" w:rsidP="00557A6F">
      <w:r>
        <w:t>I 2018 ble det gitt 897 tilskudd til tilpasning for til sammen 96 mill. kroner, det samme beløpet som i 2017. Gjennomsnittlig tilskudd økte fra 99 000 kroner i 2017 til 107 000 kroner i 2018. I 2018 gikk om lag halvparten av tilskuddsmidlene til barnefamilier. Samme år ble det gitt tilskudd til pr</w:t>
      </w:r>
      <w:r>
        <w:t>o</w:t>
      </w:r>
      <w:r>
        <w:t>sjektering til 362 husstander for 9,5 mill. kroner.</w:t>
      </w:r>
    </w:p>
    <w:p w:rsidR="00557A6F" w:rsidRDefault="00557A6F" w:rsidP="00557A6F">
      <w:r>
        <w:t>I forbindelse med revidert nasjonalbudsjett for 2019 ble bevilgningen til tilskudd til etablering økt med 110 mill. kroner. Tiltaket skal bidra til å hjelpe flere barnefamilier fra leie til eie av bolig. Det vil sikre at flere fattige familier får mer stabile og selvstendige boforhold, samtidig som flere utle</w:t>
      </w:r>
      <w:r>
        <w:t>i</w:t>
      </w:r>
      <w:r>
        <w:t xml:space="preserve">eboliger frigjøres til andre mer vanskeligstilte. Det vises til Prop. 114 S (2018–2019) </w:t>
      </w:r>
      <w:r>
        <w:rPr>
          <w:rStyle w:val="kursiv"/>
          <w:sz w:val="21"/>
          <w:szCs w:val="21"/>
        </w:rPr>
        <w:t>Tilleggsbevil</w:t>
      </w:r>
      <w:r>
        <w:rPr>
          <w:rStyle w:val="kursiv"/>
          <w:sz w:val="21"/>
          <w:szCs w:val="21"/>
        </w:rPr>
        <w:t>g</w:t>
      </w:r>
      <w:r>
        <w:rPr>
          <w:rStyle w:val="kursiv"/>
          <w:sz w:val="21"/>
          <w:szCs w:val="21"/>
        </w:rPr>
        <w:t>ninger og omprior</w:t>
      </w:r>
      <w:r>
        <w:rPr>
          <w:rStyle w:val="kursiv"/>
          <w:sz w:val="21"/>
          <w:szCs w:val="21"/>
        </w:rPr>
        <w:t>i</w:t>
      </w:r>
      <w:r>
        <w:rPr>
          <w:rStyle w:val="kursiv"/>
          <w:sz w:val="21"/>
          <w:szCs w:val="21"/>
        </w:rPr>
        <w:t xml:space="preserve">teringer i statsbudsjettet for 2019 </w:t>
      </w:r>
      <w:r>
        <w:t xml:space="preserve">og Innst. 391 S (2018–2019). </w:t>
      </w:r>
    </w:p>
    <w:p w:rsidR="00557A6F" w:rsidRDefault="00557A6F" w:rsidP="00557A6F">
      <w:r>
        <w:t>Ved utgangen av august hadde Husbanken gitt tilsagn om 80 pst. av bevilgningen til etablering og ti</w:t>
      </w:r>
      <w:r>
        <w:t>l</w:t>
      </w:r>
      <w:r>
        <w:t xml:space="preserve">pasning for 2019, og kommunene hadde søkt om om lag 70 mill. kroner av tilleggsbevilgningen for å bistå vanskeligstilte barnefamilier med å kjøpe egen bolig. </w:t>
      </w:r>
    </w:p>
    <w:p w:rsidR="00557A6F" w:rsidRDefault="00557A6F" w:rsidP="00557A6F">
      <w:pPr>
        <w:pStyle w:val="avsnitt-tittel"/>
      </w:pPr>
      <w:r>
        <w:t>Budsjettforslag</w:t>
      </w:r>
    </w:p>
    <w:p w:rsidR="00557A6F" w:rsidRDefault="00557A6F" w:rsidP="00557A6F">
      <w:r>
        <w:t xml:space="preserve">Ansvaret for tilskudd til etablering i egen bolig og tilskudd til tilpasning av bolig overføres fra Husbanken til kommunene, og innlemmes i rammetilskuddet til kommunene fra 2020, jf. Meld. St. 14 (2014–2020) </w:t>
      </w:r>
      <w:r>
        <w:rPr>
          <w:rStyle w:val="kursiv"/>
          <w:sz w:val="21"/>
          <w:szCs w:val="21"/>
        </w:rPr>
        <w:t xml:space="preserve">Kommunereformen – nye oppgaver til større kommuner </w:t>
      </w:r>
      <w:r>
        <w:t xml:space="preserve">og </w:t>
      </w:r>
      <w:r>
        <w:rPr>
          <w:rStyle w:val="kursiv"/>
          <w:sz w:val="21"/>
          <w:szCs w:val="21"/>
        </w:rPr>
        <w:t>Høringsnotat om nye oppgaver til større kommuner</w:t>
      </w:r>
      <w:r>
        <w:t>. Det foreslås derfor å redusere bevilgningen på posten med 481,6 mill. kroner i 2020. Tilskuddsmi</w:t>
      </w:r>
      <w:r>
        <w:t>d</w:t>
      </w:r>
      <w:r>
        <w:t>lene som tidligere gikk til etablering og tilpasning fordeles i rammetilskuddet etter sosialhjelpsnøkkelen i 2020.</w:t>
      </w:r>
    </w:p>
    <w:p w:rsidR="00557A6F" w:rsidRDefault="00557A6F" w:rsidP="00557A6F">
      <w:pPr>
        <w:pStyle w:val="b-post"/>
      </w:pPr>
      <w:r>
        <w:t>Post 76 Utleieboliger, kan overføres</w:t>
      </w:r>
    </w:p>
    <w:p w:rsidR="00557A6F" w:rsidRDefault="00557A6F" w:rsidP="00557A6F">
      <w:r>
        <w:t>Tilskuddet skal bidra til flere egnede utleieboliger for vanskeligstilte på boligmarkedet.</w:t>
      </w:r>
    </w:p>
    <w:p w:rsidR="00557A6F" w:rsidRDefault="00557A6F" w:rsidP="00557A6F">
      <w:r>
        <w:t>Måloppnåelse vurderes etter følgende kriterier:</w:t>
      </w:r>
    </w:p>
    <w:p w:rsidR="00557A6F" w:rsidRDefault="00557A6F" w:rsidP="00557A6F">
      <w:pPr>
        <w:pStyle w:val="Liste"/>
      </w:pPr>
      <w:r>
        <w:t>Antall utleieboliger som har fått tilsagn om tilskudd.</w:t>
      </w:r>
    </w:p>
    <w:p w:rsidR="00557A6F" w:rsidRDefault="00557A6F" w:rsidP="00557A6F">
      <w:pPr>
        <w:pStyle w:val="Liste"/>
      </w:pPr>
      <w:r>
        <w:t xml:space="preserve">Antall kommunalt disponerte utleieboliger for vanskeligstilte. </w:t>
      </w:r>
    </w:p>
    <w:p w:rsidR="00557A6F" w:rsidRDefault="00557A6F" w:rsidP="00557A6F">
      <w:r>
        <w:t>Kommuner, selskaper og andre som har til formål å leie ut boliger til vanskeligstilte kan søke om ti</w:t>
      </w:r>
      <w:r>
        <w:t>l</w:t>
      </w:r>
      <w:r>
        <w:t>skudd. Tilskudd kan gis til oppføring, kjøp og ombygging av andre boliger til utleieboliger for vanskelig</w:t>
      </w:r>
      <w:r>
        <w:t>s</w:t>
      </w:r>
      <w:r>
        <w:t>tilte. Tilskuddet avskrives over 30 år. For å øke måloppnåelsen for tilskuddet, kan det være aktuelt å gjennomføre forsøk.</w:t>
      </w:r>
    </w:p>
    <w:p w:rsidR="00557A6F" w:rsidRDefault="00557A6F" w:rsidP="00557A6F">
      <w:r>
        <w:lastRenderedPageBreak/>
        <w:t>Tilskuddet forvaltes av Husbanken. Kommunene skal rapportere årlig på bruken av utleieboliger som har fått tilskudd. Tilskuddet skal tilbakebetales dersom forutsetningene for tildelingen ikke overholdes, jf. forskrift om tilskudd til utleieboliger fra Husbanken.</w:t>
      </w:r>
    </w:p>
    <w:p w:rsidR="00557A6F" w:rsidRDefault="00557A6F" w:rsidP="00557A6F">
      <w:pPr>
        <w:pStyle w:val="avsnitt-tittel"/>
      </w:pPr>
      <w:r>
        <w:t>Rapport</w:t>
      </w:r>
    </w:p>
    <w:p w:rsidR="00557A6F" w:rsidRDefault="00557A6F" w:rsidP="00557A6F">
      <w:r>
        <w:t>I 2018 ga Husbanken tilsagn om tilskudd til utleieboliger for 394 mill. kroner til 675 utleieboliger, mot 755,5 mill. kroner til 1 334 boliger i 2017. Gjennomsnittstilskuddet per bolig økte fra 566 700 kroner i 2017 til 583 700 kroner i 2018.</w:t>
      </w:r>
    </w:p>
    <w:p w:rsidR="00557A6F" w:rsidRDefault="00557A6F" w:rsidP="00557A6F">
      <w:r>
        <w:t>Etterspørselen etter tilskudd til utleieboliger har vært fallende de siste årene. Lavere etterspørsel skyldes trolig at kommunene har investert i et høyt antall boliger de siste årene og at det skal b</w:t>
      </w:r>
      <w:r>
        <w:t>o</w:t>
      </w:r>
      <w:r>
        <w:t>settes færre flyktninger fremover. Mindreforbruket de siste årene skyldes også at Oslo kommune stilte sine saker i bero i en periode. Ny forskrift for tilskudd til utleieboliger trådte i kraft 1. januar 2018. Endringene innebar blant annet standardisering av tilskuddsutmålingen og lengre avskri</w:t>
      </w:r>
      <w:r>
        <w:t>v</w:t>
      </w:r>
      <w:r>
        <w:t>ningsperiode. Dette kan også ha ført til at kommuner opplever tilskuddet som mindre attraktivt. Tilsagnsrammen ble derfor redusert med om lag 357 mill. kroner i nysalderingen av statsbu</w:t>
      </w:r>
      <w:r>
        <w:t>d</w:t>
      </w:r>
      <w:r>
        <w:t xml:space="preserve">sjettet for 2018, jf. Prop. 20 S (2018–2019). I forbindelse med revidert nasjonalbudsjett for 2019 vedtok Stortinget også en reduksjon av tilsagnsrammen med om lag 356 mill. kroner, jf. Prop. 114 S (2018–2019) </w:t>
      </w:r>
      <w:r>
        <w:rPr>
          <w:rStyle w:val="kursiv"/>
          <w:sz w:val="21"/>
          <w:szCs w:val="21"/>
        </w:rPr>
        <w:t xml:space="preserve">Tilleggsbevilgninger og omprioriteringer i statsbudsjettet for 2019 </w:t>
      </w:r>
      <w:r>
        <w:t>og Innst. 391 S (2018–2019)</w:t>
      </w:r>
      <w:r>
        <w:rPr>
          <w:rStyle w:val="kursiv"/>
          <w:sz w:val="21"/>
          <w:szCs w:val="21"/>
        </w:rPr>
        <w:t>.</w:t>
      </w:r>
      <w:r>
        <w:t xml:space="preserve"> Selv om det er lavere etterspørsel etter tilskudd til utleieboliger, har ikke de boligs</w:t>
      </w:r>
      <w:r>
        <w:t>o</w:t>
      </w:r>
      <w:r>
        <w:t>siale utfordringene blitt mindre. Parallelt ble det de</w:t>
      </w:r>
      <w:r>
        <w:t>r</w:t>
      </w:r>
      <w:r>
        <w:t>for vedtatt å øke bevilgningene til tilskudd til etablering og til bostøtte, jf. omtale under post 70 og 75.</w:t>
      </w:r>
    </w:p>
    <w:p w:rsidR="00557A6F" w:rsidRDefault="00557A6F" w:rsidP="00557A6F">
      <w:r>
        <w:t>I 2018 disponerte kommunene 110 171 utleieboliger, mot 110 994 boliger i 2017. Kommunene rappo</w:t>
      </w:r>
      <w:r>
        <w:t>r</w:t>
      </w:r>
      <w:r>
        <w:t>terer ikke om hvor mange av disse boligene som går til vanskeligstilte på boligmarkedet, og hvilke som er omsorgsboliger og boliger uten behovsprøving i sin rapportering. I en rapport fra 2018 anslo imidlertid SSB at 56 pst. av de kommun</w:t>
      </w:r>
      <w:r>
        <w:t>a</w:t>
      </w:r>
      <w:r>
        <w:t xml:space="preserve">le boligene er tildelt vanskeligstilte grupper, noe som utgjør om lag 61 600 boliger i 2018. </w:t>
      </w:r>
    </w:p>
    <w:p w:rsidR="00557A6F" w:rsidRDefault="00557A6F" w:rsidP="00557A6F">
      <w:r>
        <w:t>I 2019 er 50 mill. kroner av tilsagnsrammen øremerket opptrappingsplanen for rusfeltet. Ved u</w:t>
      </w:r>
      <w:r>
        <w:t>t</w:t>
      </w:r>
      <w:r>
        <w:t xml:space="preserve">gangen av juli 2019 er det gitt tilsagn for 19 mill. kroner til målgruppen. </w:t>
      </w:r>
    </w:p>
    <w:p w:rsidR="00557A6F" w:rsidRDefault="00557A6F" w:rsidP="00557A6F">
      <w:pPr>
        <w:pStyle w:val="avsnitt-tittel"/>
      </w:pPr>
      <w:r>
        <w:t>Budsjettforslag</w:t>
      </w:r>
    </w:p>
    <w:p w:rsidR="00557A6F" w:rsidRDefault="00557A6F" w:rsidP="00557A6F">
      <w:r>
        <w:t>Det foreslås en bevilgning på 485,1 mill. kroner i 2020. Posten budsjetteres med tilsagnsramme, tilsagn</w:t>
      </w:r>
      <w:r>
        <w:t>s</w:t>
      </w:r>
      <w:r>
        <w:t>fullmakt og bevilgning.</w:t>
      </w:r>
    </w:p>
    <w:p w:rsidR="00557A6F" w:rsidRDefault="00557A6F" w:rsidP="00557A6F">
      <w:r>
        <w:t>På grunn av vedvarende lav etterspørsel etter tilskudd til utleieboliger, foreslår regjeringen å vid</w:t>
      </w:r>
      <w:r>
        <w:t>e</w:t>
      </w:r>
      <w:r>
        <w:t>reføre tilsagn</w:t>
      </w:r>
      <w:r>
        <w:t>s</w:t>
      </w:r>
      <w:r>
        <w:t>rammen på samme nivå som 2019. I forhold til saldert budsjett for 2019 reduseres dermed tilsagnsrammen med 356 mill. kroner i 2020 til 501,4 mill. kroner. Det innebærer isolert sett til en reduksjon av bevilgningen på 160 mill. kroner. Totalt kan det gis tilsagn til om lag 890 utleieboliger i 2020.</w:t>
      </w:r>
    </w:p>
    <w:p w:rsidR="00557A6F" w:rsidRDefault="00557A6F" w:rsidP="00557A6F">
      <w:r>
        <w:t xml:space="preserve">Som følge av justering og mindreforbruk av tilsagnsrammen fra tidligere år, reduseres bevilgningen i 2020 med ytterligere 65,4 mill. kroner. </w:t>
      </w:r>
    </w:p>
    <w:p w:rsidR="00557A6F" w:rsidRDefault="00557A6F" w:rsidP="00557A6F">
      <w:r>
        <w:t>Samlet foreslås det å redusere bevilgningen med 225,4 mill. kroner til 485,1 mill. kroner i 2020. Av dette er 225,6 mill. kroner knyttet til tilsagn som skal gis i 2020, mens 259,4 mill. kroner er knyttet til tilsagn som er gitt tidligere år.</w:t>
      </w:r>
    </w:p>
    <w:p w:rsidR="00557A6F" w:rsidRDefault="00557A6F" w:rsidP="00557A6F">
      <w:r>
        <w:t>Det foreslås en tilsagnsfullmakt på 384,8 mill. kroner i 2020, jf. forslag til romertallsvedtak.</w:t>
      </w:r>
    </w:p>
    <w:p w:rsidR="00557A6F" w:rsidRDefault="00557A6F" w:rsidP="00557A6F">
      <w:pPr>
        <w:pStyle w:val="b-post"/>
      </w:pPr>
      <w:r>
        <w:t>Post 77 Bærekraftig bolig- og byggkvalitet, kan overføres</w:t>
      </w:r>
    </w:p>
    <w:p w:rsidR="00557A6F" w:rsidRDefault="00557A6F" w:rsidP="00557A6F">
      <w:r>
        <w:t>Ordningen ble avviklet i 2017. Tilskuddet skulle bidra til flere miljø- og energivennlige og unive</w:t>
      </w:r>
      <w:r>
        <w:t>r</w:t>
      </w:r>
      <w:r>
        <w:t>selt utformede boliger, bygg og uteområder. Tilskuddet hadde en flerårig utbetalingsprofil, jf. Prop. 1 S (2016–2017). I 2018 ble det utbetalt 14,3 mill. kroner til gjenstående tidligere gitte tilsagn.</w:t>
      </w:r>
    </w:p>
    <w:p w:rsidR="00557A6F" w:rsidRDefault="00557A6F" w:rsidP="00557A6F">
      <w:pPr>
        <w:pStyle w:val="b-post"/>
      </w:pPr>
      <w:r>
        <w:t>Post 78 Boligsosiale tiltak, kan overføres</w:t>
      </w:r>
    </w:p>
    <w:p w:rsidR="00557A6F" w:rsidRDefault="00557A6F" w:rsidP="00557A6F">
      <w:r>
        <w:t>Tilskuddet skal stimulere til kunnskapsutvikling, nytenkning og innovasjon om boligsosialt arbeid og boligsosial politikk. Tilskuddet skal bidra til å forebygge at folk blir vanskeligstilte på boli</w:t>
      </w:r>
      <w:r>
        <w:t>g</w:t>
      </w:r>
      <w:r>
        <w:t xml:space="preserve">markedet, og bidra til at vanskeligstilte kan skaffe seg og beholde en egnet bolig. </w:t>
      </w:r>
    </w:p>
    <w:p w:rsidR="00557A6F" w:rsidRDefault="00557A6F" w:rsidP="00557A6F">
      <w:r>
        <w:lastRenderedPageBreak/>
        <w:t>Måloppnåelse vurderes etter følgende kriterier:</w:t>
      </w:r>
    </w:p>
    <w:p w:rsidR="00557A6F" w:rsidRDefault="00557A6F" w:rsidP="00557A6F">
      <w:pPr>
        <w:pStyle w:val="Liste"/>
      </w:pPr>
      <w:r>
        <w:t>Antall nye metoder, konsepter og løsninger som kan tas i bruk av flere som er finansiert gjennom ti</w:t>
      </w:r>
      <w:r>
        <w:t>l</w:t>
      </w:r>
      <w:r>
        <w:t>skuddet.</w:t>
      </w:r>
    </w:p>
    <w:p w:rsidR="00557A6F" w:rsidRDefault="00557A6F" w:rsidP="00557A6F">
      <w:pPr>
        <w:pStyle w:val="Liste"/>
      </w:pPr>
      <w:r>
        <w:t>Antall medlemmer i leietakerorganisasjoner som ivaretar leietakers interesser.</w:t>
      </w:r>
    </w:p>
    <w:p w:rsidR="00557A6F" w:rsidRDefault="00557A6F" w:rsidP="00557A6F">
      <w:r>
        <w:t>Tilskuddet skal gå til frivillige aktører, organisasjoner, stiftelser, sosiale entreprenører og andre som b</w:t>
      </w:r>
      <w:r>
        <w:t>i</w:t>
      </w:r>
      <w:r>
        <w:t>drar til:</w:t>
      </w:r>
    </w:p>
    <w:p w:rsidR="00557A6F" w:rsidRDefault="00557A6F" w:rsidP="00557A6F">
      <w:pPr>
        <w:pStyle w:val="Liste"/>
      </w:pPr>
      <w:r>
        <w:t>Kunnskapsutvikling, nytenkning og innovasjon om boligsosialt arbeid, blant annet gjennom forsøk for utvikling av nye metoder, konsepter og løsninger som kan tas i bruk av flere.</w:t>
      </w:r>
    </w:p>
    <w:p w:rsidR="00557A6F" w:rsidRDefault="00557A6F" w:rsidP="00557A6F">
      <w:pPr>
        <w:pStyle w:val="Liste"/>
      </w:pPr>
      <w:r>
        <w:t xml:space="preserve">Støtte til drift av leietakerorganisasjoner. </w:t>
      </w:r>
    </w:p>
    <w:p w:rsidR="00557A6F" w:rsidRDefault="00557A6F" w:rsidP="00557A6F">
      <w:r>
        <w:t>Det forutsettes at tilskuddsmottakerne samarbeider med Husbanken og/eller kommunen på det b</w:t>
      </w:r>
      <w:r>
        <w:t>o</w:t>
      </w:r>
      <w:r>
        <w:t>ligsosiale området.</w:t>
      </w:r>
    </w:p>
    <w:p w:rsidR="00557A6F" w:rsidRDefault="00557A6F" w:rsidP="00557A6F">
      <w:r>
        <w:t>Leietakerorganisasjoner som bidrar til å styrke leietakeres rettsikkerhet og kunnskap om leiema</w:t>
      </w:r>
      <w:r>
        <w:t>r</w:t>
      </w:r>
      <w:r>
        <w:t>kedet kan søke om driftsstøtte.</w:t>
      </w:r>
    </w:p>
    <w:p w:rsidR="00557A6F" w:rsidRDefault="00557A6F" w:rsidP="00557A6F">
      <w:r>
        <w:t>Husbanken forvalter tilskuddet. Tilskuddsmottakerne skal rapportere på hvert tiltak. Rapportene pu</w:t>
      </w:r>
      <w:r>
        <w:t>b</w:t>
      </w:r>
      <w:r>
        <w:t>liseres på Husbankens hjemmesider.</w:t>
      </w:r>
    </w:p>
    <w:p w:rsidR="00557A6F" w:rsidRDefault="00557A6F" w:rsidP="00557A6F">
      <w:pPr>
        <w:pStyle w:val="avsnitt-tittel"/>
      </w:pPr>
      <w:r>
        <w:t>Rapport</w:t>
      </w:r>
    </w:p>
    <w:p w:rsidR="00557A6F" w:rsidRDefault="00557A6F" w:rsidP="00557A6F">
      <w:r>
        <w:t>Tilskuddet hadde tidligere en treårig utbetalingsprofil. Fram til og med 2016 ble det også gitt ti</w:t>
      </w:r>
      <w:r>
        <w:t>l</w:t>
      </w:r>
      <w:r>
        <w:t xml:space="preserve">skudd til kommuner. Fra 2017 er den kommunerettede delen av tilskuddet gradvis innlemmet i kommunerammen. Den gjenstående delen av tilskuddet ble omgjort til et ettårig tilskudd i 2018, jf. Prop. 1 S (2017–2018). I 2018 ble det utbetalt om lag 19 mill. kroner til tidligere gitte tilsagn. </w:t>
      </w:r>
    </w:p>
    <w:p w:rsidR="00557A6F" w:rsidRDefault="00557A6F" w:rsidP="00557A6F">
      <w:r>
        <w:t>Det ble gitt tilskudd for 11 mill. kroner i 2018. Av dette ble det 9,6 mill. kroner tildelt 33 ulike pr</w:t>
      </w:r>
      <w:r>
        <w:t>o</w:t>
      </w:r>
      <w:r>
        <w:t>sjekter. Blant prosjektene som har fått støtte er SOS-barnebyer Norges prosjekt «Våre nye barn», som skal gjøre det enklere for kommunene å ta imot og gi god omsorg til barn som kommer alene til Norge. Vitenskapelige Høgskole AS (VID) har fått støtte til å utvikle studietilbud tilpasset mål og tematikk innenfor strategien Bolig for Velferd (2014–2020). Videre fikk Kommunale boliga</w:t>
      </w:r>
      <w:r>
        <w:t>d</w:t>
      </w:r>
      <w:r>
        <w:t>ministrasjoners landsråd (KBL) støtte til å utvikle og spre kunnskap om god praksis innen boligp</w:t>
      </w:r>
      <w:r>
        <w:t>o</w:t>
      </w:r>
      <w:r>
        <w:t xml:space="preserve">litikk og boligsosialt arbeid. </w:t>
      </w:r>
    </w:p>
    <w:p w:rsidR="00557A6F" w:rsidRDefault="00557A6F" w:rsidP="00557A6F">
      <w:r>
        <w:t>I tillegg mottok Leieboerforeningen 1,4 mill. kroner i tilskudd i 2018. Organisasjonene har til sammen 4 240 medlemmer.</w:t>
      </w:r>
    </w:p>
    <w:p w:rsidR="00557A6F" w:rsidRDefault="00557A6F" w:rsidP="00557A6F">
      <w:r>
        <w:t>I første halvår 2019 er det gitt tilskudd for 9,5 mill. kroner til 18 prosjekter og 1,5 mill. kroner i drift</w:t>
      </w:r>
      <w:r>
        <w:t>s</w:t>
      </w:r>
      <w:r>
        <w:t>tilskudd til Leieboerforeningen.</w:t>
      </w:r>
    </w:p>
    <w:p w:rsidR="00557A6F" w:rsidRDefault="00557A6F" w:rsidP="00557A6F">
      <w:pPr>
        <w:pStyle w:val="avsnitt-tittel"/>
      </w:pPr>
      <w:r>
        <w:t>Budsjettforslag</w:t>
      </w:r>
    </w:p>
    <w:p w:rsidR="00557A6F" w:rsidRDefault="00557A6F" w:rsidP="00557A6F">
      <w:r>
        <w:t>Til og med 2017 hadde tilskuddet en treårig utbetalingsprofil. I 2018 ble tilskuddet omgjort til et ettårig tilskudd. Som følge av dette foreslås det å redusere bevilgningen med 4,4 mill. kroner i 2020 til 11,2 mill. kroner.</w:t>
      </w:r>
    </w:p>
    <w:p w:rsidR="00557A6F" w:rsidRDefault="00557A6F" w:rsidP="00557A6F">
      <w:pPr>
        <w:pStyle w:val="b-post"/>
      </w:pPr>
      <w:r>
        <w:t>Post 79 Heis og tilstandsvurdering, kan overføres</w:t>
      </w:r>
    </w:p>
    <w:p w:rsidR="00557A6F" w:rsidRDefault="00557A6F" w:rsidP="00557A6F">
      <w:r>
        <w:t>Posten dekker tilskudd til prosjektering og installering av heis og tilskudd til tilstandsvurdering. Hu</w:t>
      </w:r>
      <w:r>
        <w:t>s</w:t>
      </w:r>
      <w:r>
        <w:t>banken fordeler bevilgningen mellom de to tilskuddene.</w:t>
      </w:r>
    </w:p>
    <w:p w:rsidR="00557A6F" w:rsidRDefault="00557A6F" w:rsidP="00557A6F">
      <w:pPr>
        <w:pStyle w:val="avsnitt-tittel"/>
      </w:pPr>
      <w:r>
        <w:t>Tilskudd til prosjektering og innstallering av heis</w:t>
      </w:r>
    </w:p>
    <w:p w:rsidR="00557A6F" w:rsidRDefault="00557A6F" w:rsidP="00557A6F">
      <w:r>
        <w:t>Målet med ordningen er å bidra til økt tilgjengelighet i eksisterende boliger og bygg, slik at flere kan bo hjemme lenger.</w:t>
      </w:r>
    </w:p>
    <w:p w:rsidR="00557A6F" w:rsidRDefault="00557A6F" w:rsidP="00557A6F">
      <w:r>
        <w:t>Måloppnåelse vurderes etter følgende kriterier:</w:t>
      </w:r>
    </w:p>
    <w:p w:rsidR="00557A6F" w:rsidRDefault="00557A6F" w:rsidP="00557A6F">
      <w:pPr>
        <w:pStyle w:val="Liste"/>
      </w:pPr>
      <w:r>
        <w:t>Antall heisprosjekter som har fått prosjekteringstilskudd i løpet av året og hvor mange b</w:t>
      </w:r>
      <w:r>
        <w:t>o</w:t>
      </w:r>
      <w:r>
        <w:t>liger dette gjelder.</w:t>
      </w:r>
    </w:p>
    <w:p w:rsidR="00557A6F" w:rsidRDefault="00557A6F" w:rsidP="00557A6F">
      <w:pPr>
        <w:pStyle w:val="Liste"/>
      </w:pPr>
      <w:r>
        <w:t>Antall heiser som har fått tilsagn om tilskudd til installering og hvor mange boliger dette gjelder.</w:t>
      </w:r>
    </w:p>
    <w:p w:rsidR="00557A6F" w:rsidRDefault="00557A6F" w:rsidP="00557A6F">
      <w:r>
        <w:lastRenderedPageBreak/>
        <w:t>Tilskudd til prosjektering og installering av heis i eksisterende boligbygg kan gis til konsulentb</w:t>
      </w:r>
      <w:r>
        <w:t>i</w:t>
      </w:r>
      <w:r>
        <w:t>stand, kostnadsoverslag og til installering av heis. Bygget må ha minst tre etasjer. Boligselskaper hvor hove</w:t>
      </w:r>
      <w:r>
        <w:t>d</w:t>
      </w:r>
      <w:r>
        <w:t>vekten av beboerne er eldre blir prioritert.</w:t>
      </w:r>
    </w:p>
    <w:p w:rsidR="00557A6F" w:rsidRDefault="00557A6F" w:rsidP="00557A6F">
      <w:r>
        <w:t>Husbanken forvalter ordningen. Tilskuddsmottakere skal rapportere på hvert tiltak. Rapportene pu</w:t>
      </w:r>
      <w:r>
        <w:t>b</w:t>
      </w:r>
      <w:r>
        <w:t>liseres på Husbankens hjemmesider.</w:t>
      </w:r>
    </w:p>
    <w:p w:rsidR="00557A6F" w:rsidRDefault="00557A6F" w:rsidP="00557A6F">
      <w:r>
        <w:t>I 2018 ble det gitt tilsagn om tilskudd for 43 mill. kroner til etterinstallering av 33 heiser i bygg med 559 boliger. Til prosjektering av heiser ble det gitt tilskudd for 1 mill. kroner i bygg med 368 bol</w:t>
      </w:r>
      <w:r>
        <w:t>i</w:t>
      </w:r>
      <w:r>
        <w:t>ger. I første halvår 2019 er det gitt tilsagn om tilskudd for hele årets tilsagnsramme.</w:t>
      </w:r>
    </w:p>
    <w:p w:rsidR="00557A6F" w:rsidRDefault="00557A6F" w:rsidP="00557A6F">
      <w:pPr>
        <w:pStyle w:val="avsnitt-tittel"/>
      </w:pPr>
      <w:r>
        <w:t xml:space="preserve">Tilskudd til tilstandsvurdering </w:t>
      </w:r>
    </w:p>
    <w:p w:rsidR="00557A6F" w:rsidRDefault="00557A6F" w:rsidP="00557A6F">
      <w:r>
        <w:t>Målet med ordningen er å bedre tilgjengeligheten slik at flere kan bo lenger hjemme. I tillegg er det et mål at flere eksisterende boliger blir mer energieffektive.</w:t>
      </w:r>
    </w:p>
    <w:p w:rsidR="00557A6F" w:rsidRDefault="00557A6F" w:rsidP="00557A6F">
      <w:r>
        <w:t>Måloppnåelse vurderes etter følgende kriterium:</w:t>
      </w:r>
    </w:p>
    <w:p w:rsidR="00557A6F" w:rsidRDefault="00557A6F" w:rsidP="00557A6F">
      <w:pPr>
        <w:pStyle w:val="Liste"/>
      </w:pPr>
      <w:r>
        <w:t>Antall borettslag/sameier som har fått tilskudd til tilstandsvurdering og hvor mange boliger dette omfa</w:t>
      </w:r>
      <w:r>
        <w:t>t</w:t>
      </w:r>
      <w:r>
        <w:t>ter.</w:t>
      </w:r>
    </w:p>
    <w:p w:rsidR="00557A6F" w:rsidRDefault="00557A6F" w:rsidP="00557A6F">
      <w:r>
        <w:t>Tilskudd til tilstandsvurdering går til borettslag, sameier og lignende for å vurdere behov for ve</w:t>
      </w:r>
      <w:r>
        <w:t>d</w:t>
      </w:r>
      <w:r>
        <w:t>likehold og mulighet for oppgradering, med tanke på økt universell utforming og redusert energ</w:t>
      </w:r>
      <w:r>
        <w:t>i</w:t>
      </w:r>
      <w:r>
        <w:t>bruk.</w:t>
      </w:r>
    </w:p>
    <w:p w:rsidR="00557A6F" w:rsidRDefault="00557A6F" w:rsidP="00557A6F">
      <w:r>
        <w:t>Husbanken forvalter ordningen tilsvarende tilskudd til prosjektering og installering av heis, jf. ovenfor.</w:t>
      </w:r>
    </w:p>
    <w:p w:rsidR="00557A6F" w:rsidRDefault="00557A6F" w:rsidP="00557A6F">
      <w:r>
        <w:t>I 2018 ga Husbanken tilsagn om tilskudd for 2,6 mill. kroner til tilstandsvurdering av bygg med 2 806 boliger.</w:t>
      </w:r>
    </w:p>
    <w:p w:rsidR="00557A6F" w:rsidRDefault="00557A6F" w:rsidP="00557A6F">
      <w:pPr>
        <w:pStyle w:val="avsnitt-tittel"/>
      </w:pPr>
      <w:r>
        <w:t>Budsjettforslag</w:t>
      </w:r>
    </w:p>
    <w:p w:rsidR="00557A6F" w:rsidRDefault="00557A6F" w:rsidP="00557A6F">
      <w:r>
        <w:t>Posten budsjetteres med tilsagnsramme, tilsagnsfullmakt og bevilgning. I 2018 ble utbetalingspr</w:t>
      </w:r>
      <w:r>
        <w:t>o</w:t>
      </w:r>
      <w:r>
        <w:t>filen endret fra en 1-årig til en 3-årig profil. Som følge av dette, foreslås det å øke bevilgningen i 2020 med 10 mill. kroner til 50 mill. kroner. Den tilhørende tilsagnsrammen i 2020 er 50 mill. kroner. Det foreslås en tilsagnsfullmakt på 45 mill. kroner, jf. forslag til romertallsvedtak.</w:t>
      </w:r>
    </w:p>
    <w:p w:rsidR="00557A6F" w:rsidRDefault="00557A6F" w:rsidP="00557A6F">
      <w:pPr>
        <w:pStyle w:val="b-budkaptit"/>
      </w:pPr>
      <w:r>
        <w:t>Kap. 585 Husleietvistutvalget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7A6F" w:rsidTr="00557A6F">
        <w:trPr>
          <w:trHeight w:val="640"/>
        </w:trPr>
        <w:tc>
          <w:tcPr>
            <w:tcW w:w="1140" w:type="dxa"/>
            <w:shd w:val="clear" w:color="auto" w:fill="FFFFFF"/>
          </w:tcPr>
          <w:p w:rsidR="00557A6F" w:rsidRDefault="00557A6F" w:rsidP="00557A6F">
            <w:pPr>
              <w:pStyle w:val="Tabellnavn"/>
            </w:pPr>
            <w:r>
              <w:t>KPAL</w:t>
            </w:r>
          </w:p>
        </w:tc>
        <w:tc>
          <w:tcPr>
            <w:tcW w:w="4560" w:type="dxa"/>
          </w:tcPr>
          <w:p w:rsidR="00557A6F" w:rsidRDefault="00557A6F" w:rsidP="00557A6F"/>
        </w:tc>
        <w:tc>
          <w:tcPr>
            <w:tcW w:w="1140" w:type="dxa"/>
          </w:tcPr>
          <w:p w:rsidR="00557A6F" w:rsidRDefault="00557A6F" w:rsidP="00557A6F">
            <w:pPr>
              <w:pStyle w:val="Tabellnavn"/>
              <w:jc w:val="right"/>
            </w:pPr>
          </w:p>
        </w:tc>
        <w:tc>
          <w:tcPr>
            <w:tcW w:w="1140" w:type="dxa"/>
          </w:tcPr>
          <w:p w:rsidR="00557A6F" w:rsidRDefault="00557A6F" w:rsidP="00557A6F">
            <w:pPr>
              <w:pStyle w:val="Tabellnavn"/>
              <w:jc w:val="right"/>
            </w:pPr>
          </w:p>
        </w:tc>
        <w:tc>
          <w:tcPr>
            <w:tcW w:w="1140" w:type="dxa"/>
          </w:tcPr>
          <w:p w:rsidR="00557A6F" w:rsidRDefault="00557A6F" w:rsidP="00557A6F">
            <w:pPr>
              <w:jc w:val="right"/>
            </w:pPr>
            <w:r>
              <w:t>(i 1 000 kr)</w:t>
            </w:r>
          </w:p>
        </w:tc>
      </w:tr>
      <w:tr w:rsidR="00557A6F" w:rsidTr="00557A6F">
        <w:trPr>
          <w:trHeight w:val="600"/>
        </w:trPr>
        <w:tc>
          <w:tcPr>
            <w:tcW w:w="1140" w:type="dxa"/>
          </w:tcPr>
          <w:p w:rsidR="00557A6F" w:rsidRDefault="00557A6F" w:rsidP="00557A6F">
            <w:r>
              <w:t>Post</w:t>
            </w:r>
          </w:p>
        </w:tc>
        <w:tc>
          <w:tcPr>
            <w:tcW w:w="4560" w:type="dxa"/>
          </w:tcPr>
          <w:p w:rsidR="00557A6F" w:rsidRDefault="00557A6F" w:rsidP="00557A6F">
            <w:r>
              <w:t>Betegnelse</w:t>
            </w:r>
          </w:p>
        </w:tc>
        <w:tc>
          <w:tcPr>
            <w:tcW w:w="1140" w:type="dxa"/>
          </w:tcPr>
          <w:p w:rsidR="00557A6F" w:rsidRDefault="00557A6F" w:rsidP="00557A6F">
            <w:pPr>
              <w:jc w:val="right"/>
            </w:pPr>
            <w:r>
              <w:t>Regnskap 2018</w:t>
            </w:r>
          </w:p>
        </w:tc>
        <w:tc>
          <w:tcPr>
            <w:tcW w:w="1140" w:type="dxa"/>
          </w:tcPr>
          <w:p w:rsidR="00557A6F" w:rsidRDefault="00557A6F" w:rsidP="00557A6F">
            <w:pPr>
              <w:jc w:val="right"/>
            </w:pPr>
            <w:r>
              <w:t xml:space="preserve">Saldert </w:t>
            </w:r>
            <w:r>
              <w:br/>
              <w:t>budsjett 2019</w:t>
            </w:r>
          </w:p>
        </w:tc>
        <w:tc>
          <w:tcPr>
            <w:tcW w:w="1140" w:type="dxa"/>
          </w:tcPr>
          <w:p w:rsidR="00557A6F" w:rsidRDefault="00557A6F" w:rsidP="00557A6F">
            <w:pPr>
              <w:jc w:val="right"/>
            </w:pPr>
            <w:r>
              <w:t xml:space="preserve">Forslag </w:t>
            </w:r>
            <w:r>
              <w:br/>
              <w:t>2020</w:t>
            </w:r>
          </w:p>
        </w:tc>
      </w:tr>
      <w:tr w:rsidR="00557A6F" w:rsidTr="00557A6F">
        <w:trPr>
          <w:trHeight w:val="380"/>
        </w:trPr>
        <w:tc>
          <w:tcPr>
            <w:tcW w:w="1140" w:type="dxa"/>
          </w:tcPr>
          <w:p w:rsidR="00557A6F" w:rsidRDefault="00557A6F" w:rsidP="00557A6F">
            <w:r>
              <w:t>01</w:t>
            </w:r>
          </w:p>
        </w:tc>
        <w:tc>
          <w:tcPr>
            <w:tcW w:w="4560" w:type="dxa"/>
          </w:tcPr>
          <w:p w:rsidR="00557A6F" w:rsidRDefault="00557A6F" w:rsidP="00557A6F">
            <w:r>
              <w:t xml:space="preserve">Driftsutgifter </w:t>
            </w:r>
          </w:p>
        </w:tc>
        <w:tc>
          <w:tcPr>
            <w:tcW w:w="1140" w:type="dxa"/>
          </w:tcPr>
          <w:p w:rsidR="00557A6F" w:rsidRDefault="00557A6F" w:rsidP="00557A6F">
            <w:pPr>
              <w:jc w:val="right"/>
            </w:pPr>
            <w:r>
              <w:t>30 337</w:t>
            </w:r>
          </w:p>
        </w:tc>
        <w:tc>
          <w:tcPr>
            <w:tcW w:w="1140" w:type="dxa"/>
          </w:tcPr>
          <w:p w:rsidR="00557A6F" w:rsidRDefault="00557A6F" w:rsidP="00557A6F">
            <w:pPr>
              <w:jc w:val="right"/>
            </w:pPr>
            <w:r>
              <w:t>29 874</w:t>
            </w:r>
          </w:p>
        </w:tc>
        <w:tc>
          <w:tcPr>
            <w:tcW w:w="1140" w:type="dxa"/>
          </w:tcPr>
          <w:p w:rsidR="00557A6F" w:rsidRDefault="00557A6F" w:rsidP="00557A6F">
            <w:pPr>
              <w:jc w:val="right"/>
            </w:pPr>
            <w:r>
              <w:t>30 821</w:t>
            </w:r>
          </w:p>
        </w:tc>
      </w:tr>
      <w:tr w:rsidR="00557A6F" w:rsidTr="00557A6F">
        <w:trPr>
          <w:trHeight w:val="380"/>
        </w:trPr>
        <w:tc>
          <w:tcPr>
            <w:tcW w:w="1140" w:type="dxa"/>
          </w:tcPr>
          <w:p w:rsidR="00557A6F" w:rsidRDefault="00557A6F" w:rsidP="00557A6F"/>
        </w:tc>
        <w:tc>
          <w:tcPr>
            <w:tcW w:w="4560" w:type="dxa"/>
          </w:tcPr>
          <w:p w:rsidR="00557A6F" w:rsidRDefault="00557A6F" w:rsidP="00557A6F">
            <w:r>
              <w:t>Sum kap. 0585</w:t>
            </w:r>
          </w:p>
        </w:tc>
        <w:tc>
          <w:tcPr>
            <w:tcW w:w="1140" w:type="dxa"/>
          </w:tcPr>
          <w:p w:rsidR="00557A6F" w:rsidRDefault="00557A6F" w:rsidP="00557A6F">
            <w:pPr>
              <w:jc w:val="right"/>
            </w:pPr>
            <w:r>
              <w:t>30 337</w:t>
            </w:r>
          </w:p>
        </w:tc>
        <w:tc>
          <w:tcPr>
            <w:tcW w:w="1140" w:type="dxa"/>
          </w:tcPr>
          <w:p w:rsidR="00557A6F" w:rsidRDefault="00557A6F" w:rsidP="00557A6F">
            <w:pPr>
              <w:jc w:val="right"/>
            </w:pPr>
            <w:r>
              <w:t>29 874</w:t>
            </w:r>
          </w:p>
        </w:tc>
        <w:tc>
          <w:tcPr>
            <w:tcW w:w="1140" w:type="dxa"/>
          </w:tcPr>
          <w:p w:rsidR="00557A6F" w:rsidRDefault="00557A6F" w:rsidP="00557A6F">
            <w:pPr>
              <w:jc w:val="right"/>
            </w:pPr>
            <w:r>
              <w:t>30 821</w:t>
            </w:r>
          </w:p>
        </w:tc>
      </w:tr>
    </w:tbl>
    <w:p w:rsidR="00557A6F" w:rsidRDefault="00557A6F" w:rsidP="00557A6F">
      <w:pPr>
        <w:pStyle w:val="b-post"/>
      </w:pPr>
      <w:r>
        <w:t>Post 01 Driftsutgifter</w:t>
      </w:r>
    </w:p>
    <w:p w:rsidR="00557A6F" w:rsidRDefault="00557A6F" w:rsidP="00557A6F">
      <w:r>
        <w:t xml:space="preserve">Posten dekker lønn til ansatte, husleie og andre faste driftsutgifter for Husleietvistutvalget (HTU). HTU har kontorer i Oslo, Bergen og Trondheim. Bevilgningen skal bidra til </w:t>
      </w:r>
      <w:proofErr w:type="gramStart"/>
      <w:r>
        <w:t>å</w:t>
      </w:r>
      <w:proofErr w:type="gramEnd"/>
      <w:r>
        <w:t xml:space="preserve"> nå mål 3 Boliglover som fremmer trygge boforhold.</w:t>
      </w:r>
    </w:p>
    <w:p w:rsidR="00557A6F" w:rsidRDefault="00557A6F" w:rsidP="00557A6F">
      <w:r>
        <w:t>I 2018 mottok HTU 1 787 klager, mot 1 994 klager i 2017. Dette er en reduksjon på om lag 10 pst. Nedgangen må ses i sammenheng med den sterke økningen på 21 pst. fra 2016 til 2017, som ti</w:t>
      </w:r>
      <w:r>
        <w:t>l</w:t>
      </w:r>
      <w:r>
        <w:t>skrives en ekstraordinær pr</w:t>
      </w:r>
      <w:r>
        <w:t>o</w:t>
      </w:r>
      <w:r>
        <w:t>filerings- og markedsføringskampanje. Krav om erstatning og skyldig leie er de vanligste sakstypene. Saksb</w:t>
      </w:r>
      <w:r>
        <w:t>e</w:t>
      </w:r>
      <w:r>
        <w:t>handlingstiden for avgjørelser gikk opp fra 11,9 uker i 2017 til 13 uker i 2018. For forlik gikk den opp fra 7,1 til 8,3 uker. Selv om saksbehandlingstiden økte noe i 2018, har den vist en klar nedgang over en femårsperiode. Mesteparten av saksbehandlingst</w:t>
      </w:r>
      <w:r>
        <w:t>i</w:t>
      </w:r>
      <w:r>
        <w:t>den brukes til forkynning og pa</w:t>
      </w:r>
      <w:r>
        <w:t>r</w:t>
      </w:r>
      <w:r>
        <w:t>tenes utveksling av prosesskriv. Kun 3,4 pst. av sakene ble brakt inn for tingretten i 2018.</w:t>
      </w:r>
    </w:p>
    <w:p w:rsidR="00557A6F" w:rsidRDefault="00557A6F" w:rsidP="00557A6F">
      <w:r>
        <w:lastRenderedPageBreak/>
        <w:t>Forliksprosenten i HTU er høy, og har variert mellom 71 pst. og 77 pst. de siste fem årene. I 2018 ble det inngått forlik i 77 pst. av sakene som ble meklet. I tillegg har HTU gitt generell informasjon og veile</w:t>
      </w:r>
      <w:r>
        <w:t>d</w:t>
      </w:r>
      <w:r>
        <w:t xml:space="preserve">ning, og besvart henvendelser fra leiere og utleiere i hele landet. </w:t>
      </w:r>
    </w:p>
    <w:p w:rsidR="00557A6F" w:rsidRDefault="00557A6F" w:rsidP="00557A6F">
      <w:pPr>
        <w:pStyle w:val="avsnitt-tittel"/>
      </w:pPr>
      <w:r>
        <w:t>Budsjettforslag</w:t>
      </w:r>
    </w:p>
    <w:p w:rsidR="00557A6F" w:rsidRDefault="00557A6F" w:rsidP="00557A6F">
      <w:r>
        <w:t>Det foreslås å øke bevilgningen med 0,9 mill. kroner til 30,8 mill. kroner i 2020, inkludert endrin</w:t>
      </w:r>
      <w:r>
        <w:t>g</w:t>
      </w:r>
      <w:r>
        <w:t xml:space="preserve">er som følge av avbyråkratiserings- og effektiviseringsreformen og lønns- og prisjustering. </w:t>
      </w:r>
    </w:p>
    <w:p w:rsidR="00557A6F" w:rsidRDefault="00557A6F" w:rsidP="00557A6F">
      <w:r>
        <w:t>Det foreslås at bevilgningen kan overskrides mot tilsvarende merinntekter under kap. 3585, post 01, jf. forslag til romertallsvedtak.</w:t>
      </w:r>
    </w:p>
    <w:p w:rsidR="00557A6F" w:rsidRDefault="00557A6F" w:rsidP="00557A6F">
      <w:pPr>
        <w:pStyle w:val="b-budkaptit"/>
      </w:pPr>
      <w:r>
        <w:t>Kap. 3585 Husleietvistutvalget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7A6F" w:rsidTr="00557A6F">
        <w:trPr>
          <w:trHeight w:val="640"/>
        </w:trPr>
        <w:tc>
          <w:tcPr>
            <w:tcW w:w="1140" w:type="dxa"/>
            <w:shd w:val="clear" w:color="auto" w:fill="FFFFFF"/>
          </w:tcPr>
          <w:p w:rsidR="00557A6F" w:rsidRDefault="00557A6F" w:rsidP="00557A6F">
            <w:pPr>
              <w:pStyle w:val="Tabellnavn"/>
            </w:pPr>
            <w:r>
              <w:t>KPAL</w:t>
            </w:r>
          </w:p>
        </w:tc>
        <w:tc>
          <w:tcPr>
            <w:tcW w:w="4560" w:type="dxa"/>
          </w:tcPr>
          <w:p w:rsidR="00557A6F" w:rsidRDefault="00557A6F" w:rsidP="00557A6F"/>
        </w:tc>
        <w:tc>
          <w:tcPr>
            <w:tcW w:w="1140" w:type="dxa"/>
          </w:tcPr>
          <w:p w:rsidR="00557A6F" w:rsidRDefault="00557A6F" w:rsidP="00557A6F">
            <w:pPr>
              <w:pStyle w:val="Tabellnavn"/>
              <w:jc w:val="right"/>
            </w:pPr>
          </w:p>
        </w:tc>
        <w:tc>
          <w:tcPr>
            <w:tcW w:w="1140" w:type="dxa"/>
          </w:tcPr>
          <w:p w:rsidR="00557A6F" w:rsidRDefault="00557A6F" w:rsidP="00557A6F">
            <w:pPr>
              <w:pStyle w:val="Tabellnavn"/>
              <w:jc w:val="right"/>
            </w:pPr>
          </w:p>
        </w:tc>
        <w:tc>
          <w:tcPr>
            <w:tcW w:w="1140" w:type="dxa"/>
          </w:tcPr>
          <w:p w:rsidR="00557A6F" w:rsidRDefault="00557A6F" w:rsidP="00557A6F">
            <w:pPr>
              <w:jc w:val="right"/>
            </w:pPr>
            <w:r>
              <w:t>(i 1 000 kr)</w:t>
            </w:r>
          </w:p>
        </w:tc>
      </w:tr>
      <w:tr w:rsidR="00557A6F" w:rsidTr="00557A6F">
        <w:trPr>
          <w:trHeight w:val="600"/>
        </w:trPr>
        <w:tc>
          <w:tcPr>
            <w:tcW w:w="1140" w:type="dxa"/>
          </w:tcPr>
          <w:p w:rsidR="00557A6F" w:rsidRDefault="00557A6F" w:rsidP="00557A6F">
            <w:r>
              <w:t>Post</w:t>
            </w:r>
          </w:p>
        </w:tc>
        <w:tc>
          <w:tcPr>
            <w:tcW w:w="4560" w:type="dxa"/>
          </w:tcPr>
          <w:p w:rsidR="00557A6F" w:rsidRDefault="00557A6F" w:rsidP="00557A6F">
            <w:r>
              <w:t>Betegnelse</w:t>
            </w:r>
          </w:p>
        </w:tc>
        <w:tc>
          <w:tcPr>
            <w:tcW w:w="1140" w:type="dxa"/>
          </w:tcPr>
          <w:p w:rsidR="00557A6F" w:rsidRDefault="00557A6F" w:rsidP="00557A6F">
            <w:pPr>
              <w:jc w:val="right"/>
            </w:pPr>
            <w:r>
              <w:t>Regnskap 2018</w:t>
            </w:r>
          </w:p>
        </w:tc>
        <w:tc>
          <w:tcPr>
            <w:tcW w:w="1140" w:type="dxa"/>
          </w:tcPr>
          <w:p w:rsidR="00557A6F" w:rsidRDefault="00557A6F" w:rsidP="00557A6F">
            <w:pPr>
              <w:jc w:val="right"/>
            </w:pPr>
            <w:r>
              <w:t xml:space="preserve">Saldert </w:t>
            </w:r>
            <w:r>
              <w:br/>
              <w:t>budsjett 2019</w:t>
            </w:r>
          </w:p>
        </w:tc>
        <w:tc>
          <w:tcPr>
            <w:tcW w:w="1140" w:type="dxa"/>
          </w:tcPr>
          <w:p w:rsidR="00557A6F" w:rsidRDefault="00557A6F" w:rsidP="00557A6F">
            <w:pPr>
              <w:jc w:val="right"/>
            </w:pPr>
            <w:r>
              <w:t xml:space="preserve">Forslag </w:t>
            </w:r>
            <w:r>
              <w:br/>
              <w:t>2020</w:t>
            </w:r>
          </w:p>
        </w:tc>
      </w:tr>
      <w:tr w:rsidR="00557A6F" w:rsidTr="00557A6F">
        <w:trPr>
          <w:trHeight w:val="380"/>
        </w:trPr>
        <w:tc>
          <w:tcPr>
            <w:tcW w:w="1140" w:type="dxa"/>
          </w:tcPr>
          <w:p w:rsidR="00557A6F" w:rsidRDefault="00557A6F" w:rsidP="00557A6F">
            <w:r>
              <w:t>01</w:t>
            </w:r>
          </w:p>
        </w:tc>
        <w:tc>
          <w:tcPr>
            <w:tcW w:w="4560" w:type="dxa"/>
          </w:tcPr>
          <w:p w:rsidR="00557A6F" w:rsidRDefault="00557A6F" w:rsidP="00557A6F">
            <w:r>
              <w:t xml:space="preserve">Gebyrer </w:t>
            </w:r>
          </w:p>
        </w:tc>
        <w:tc>
          <w:tcPr>
            <w:tcW w:w="1140" w:type="dxa"/>
          </w:tcPr>
          <w:p w:rsidR="00557A6F" w:rsidRDefault="00557A6F" w:rsidP="00557A6F">
            <w:pPr>
              <w:jc w:val="right"/>
            </w:pPr>
            <w:r>
              <w:t>1 621</w:t>
            </w:r>
          </w:p>
        </w:tc>
        <w:tc>
          <w:tcPr>
            <w:tcW w:w="1140" w:type="dxa"/>
          </w:tcPr>
          <w:p w:rsidR="00557A6F" w:rsidRDefault="00557A6F" w:rsidP="00557A6F">
            <w:pPr>
              <w:jc w:val="right"/>
            </w:pPr>
            <w:r>
              <w:t>1 472</w:t>
            </w:r>
          </w:p>
        </w:tc>
        <w:tc>
          <w:tcPr>
            <w:tcW w:w="1140" w:type="dxa"/>
          </w:tcPr>
          <w:p w:rsidR="00557A6F" w:rsidRDefault="00557A6F" w:rsidP="00557A6F">
            <w:pPr>
              <w:jc w:val="right"/>
            </w:pPr>
            <w:r>
              <w:t>1 915</w:t>
            </w:r>
          </w:p>
        </w:tc>
      </w:tr>
      <w:tr w:rsidR="00557A6F" w:rsidTr="00557A6F">
        <w:trPr>
          <w:trHeight w:val="380"/>
        </w:trPr>
        <w:tc>
          <w:tcPr>
            <w:tcW w:w="1140" w:type="dxa"/>
          </w:tcPr>
          <w:p w:rsidR="00557A6F" w:rsidRDefault="00557A6F" w:rsidP="00557A6F"/>
        </w:tc>
        <w:tc>
          <w:tcPr>
            <w:tcW w:w="4560" w:type="dxa"/>
          </w:tcPr>
          <w:p w:rsidR="00557A6F" w:rsidRDefault="00557A6F" w:rsidP="00557A6F">
            <w:r>
              <w:t>Sum kap. 3585</w:t>
            </w:r>
          </w:p>
        </w:tc>
        <w:tc>
          <w:tcPr>
            <w:tcW w:w="1140" w:type="dxa"/>
          </w:tcPr>
          <w:p w:rsidR="00557A6F" w:rsidRDefault="00557A6F" w:rsidP="00557A6F">
            <w:pPr>
              <w:jc w:val="right"/>
            </w:pPr>
            <w:r>
              <w:t>1 621</w:t>
            </w:r>
          </w:p>
        </w:tc>
        <w:tc>
          <w:tcPr>
            <w:tcW w:w="1140" w:type="dxa"/>
          </w:tcPr>
          <w:p w:rsidR="00557A6F" w:rsidRDefault="00557A6F" w:rsidP="00557A6F">
            <w:pPr>
              <w:jc w:val="right"/>
            </w:pPr>
            <w:r>
              <w:t>1 472</w:t>
            </w:r>
          </w:p>
        </w:tc>
        <w:tc>
          <w:tcPr>
            <w:tcW w:w="1140" w:type="dxa"/>
          </w:tcPr>
          <w:p w:rsidR="00557A6F" w:rsidRDefault="00557A6F" w:rsidP="00557A6F">
            <w:pPr>
              <w:jc w:val="right"/>
            </w:pPr>
            <w:r>
              <w:t>1 915</w:t>
            </w:r>
          </w:p>
        </w:tc>
      </w:tr>
    </w:tbl>
    <w:p w:rsidR="00557A6F" w:rsidRDefault="00557A6F" w:rsidP="00557A6F">
      <w:pPr>
        <w:pStyle w:val="b-post"/>
      </w:pPr>
      <w:r>
        <w:t>Post 01 Gebyrer</w:t>
      </w:r>
    </w:p>
    <w:p w:rsidR="00557A6F" w:rsidRDefault="00557A6F" w:rsidP="00557A6F">
      <w:r>
        <w:t>Posten omfatter gebyrinntekter fra behandling av klager for HTU. Når en klage fremmes av leier, er saksbehandlingsgebyret 0,2 ganger rettsgebyret. Når en klage fremmes av utleier, er gebyret lik rettsg</w:t>
      </w:r>
      <w:r>
        <w:t>e</w:t>
      </w:r>
      <w:r>
        <w:t>byret (1 172 kroner i 2020).</w:t>
      </w:r>
    </w:p>
    <w:p w:rsidR="00557A6F" w:rsidRDefault="00557A6F" w:rsidP="00557A6F">
      <w:r>
        <w:t>Det foreslås en bevilgning på 1,9 mill. kroner i 2020.</w:t>
      </w:r>
    </w:p>
    <w:p w:rsidR="00557A6F" w:rsidRDefault="00557A6F" w:rsidP="00557A6F">
      <w:pPr>
        <w:pStyle w:val="b-budkaptit"/>
      </w:pPr>
      <w:r>
        <w:t>Kap. 587 Direktoratet for byggkvalitet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7A6F" w:rsidTr="00557A6F">
        <w:trPr>
          <w:trHeight w:val="640"/>
        </w:trPr>
        <w:tc>
          <w:tcPr>
            <w:tcW w:w="1140" w:type="dxa"/>
            <w:shd w:val="clear" w:color="auto" w:fill="FFFFFF"/>
          </w:tcPr>
          <w:p w:rsidR="00557A6F" w:rsidRDefault="00557A6F" w:rsidP="00557A6F">
            <w:pPr>
              <w:pStyle w:val="Tabellnavn"/>
            </w:pPr>
            <w:r>
              <w:t>KPAL</w:t>
            </w:r>
          </w:p>
        </w:tc>
        <w:tc>
          <w:tcPr>
            <w:tcW w:w="4560" w:type="dxa"/>
          </w:tcPr>
          <w:p w:rsidR="00557A6F" w:rsidRDefault="00557A6F" w:rsidP="00557A6F"/>
        </w:tc>
        <w:tc>
          <w:tcPr>
            <w:tcW w:w="1140" w:type="dxa"/>
          </w:tcPr>
          <w:p w:rsidR="00557A6F" w:rsidRDefault="00557A6F" w:rsidP="00557A6F">
            <w:pPr>
              <w:pStyle w:val="Tabellnavn"/>
              <w:jc w:val="right"/>
            </w:pPr>
          </w:p>
        </w:tc>
        <w:tc>
          <w:tcPr>
            <w:tcW w:w="1140" w:type="dxa"/>
          </w:tcPr>
          <w:p w:rsidR="00557A6F" w:rsidRDefault="00557A6F" w:rsidP="00557A6F">
            <w:pPr>
              <w:pStyle w:val="Tabellnavn"/>
              <w:jc w:val="right"/>
            </w:pPr>
          </w:p>
        </w:tc>
        <w:tc>
          <w:tcPr>
            <w:tcW w:w="1140" w:type="dxa"/>
          </w:tcPr>
          <w:p w:rsidR="00557A6F" w:rsidRDefault="00557A6F" w:rsidP="00557A6F">
            <w:pPr>
              <w:jc w:val="right"/>
            </w:pPr>
            <w:r>
              <w:t>(i 1 000 kr)</w:t>
            </w:r>
          </w:p>
        </w:tc>
      </w:tr>
      <w:tr w:rsidR="00557A6F" w:rsidTr="00557A6F">
        <w:trPr>
          <w:trHeight w:val="600"/>
        </w:trPr>
        <w:tc>
          <w:tcPr>
            <w:tcW w:w="1140" w:type="dxa"/>
          </w:tcPr>
          <w:p w:rsidR="00557A6F" w:rsidRDefault="00557A6F" w:rsidP="00557A6F">
            <w:r>
              <w:t>Post</w:t>
            </w:r>
          </w:p>
        </w:tc>
        <w:tc>
          <w:tcPr>
            <w:tcW w:w="4560" w:type="dxa"/>
          </w:tcPr>
          <w:p w:rsidR="00557A6F" w:rsidRDefault="00557A6F" w:rsidP="00557A6F">
            <w:r>
              <w:t>Betegnelse</w:t>
            </w:r>
          </w:p>
        </w:tc>
        <w:tc>
          <w:tcPr>
            <w:tcW w:w="1140" w:type="dxa"/>
          </w:tcPr>
          <w:p w:rsidR="00557A6F" w:rsidRDefault="00557A6F" w:rsidP="00557A6F">
            <w:pPr>
              <w:jc w:val="right"/>
            </w:pPr>
            <w:r>
              <w:t>Regnskap 2018</w:t>
            </w:r>
          </w:p>
        </w:tc>
        <w:tc>
          <w:tcPr>
            <w:tcW w:w="1140" w:type="dxa"/>
          </w:tcPr>
          <w:p w:rsidR="00557A6F" w:rsidRDefault="00557A6F" w:rsidP="00557A6F">
            <w:pPr>
              <w:jc w:val="right"/>
            </w:pPr>
            <w:r>
              <w:t xml:space="preserve">Saldert </w:t>
            </w:r>
            <w:r>
              <w:br/>
              <w:t>budsjett 2019</w:t>
            </w:r>
          </w:p>
        </w:tc>
        <w:tc>
          <w:tcPr>
            <w:tcW w:w="1140" w:type="dxa"/>
          </w:tcPr>
          <w:p w:rsidR="00557A6F" w:rsidRDefault="00557A6F" w:rsidP="00557A6F">
            <w:pPr>
              <w:jc w:val="right"/>
            </w:pPr>
            <w:r>
              <w:t xml:space="preserve">Forslag </w:t>
            </w:r>
            <w:r>
              <w:br/>
              <w:t>2020</w:t>
            </w:r>
          </w:p>
        </w:tc>
      </w:tr>
      <w:tr w:rsidR="00557A6F" w:rsidTr="00557A6F">
        <w:trPr>
          <w:trHeight w:val="380"/>
        </w:trPr>
        <w:tc>
          <w:tcPr>
            <w:tcW w:w="1140" w:type="dxa"/>
          </w:tcPr>
          <w:p w:rsidR="00557A6F" w:rsidRDefault="00557A6F" w:rsidP="00557A6F">
            <w:r>
              <w:t>01</w:t>
            </w:r>
          </w:p>
        </w:tc>
        <w:tc>
          <w:tcPr>
            <w:tcW w:w="4560" w:type="dxa"/>
          </w:tcPr>
          <w:p w:rsidR="00557A6F" w:rsidRDefault="00557A6F" w:rsidP="00557A6F">
            <w:r>
              <w:t xml:space="preserve">Driftsutgifter </w:t>
            </w:r>
          </w:p>
        </w:tc>
        <w:tc>
          <w:tcPr>
            <w:tcW w:w="1140" w:type="dxa"/>
          </w:tcPr>
          <w:p w:rsidR="00557A6F" w:rsidRDefault="00557A6F" w:rsidP="00557A6F">
            <w:pPr>
              <w:jc w:val="right"/>
            </w:pPr>
            <w:r>
              <w:t>101 262</w:t>
            </w:r>
          </w:p>
        </w:tc>
        <w:tc>
          <w:tcPr>
            <w:tcW w:w="1140" w:type="dxa"/>
          </w:tcPr>
          <w:p w:rsidR="00557A6F" w:rsidRDefault="00557A6F" w:rsidP="00557A6F">
            <w:pPr>
              <w:jc w:val="right"/>
            </w:pPr>
            <w:r>
              <w:t>105 974</w:t>
            </w:r>
          </w:p>
        </w:tc>
        <w:tc>
          <w:tcPr>
            <w:tcW w:w="1140" w:type="dxa"/>
          </w:tcPr>
          <w:p w:rsidR="00557A6F" w:rsidRDefault="00557A6F" w:rsidP="00557A6F">
            <w:pPr>
              <w:jc w:val="right"/>
            </w:pPr>
            <w:r>
              <w:t>105 022</w:t>
            </w:r>
          </w:p>
        </w:tc>
      </w:tr>
      <w:tr w:rsidR="00557A6F" w:rsidTr="00557A6F">
        <w:trPr>
          <w:trHeight w:val="380"/>
        </w:trPr>
        <w:tc>
          <w:tcPr>
            <w:tcW w:w="1140" w:type="dxa"/>
          </w:tcPr>
          <w:p w:rsidR="00557A6F" w:rsidRDefault="00557A6F" w:rsidP="00557A6F">
            <w:r>
              <w:t>22</w:t>
            </w:r>
          </w:p>
        </w:tc>
        <w:tc>
          <w:tcPr>
            <w:tcW w:w="4560" w:type="dxa"/>
          </w:tcPr>
          <w:p w:rsidR="00557A6F" w:rsidRDefault="00557A6F" w:rsidP="00557A6F">
            <w:r>
              <w:t xml:space="preserve">Kunnskapsutvikling og informasjonsformidling </w:t>
            </w:r>
          </w:p>
        </w:tc>
        <w:tc>
          <w:tcPr>
            <w:tcW w:w="1140" w:type="dxa"/>
          </w:tcPr>
          <w:p w:rsidR="00557A6F" w:rsidRDefault="00557A6F" w:rsidP="00557A6F">
            <w:pPr>
              <w:jc w:val="right"/>
            </w:pPr>
            <w:r>
              <w:t>47 302</w:t>
            </w:r>
          </w:p>
        </w:tc>
        <w:tc>
          <w:tcPr>
            <w:tcW w:w="1140" w:type="dxa"/>
          </w:tcPr>
          <w:p w:rsidR="00557A6F" w:rsidRDefault="00557A6F" w:rsidP="00557A6F">
            <w:pPr>
              <w:jc w:val="right"/>
            </w:pPr>
            <w:r>
              <w:t>49 750</w:t>
            </w:r>
          </w:p>
        </w:tc>
        <w:tc>
          <w:tcPr>
            <w:tcW w:w="1140" w:type="dxa"/>
          </w:tcPr>
          <w:p w:rsidR="00557A6F" w:rsidRDefault="00557A6F" w:rsidP="00557A6F">
            <w:pPr>
              <w:jc w:val="right"/>
            </w:pPr>
            <w:r>
              <w:t>51 085</w:t>
            </w:r>
          </w:p>
        </w:tc>
      </w:tr>
      <w:tr w:rsidR="00557A6F" w:rsidTr="00557A6F">
        <w:trPr>
          <w:trHeight w:val="380"/>
        </w:trPr>
        <w:tc>
          <w:tcPr>
            <w:tcW w:w="1140" w:type="dxa"/>
          </w:tcPr>
          <w:p w:rsidR="00557A6F" w:rsidRDefault="00557A6F" w:rsidP="00557A6F"/>
        </w:tc>
        <w:tc>
          <w:tcPr>
            <w:tcW w:w="4560" w:type="dxa"/>
          </w:tcPr>
          <w:p w:rsidR="00557A6F" w:rsidRDefault="00557A6F" w:rsidP="00557A6F">
            <w:r>
              <w:t>Sum kap. 0587</w:t>
            </w:r>
          </w:p>
        </w:tc>
        <w:tc>
          <w:tcPr>
            <w:tcW w:w="1140" w:type="dxa"/>
          </w:tcPr>
          <w:p w:rsidR="00557A6F" w:rsidRDefault="00557A6F" w:rsidP="00557A6F">
            <w:pPr>
              <w:jc w:val="right"/>
            </w:pPr>
            <w:r>
              <w:t>148 564</w:t>
            </w:r>
          </w:p>
        </w:tc>
        <w:tc>
          <w:tcPr>
            <w:tcW w:w="1140" w:type="dxa"/>
          </w:tcPr>
          <w:p w:rsidR="00557A6F" w:rsidRDefault="00557A6F" w:rsidP="00557A6F">
            <w:pPr>
              <w:jc w:val="right"/>
            </w:pPr>
            <w:r>
              <w:t>155 724</w:t>
            </w:r>
          </w:p>
        </w:tc>
        <w:tc>
          <w:tcPr>
            <w:tcW w:w="1140" w:type="dxa"/>
          </w:tcPr>
          <w:p w:rsidR="00557A6F" w:rsidRDefault="00557A6F" w:rsidP="00557A6F">
            <w:pPr>
              <w:jc w:val="right"/>
            </w:pPr>
            <w:r>
              <w:t>156 107</w:t>
            </w:r>
          </w:p>
        </w:tc>
      </w:tr>
    </w:tbl>
    <w:p w:rsidR="00557A6F" w:rsidRDefault="00557A6F" w:rsidP="00557A6F">
      <w:r>
        <w:t xml:space="preserve">Bevilgningene under kap. 587 skal bidra til </w:t>
      </w:r>
      <w:proofErr w:type="gramStart"/>
      <w:r>
        <w:t>å</w:t>
      </w:r>
      <w:proofErr w:type="gramEnd"/>
      <w:r>
        <w:t xml:space="preserve"> nå mål 1 Sikre, miljøvennlige og tilgjengelige boliger og bygg og mål 2 Forutsigbare regler for effektiv ressursbruk i byggeprosessen.</w:t>
      </w:r>
    </w:p>
    <w:p w:rsidR="00557A6F" w:rsidRDefault="00557A6F" w:rsidP="00557A6F">
      <w:pPr>
        <w:pStyle w:val="b-post"/>
      </w:pPr>
      <w:r>
        <w:t>Post 01 Driftsutgifter</w:t>
      </w:r>
    </w:p>
    <w:p w:rsidR="00557A6F" w:rsidRDefault="00557A6F" w:rsidP="00557A6F">
      <w:r>
        <w:t>Posten dekker lønn, husleie og andre faste utgifter for Direktoratet for byggkvalitet (DiBK). D</w:t>
      </w:r>
      <w:r>
        <w:t>i</w:t>
      </w:r>
      <w:r>
        <w:t>rektoratet har kontor i Oslo og Gjøvik. Bevilgningen dekker også utgifter til drift av den sentrale godkjenningsor</w:t>
      </w:r>
      <w:r>
        <w:t>d</w:t>
      </w:r>
      <w:r>
        <w:t xml:space="preserve">ningen for foretak med ansvarsrett. Ordningen skal være selvfinansierende, jf. kap. 3587, post 04 Gebyrer. </w:t>
      </w:r>
    </w:p>
    <w:p w:rsidR="00557A6F" w:rsidRDefault="00557A6F" w:rsidP="00557A6F">
      <w:r>
        <w:t>Bevilgningen foreslås redusert med 2,8 mill. kroner som følge av redusert antall foretak i ordnin</w:t>
      </w:r>
      <w:r>
        <w:t>g</w:t>
      </w:r>
      <w:r>
        <w:t>en for sentral godkjenning, jf. omtale under kap 3587, post 04 Gebyrer.</w:t>
      </w:r>
    </w:p>
    <w:p w:rsidR="00557A6F" w:rsidRDefault="00557A6F" w:rsidP="00557A6F">
      <w:r>
        <w:t>Inkludert avbyråkratiserings- og effektiviseringsreformen og pris- og lønnsjustering, foreslås det en bevilgning på 105 mill. kroner i 2020.</w:t>
      </w:r>
    </w:p>
    <w:p w:rsidR="00557A6F" w:rsidRDefault="00557A6F" w:rsidP="00557A6F">
      <w:r>
        <w:t>Det foreslås at bevilgningen kan overskrides mot tilsvarende merinntekter under kap. 3587, post 04, jf. forslag til romertallsvedtak.</w:t>
      </w:r>
    </w:p>
    <w:p w:rsidR="00557A6F" w:rsidRDefault="00557A6F" w:rsidP="00557A6F">
      <w:pPr>
        <w:pStyle w:val="b-post"/>
      </w:pPr>
      <w:r>
        <w:t>Post 22 Kunnskapsutvikling og informasjonsformidling</w:t>
      </w:r>
    </w:p>
    <w:p w:rsidR="00557A6F" w:rsidRDefault="00557A6F" w:rsidP="00557A6F">
      <w:r>
        <w:t>Posten skal bidra til kunnskapsutvikling og informasjonsformidling om bygningspolitiske temaer, og f</w:t>
      </w:r>
      <w:r>
        <w:t>i</w:t>
      </w:r>
      <w:r>
        <w:t>nansiere utredninger og DiBKs eksterne samhandlings- og kommunikasjonsaktiviteter. Posten går også til prosjekter som støtter opp om DiBKs ByggNett-strategi, jf. omtale under mål 2 Foru</w:t>
      </w:r>
      <w:r>
        <w:t>t</w:t>
      </w:r>
      <w:r>
        <w:t>sigbare regler for effektiv ressursbruk i byggeprosessen.</w:t>
      </w:r>
    </w:p>
    <w:p w:rsidR="00557A6F" w:rsidRDefault="00557A6F" w:rsidP="00557A6F">
      <w:pPr>
        <w:pStyle w:val="avsnitt-tittel"/>
      </w:pPr>
      <w:r>
        <w:t>Rapport</w:t>
      </w:r>
    </w:p>
    <w:p w:rsidR="00557A6F" w:rsidRDefault="00557A6F" w:rsidP="00557A6F">
      <w:r>
        <w:t>I 2018 ble det benyttet 47,3 mill. kroner, hvorav 9,6 mill. kroner til ByggNett og 12,5 mill. kroner til Bygg21. Videre ble det benyttet 1,9 mill. kroner til konsekvensutredninger og samfunnsøkon</w:t>
      </w:r>
      <w:r>
        <w:t>o</w:t>
      </w:r>
      <w:r>
        <w:t>miske analyser og 3,5 mill. kroner til tekniske utredninger og brukerundersøkelser for kunnskap</w:t>
      </w:r>
      <w:r>
        <w:t>s</w:t>
      </w:r>
      <w:r>
        <w:t>basert regelverksutvikling og forenkling. Videre gikk 2,3 mill. kroner til utvikling av andre bruke</w:t>
      </w:r>
      <w:r>
        <w:t>r</w:t>
      </w:r>
      <w:r>
        <w:t>orienterte digitale tjenester, 5,3 mill. kroner til standardisering nasjonalt og internasjonalt, 1 mill. kroner til tilsynskampanjer og eksterne virkemidler i markedstilsynet, og 11,2 mill. kroner til i</w:t>
      </w:r>
      <w:r>
        <w:t>n</w:t>
      </w:r>
      <w:r>
        <w:t>formasjonsformidling og ekstern samhandling.</w:t>
      </w:r>
    </w:p>
    <w:p w:rsidR="00557A6F" w:rsidRDefault="00557A6F" w:rsidP="00557A6F">
      <w:pPr>
        <w:pStyle w:val="avsnitt-tittel"/>
      </w:pPr>
      <w:r>
        <w:lastRenderedPageBreak/>
        <w:t>Budsjettforslag</w:t>
      </w:r>
    </w:p>
    <w:p w:rsidR="00557A6F" w:rsidRDefault="00557A6F" w:rsidP="00557A6F">
      <w:r>
        <w:t xml:space="preserve">Det foreslås en bevilgning på 51,1 mill. kroner i 2020. </w:t>
      </w:r>
    </w:p>
    <w:p w:rsidR="00557A6F" w:rsidRDefault="00557A6F" w:rsidP="00557A6F">
      <w:pPr>
        <w:pStyle w:val="b-budkaptit"/>
      </w:pPr>
      <w:r>
        <w:t>Kap. 3587 Direktoratet for byggkvalitet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7A6F" w:rsidTr="00557A6F">
        <w:trPr>
          <w:trHeight w:val="640"/>
        </w:trPr>
        <w:tc>
          <w:tcPr>
            <w:tcW w:w="1140" w:type="dxa"/>
            <w:shd w:val="clear" w:color="auto" w:fill="FFFFFF"/>
          </w:tcPr>
          <w:p w:rsidR="00557A6F" w:rsidRDefault="00557A6F" w:rsidP="00557A6F">
            <w:pPr>
              <w:pStyle w:val="Tabellnavn"/>
            </w:pPr>
            <w:r>
              <w:t>KPAL</w:t>
            </w:r>
          </w:p>
        </w:tc>
        <w:tc>
          <w:tcPr>
            <w:tcW w:w="4560" w:type="dxa"/>
          </w:tcPr>
          <w:p w:rsidR="00557A6F" w:rsidRDefault="00557A6F" w:rsidP="00557A6F"/>
        </w:tc>
        <w:tc>
          <w:tcPr>
            <w:tcW w:w="1140" w:type="dxa"/>
          </w:tcPr>
          <w:p w:rsidR="00557A6F" w:rsidRDefault="00557A6F" w:rsidP="00557A6F">
            <w:pPr>
              <w:pStyle w:val="Tabellnavn"/>
              <w:jc w:val="right"/>
            </w:pPr>
          </w:p>
        </w:tc>
        <w:tc>
          <w:tcPr>
            <w:tcW w:w="1140" w:type="dxa"/>
          </w:tcPr>
          <w:p w:rsidR="00557A6F" w:rsidRDefault="00557A6F" w:rsidP="00557A6F">
            <w:pPr>
              <w:pStyle w:val="Tabellnavn"/>
              <w:jc w:val="right"/>
            </w:pPr>
          </w:p>
        </w:tc>
        <w:tc>
          <w:tcPr>
            <w:tcW w:w="1140" w:type="dxa"/>
          </w:tcPr>
          <w:p w:rsidR="00557A6F" w:rsidRDefault="00557A6F" w:rsidP="00557A6F">
            <w:pPr>
              <w:jc w:val="right"/>
            </w:pPr>
            <w:r>
              <w:t>(i 1 000 kr)</w:t>
            </w:r>
          </w:p>
        </w:tc>
      </w:tr>
      <w:tr w:rsidR="00557A6F" w:rsidTr="00557A6F">
        <w:trPr>
          <w:trHeight w:val="600"/>
        </w:trPr>
        <w:tc>
          <w:tcPr>
            <w:tcW w:w="1140" w:type="dxa"/>
          </w:tcPr>
          <w:p w:rsidR="00557A6F" w:rsidRDefault="00557A6F" w:rsidP="00557A6F">
            <w:r>
              <w:t>Post</w:t>
            </w:r>
          </w:p>
        </w:tc>
        <w:tc>
          <w:tcPr>
            <w:tcW w:w="4560" w:type="dxa"/>
          </w:tcPr>
          <w:p w:rsidR="00557A6F" w:rsidRDefault="00557A6F" w:rsidP="00557A6F">
            <w:r>
              <w:t>Betegnelse</w:t>
            </w:r>
          </w:p>
        </w:tc>
        <w:tc>
          <w:tcPr>
            <w:tcW w:w="1140" w:type="dxa"/>
          </w:tcPr>
          <w:p w:rsidR="00557A6F" w:rsidRDefault="00557A6F" w:rsidP="00557A6F">
            <w:pPr>
              <w:jc w:val="right"/>
            </w:pPr>
            <w:r>
              <w:t>Regnskap 2018</w:t>
            </w:r>
          </w:p>
        </w:tc>
        <w:tc>
          <w:tcPr>
            <w:tcW w:w="1140" w:type="dxa"/>
          </w:tcPr>
          <w:p w:rsidR="00557A6F" w:rsidRDefault="00557A6F" w:rsidP="00557A6F">
            <w:pPr>
              <w:jc w:val="right"/>
            </w:pPr>
            <w:r>
              <w:t xml:space="preserve">Saldert </w:t>
            </w:r>
            <w:r>
              <w:br/>
              <w:t>budsjett 2019</w:t>
            </w:r>
          </w:p>
        </w:tc>
        <w:tc>
          <w:tcPr>
            <w:tcW w:w="1140" w:type="dxa"/>
          </w:tcPr>
          <w:p w:rsidR="00557A6F" w:rsidRDefault="00557A6F" w:rsidP="00557A6F">
            <w:pPr>
              <w:jc w:val="right"/>
            </w:pPr>
            <w:r>
              <w:t xml:space="preserve">Forslag </w:t>
            </w:r>
            <w:r>
              <w:br/>
              <w:t>2020</w:t>
            </w:r>
          </w:p>
        </w:tc>
      </w:tr>
      <w:tr w:rsidR="00557A6F" w:rsidTr="00557A6F">
        <w:trPr>
          <w:trHeight w:val="380"/>
        </w:trPr>
        <w:tc>
          <w:tcPr>
            <w:tcW w:w="1140" w:type="dxa"/>
          </w:tcPr>
          <w:p w:rsidR="00557A6F" w:rsidRDefault="00557A6F" w:rsidP="00557A6F">
            <w:r>
              <w:t>01</w:t>
            </w:r>
          </w:p>
        </w:tc>
        <w:tc>
          <w:tcPr>
            <w:tcW w:w="4560" w:type="dxa"/>
          </w:tcPr>
          <w:p w:rsidR="00557A6F" w:rsidRDefault="00557A6F" w:rsidP="00557A6F">
            <w:r>
              <w:t xml:space="preserve">Diverse inntekter </w:t>
            </w:r>
          </w:p>
        </w:tc>
        <w:tc>
          <w:tcPr>
            <w:tcW w:w="1140" w:type="dxa"/>
          </w:tcPr>
          <w:p w:rsidR="00557A6F" w:rsidRDefault="00557A6F" w:rsidP="00557A6F">
            <w:pPr>
              <w:jc w:val="right"/>
            </w:pPr>
            <w:r>
              <w:t>115</w:t>
            </w:r>
          </w:p>
        </w:tc>
        <w:tc>
          <w:tcPr>
            <w:tcW w:w="1140" w:type="dxa"/>
          </w:tcPr>
          <w:p w:rsidR="00557A6F" w:rsidRDefault="00557A6F" w:rsidP="00557A6F">
            <w:pPr>
              <w:jc w:val="right"/>
            </w:pPr>
            <w:r>
              <w:t>106</w:t>
            </w:r>
          </w:p>
        </w:tc>
        <w:tc>
          <w:tcPr>
            <w:tcW w:w="1140" w:type="dxa"/>
          </w:tcPr>
          <w:p w:rsidR="00557A6F" w:rsidRDefault="00557A6F" w:rsidP="00557A6F">
            <w:pPr>
              <w:jc w:val="right"/>
            </w:pPr>
            <w:r>
              <w:t>108</w:t>
            </w:r>
          </w:p>
        </w:tc>
      </w:tr>
      <w:tr w:rsidR="00557A6F" w:rsidTr="00557A6F">
        <w:trPr>
          <w:trHeight w:val="380"/>
        </w:trPr>
        <w:tc>
          <w:tcPr>
            <w:tcW w:w="1140" w:type="dxa"/>
          </w:tcPr>
          <w:p w:rsidR="00557A6F" w:rsidRDefault="00557A6F" w:rsidP="00557A6F">
            <w:r>
              <w:t>04</w:t>
            </w:r>
          </w:p>
        </w:tc>
        <w:tc>
          <w:tcPr>
            <w:tcW w:w="4560" w:type="dxa"/>
          </w:tcPr>
          <w:p w:rsidR="00557A6F" w:rsidRDefault="00557A6F" w:rsidP="00557A6F">
            <w:r>
              <w:t xml:space="preserve">Gebyrer </w:t>
            </w:r>
          </w:p>
        </w:tc>
        <w:tc>
          <w:tcPr>
            <w:tcW w:w="1140" w:type="dxa"/>
          </w:tcPr>
          <w:p w:rsidR="00557A6F" w:rsidRDefault="00557A6F" w:rsidP="00557A6F">
            <w:pPr>
              <w:jc w:val="right"/>
            </w:pPr>
            <w:r>
              <w:t>42 163</w:t>
            </w:r>
          </w:p>
        </w:tc>
        <w:tc>
          <w:tcPr>
            <w:tcW w:w="1140" w:type="dxa"/>
          </w:tcPr>
          <w:p w:rsidR="00557A6F" w:rsidRDefault="00557A6F" w:rsidP="00557A6F">
            <w:pPr>
              <w:jc w:val="right"/>
            </w:pPr>
            <w:r>
              <w:t>44 031</w:t>
            </w:r>
          </w:p>
        </w:tc>
        <w:tc>
          <w:tcPr>
            <w:tcW w:w="1140" w:type="dxa"/>
          </w:tcPr>
          <w:p w:rsidR="00557A6F" w:rsidRDefault="00557A6F" w:rsidP="00557A6F">
            <w:pPr>
              <w:jc w:val="right"/>
            </w:pPr>
            <w:r>
              <w:t>41 000</w:t>
            </w:r>
          </w:p>
        </w:tc>
      </w:tr>
      <w:tr w:rsidR="00557A6F" w:rsidTr="00557A6F">
        <w:trPr>
          <w:trHeight w:val="380"/>
        </w:trPr>
        <w:tc>
          <w:tcPr>
            <w:tcW w:w="1140" w:type="dxa"/>
          </w:tcPr>
          <w:p w:rsidR="00557A6F" w:rsidRDefault="00557A6F" w:rsidP="00557A6F"/>
        </w:tc>
        <w:tc>
          <w:tcPr>
            <w:tcW w:w="4560" w:type="dxa"/>
          </w:tcPr>
          <w:p w:rsidR="00557A6F" w:rsidRDefault="00557A6F" w:rsidP="00557A6F">
            <w:r>
              <w:t>Sum kap. 3587</w:t>
            </w:r>
          </w:p>
        </w:tc>
        <w:tc>
          <w:tcPr>
            <w:tcW w:w="1140" w:type="dxa"/>
          </w:tcPr>
          <w:p w:rsidR="00557A6F" w:rsidRDefault="00557A6F" w:rsidP="00557A6F">
            <w:pPr>
              <w:jc w:val="right"/>
            </w:pPr>
            <w:r>
              <w:t>42 278</w:t>
            </w:r>
          </w:p>
        </w:tc>
        <w:tc>
          <w:tcPr>
            <w:tcW w:w="1140" w:type="dxa"/>
          </w:tcPr>
          <w:p w:rsidR="00557A6F" w:rsidRDefault="00557A6F" w:rsidP="00557A6F">
            <w:pPr>
              <w:jc w:val="right"/>
            </w:pPr>
            <w:r>
              <w:t>44 137</w:t>
            </w:r>
          </w:p>
        </w:tc>
        <w:tc>
          <w:tcPr>
            <w:tcW w:w="1140" w:type="dxa"/>
          </w:tcPr>
          <w:p w:rsidR="00557A6F" w:rsidRDefault="00557A6F" w:rsidP="00557A6F">
            <w:pPr>
              <w:jc w:val="right"/>
            </w:pPr>
            <w:r>
              <w:t>41 108</w:t>
            </w:r>
          </w:p>
        </w:tc>
      </w:tr>
    </w:tbl>
    <w:p w:rsidR="00557A6F" w:rsidRDefault="00557A6F" w:rsidP="00557A6F">
      <w:pPr>
        <w:pStyle w:val="b-post"/>
      </w:pPr>
      <w:r>
        <w:t>Post 01 Diverse inntekter</w:t>
      </w:r>
    </w:p>
    <w:p w:rsidR="00557A6F" w:rsidRDefault="00557A6F" w:rsidP="00557A6F">
      <w:r>
        <w:t>Posten omfatter inntekter fra tvangsmulkt og overtredelsesgebyr. Gebyret ilegges dersom det o</w:t>
      </w:r>
      <w:r>
        <w:t>m</w:t>
      </w:r>
      <w:r>
        <w:t>settes eller brukes produkter til byggverk som ikke er i samsvar med krav i plan- og bygningslo</w:t>
      </w:r>
      <w:r>
        <w:t>v</w:t>
      </w:r>
      <w:r>
        <w:t>givningen. Posten omfatter også inntekter fra overtredelsesgebyr for misbruk av logo og innsending av uriktig i</w:t>
      </w:r>
      <w:r>
        <w:t>n</w:t>
      </w:r>
      <w:r>
        <w:t>formasjon i forbindelse med sentral godkjenning.</w:t>
      </w:r>
    </w:p>
    <w:p w:rsidR="00557A6F" w:rsidRDefault="00557A6F" w:rsidP="00557A6F">
      <w:r>
        <w:t>Det foreslås en bevilgning på 108 000 kroner i 2020.</w:t>
      </w:r>
    </w:p>
    <w:p w:rsidR="00557A6F" w:rsidRDefault="00557A6F" w:rsidP="00557A6F">
      <w:pPr>
        <w:pStyle w:val="b-post"/>
      </w:pPr>
      <w:r>
        <w:t>Post 04 Gebyrer</w:t>
      </w:r>
    </w:p>
    <w:p w:rsidR="00557A6F" w:rsidRDefault="00557A6F" w:rsidP="00557A6F">
      <w:r>
        <w:t>Posten omfatter gebyrinntekter fra den sentrale godkjenningsordningen for foretak med ansvarsrett. G</w:t>
      </w:r>
      <w:r>
        <w:t>e</w:t>
      </w:r>
      <w:r>
        <w:t>byret er på 3 100 kroner per foretak. Ordningen er selvfinansierende, jf. omtale under kap. 587, post 01 Driftsutgifter.</w:t>
      </w:r>
    </w:p>
    <w:p w:rsidR="00557A6F" w:rsidRDefault="00557A6F" w:rsidP="00557A6F">
      <w:r>
        <w:t>Det er usikkerhet i utviklingen av antall nye søknader om godkjenning framover, dels grunnet r</w:t>
      </w:r>
      <w:r>
        <w:t>e</w:t>
      </w:r>
      <w:r>
        <w:t>gelverksendringer fra 1. januar 2016 og dels grunnet usikkerhet om Byggkvalitetutvalgets tilrå</w:t>
      </w:r>
      <w:r>
        <w:t>d</w:t>
      </w:r>
      <w:r>
        <w:t>ninger om ordningens videre innretning. Det forventes derfor fortsatt en reduksjon i antall foretak i ordningen for sentral godkjenning til om lag 13 200 foretak. På bakgrunn av dette foreslås det å redusere bevilgningen med 2,8 mill. kroner.</w:t>
      </w:r>
    </w:p>
    <w:p w:rsidR="00557A6F" w:rsidRDefault="00557A6F" w:rsidP="00557A6F">
      <w:r>
        <w:t>Det foreslås en bevilgning på 41 mill. kroner i 2020.</w:t>
      </w:r>
    </w:p>
    <w:p w:rsidR="00557A6F" w:rsidRDefault="00557A6F" w:rsidP="00557A6F">
      <w:pPr>
        <w:pStyle w:val="b-budkaptit"/>
      </w:pPr>
      <w:r>
        <w:t>Kap. 2412 Husbanken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7A6F" w:rsidTr="00557A6F">
        <w:trPr>
          <w:trHeight w:val="640"/>
        </w:trPr>
        <w:tc>
          <w:tcPr>
            <w:tcW w:w="1140" w:type="dxa"/>
            <w:shd w:val="clear" w:color="auto" w:fill="FFFFFF"/>
          </w:tcPr>
          <w:p w:rsidR="00557A6F" w:rsidRDefault="00557A6F" w:rsidP="00557A6F">
            <w:pPr>
              <w:pStyle w:val="Tabellnavn"/>
            </w:pPr>
            <w:r>
              <w:t>KPAL</w:t>
            </w:r>
          </w:p>
        </w:tc>
        <w:tc>
          <w:tcPr>
            <w:tcW w:w="4560" w:type="dxa"/>
          </w:tcPr>
          <w:p w:rsidR="00557A6F" w:rsidRDefault="00557A6F" w:rsidP="00557A6F"/>
        </w:tc>
        <w:tc>
          <w:tcPr>
            <w:tcW w:w="1140" w:type="dxa"/>
          </w:tcPr>
          <w:p w:rsidR="00557A6F" w:rsidRDefault="00557A6F" w:rsidP="00557A6F">
            <w:pPr>
              <w:pStyle w:val="Tabellnavn"/>
              <w:jc w:val="right"/>
            </w:pPr>
          </w:p>
        </w:tc>
        <w:tc>
          <w:tcPr>
            <w:tcW w:w="1140" w:type="dxa"/>
          </w:tcPr>
          <w:p w:rsidR="00557A6F" w:rsidRDefault="00557A6F" w:rsidP="00557A6F">
            <w:pPr>
              <w:pStyle w:val="Tabellnavn"/>
              <w:jc w:val="right"/>
            </w:pPr>
          </w:p>
        </w:tc>
        <w:tc>
          <w:tcPr>
            <w:tcW w:w="1140" w:type="dxa"/>
          </w:tcPr>
          <w:p w:rsidR="00557A6F" w:rsidRDefault="00557A6F" w:rsidP="00557A6F">
            <w:pPr>
              <w:jc w:val="right"/>
            </w:pPr>
            <w:r>
              <w:t>(i 1 000 kr)</w:t>
            </w:r>
          </w:p>
        </w:tc>
      </w:tr>
      <w:tr w:rsidR="00557A6F" w:rsidTr="00557A6F">
        <w:trPr>
          <w:trHeight w:val="600"/>
        </w:trPr>
        <w:tc>
          <w:tcPr>
            <w:tcW w:w="1140" w:type="dxa"/>
          </w:tcPr>
          <w:p w:rsidR="00557A6F" w:rsidRDefault="00557A6F" w:rsidP="00557A6F">
            <w:r>
              <w:t>Post</w:t>
            </w:r>
          </w:p>
        </w:tc>
        <w:tc>
          <w:tcPr>
            <w:tcW w:w="4560" w:type="dxa"/>
          </w:tcPr>
          <w:p w:rsidR="00557A6F" w:rsidRDefault="00557A6F" w:rsidP="00557A6F">
            <w:r>
              <w:t>Betegnelse</w:t>
            </w:r>
          </w:p>
        </w:tc>
        <w:tc>
          <w:tcPr>
            <w:tcW w:w="1140" w:type="dxa"/>
          </w:tcPr>
          <w:p w:rsidR="00557A6F" w:rsidRDefault="00557A6F" w:rsidP="00557A6F">
            <w:pPr>
              <w:jc w:val="right"/>
            </w:pPr>
            <w:r>
              <w:t>Regnskap 2018</w:t>
            </w:r>
          </w:p>
        </w:tc>
        <w:tc>
          <w:tcPr>
            <w:tcW w:w="1140" w:type="dxa"/>
          </w:tcPr>
          <w:p w:rsidR="00557A6F" w:rsidRDefault="00557A6F" w:rsidP="00557A6F">
            <w:pPr>
              <w:jc w:val="right"/>
            </w:pPr>
            <w:r>
              <w:t xml:space="preserve">Saldert </w:t>
            </w:r>
            <w:r>
              <w:br/>
              <w:t>budsjett 2019</w:t>
            </w:r>
          </w:p>
        </w:tc>
        <w:tc>
          <w:tcPr>
            <w:tcW w:w="1140" w:type="dxa"/>
          </w:tcPr>
          <w:p w:rsidR="00557A6F" w:rsidRDefault="00557A6F" w:rsidP="00557A6F">
            <w:pPr>
              <w:jc w:val="right"/>
            </w:pPr>
            <w:r>
              <w:t xml:space="preserve">Forslag </w:t>
            </w:r>
            <w:r>
              <w:br/>
              <w:t>2020</w:t>
            </w:r>
          </w:p>
        </w:tc>
      </w:tr>
      <w:tr w:rsidR="00557A6F" w:rsidTr="00557A6F">
        <w:trPr>
          <w:trHeight w:val="380"/>
        </w:trPr>
        <w:tc>
          <w:tcPr>
            <w:tcW w:w="1140" w:type="dxa"/>
          </w:tcPr>
          <w:p w:rsidR="00557A6F" w:rsidRDefault="00557A6F" w:rsidP="00557A6F">
            <w:r>
              <w:t>01</w:t>
            </w:r>
          </w:p>
        </w:tc>
        <w:tc>
          <w:tcPr>
            <w:tcW w:w="4560" w:type="dxa"/>
          </w:tcPr>
          <w:p w:rsidR="00557A6F" w:rsidRDefault="00557A6F" w:rsidP="00557A6F">
            <w:r>
              <w:t xml:space="preserve">Driftsutgifter </w:t>
            </w:r>
          </w:p>
        </w:tc>
        <w:tc>
          <w:tcPr>
            <w:tcW w:w="1140" w:type="dxa"/>
          </w:tcPr>
          <w:p w:rsidR="00557A6F" w:rsidRDefault="00557A6F" w:rsidP="00557A6F">
            <w:pPr>
              <w:jc w:val="right"/>
            </w:pPr>
            <w:r>
              <w:t>347 491</w:t>
            </w:r>
          </w:p>
        </w:tc>
        <w:tc>
          <w:tcPr>
            <w:tcW w:w="1140" w:type="dxa"/>
          </w:tcPr>
          <w:p w:rsidR="00557A6F" w:rsidRDefault="00557A6F" w:rsidP="00557A6F">
            <w:pPr>
              <w:jc w:val="right"/>
            </w:pPr>
            <w:r>
              <w:t>352 910</w:t>
            </w:r>
          </w:p>
        </w:tc>
        <w:tc>
          <w:tcPr>
            <w:tcW w:w="1140" w:type="dxa"/>
          </w:tcPr>
          <w:p w:rsidR="00557A6F" w:rsidRDefault="00557A6F" w:rsidP="00557A6F">
            <w:pPr>
              <w:jc w:val="right"/>
            </w:pPr>
            <w:r>
              <w:t>365 288</w:t>
            </w:r>
          </w:p>
        </w:tc>
      </w:tr>
      <w:tr w:rsidR="00557A6F" w:rsidTr="00557A6F">
        <w:trPr>
          <w:trHeight w:val="380"/>
        </w:trPr>
        <w:tc>
          <w:tcPr>
            <w:tcW w:w="1140" w:type="dxa"/>
          </w:tcPr>
          <w:p w:rsidR="00557A6F" w:rsidRDefault="00557A6F" w:rsidP="00557A6F">
            <w:r>
              <w:t>21</w:t>
            </w:r>
          </w:p>
        </w:tc>
        <w:tc>
          <w:tcPr>
            <w:tcW w:w="4560" w:type="dxa"/>
          </w:tcPr>
          <w:p w:rsidR="00557A6F" w:rsidRDefault="00557A6F" w:rsidP="00557A6F">
            <w:r>
              <w:t>Spesielle driftsutgifter</w:t>
            </w:r>
            <w:r>
              <w:rPr>
                <w:rStyle w:val="kursiv"/>
                <w:sz w:val="21"/>
                <w:szCs w:val="21"/>
              </w:rPr>
              <w:t xml:space="preserve">, kan overføres </w:t>
            </w:r>
          </w:p>
        </w:tc>
        <w:tc>
          <w:tcPr>
            <w:tcW w:w="1140" w:type="dxa"/>
          </w:tcPr>
          <w:p w:rsidR="00557A6F" w:rsidRDefault="00557A6F" w:rsidP="00557A6F">
            <w:pPr>
              <w:jc w:val="right"/>
            </w:pPr>
            <w:r>
              <w:t>4 241</w:t>
            </w:r>
          </w:p>
        </w:tc>
        <w:tc>
          <w:tcPr>
            <w:tcW w:w="1140" w:type="dxa"/>
          </w:tcPr>
          <w:p w:rsidR="00557A6F" w:rsidRDefault="00557A6F" w:rsidP="00557A6F">
            <w:pPr>
              <w:jc w:val="right"/>
            </w:pPr>
            <w:r>
              <w:t>11 532</w:t>
            </w:r>
          </w:p>
        </w:tc>
        <w:tc>
          <w:tcPr>
            <w:tcW w:w="1140" w:type="dxa"/>
          </w:tcPr>
          <w:p w:rsidR="00557A6F" w:rsidRDefault="00557A6F" w:rsidP="00557A6F">
            <w:pPr>
              <w:jc w:val="right"/>
            </w:pPr>
            <w:r>
              <w:t>11 841</w:t>
            </w:r>
          </w:p>
        </w:tc>
      </w:tr>
      <w:tr w:rsidR="00557A6F" w:rsidTr="00557A6F">
        <w:trPr>
          <w:trHeight w:val="640"/>
        </w:trPr>
        <w:tc>
          <w:tcPr>
            <w:tcW w:w="1140" w:type="dxa"/>
          </w:tcPr>
          <w:p w:rsidR="00557A6F" w:rsidRDefault="00557A6F" w:rsidP="00557A6F">
            <w:r>
              <w:t>45</w:t>
            </w:r>
          </w:p>
        </w:tc>
        <w:tc>
          <w:tcPr>
            <w:tcW w:w="4560" w:type="dxa"/>
          </w:tcPr>
          <w:p w:rsidR="00557A6F" w:rsidRDefault="00557A6F" w:rsidP="00557A6F">
            <w:r>
              <w:t>Større utstyrsanskaffelser og vedlikehold</w:t>
            </w:r>
            <w:r>
              <w:rPr>
                <w:rStyle w:val="kursiv"/>
                <w:sz w:val="21"/>
                <w:szCs w:val="21"/>
              </w:rPr>
              <w:t xml:space="preserve">, </w:t>
            </w:r>
            <w:r>
              <w:rPr>
                <w:rStyle w:val="kursiv"/>
                <w:sz w:val="21"/>
                <w:szCs w:val="21"/>
              </w:rPr>
              <w:br/>
              <w:t xml:space="preserve">kan overføres </w:t>
            </w:r>
          </w:p>
        </w:tc>
        <w:tc>
          <w:tcPr>
            <w:tcW w:w="1140" w:type="dxa"/>
          </w:tcPr>
          <w:p w:rsidR="00557A6F" w:rsidRDefault="00557A6F" w:rsidP="00557A6F">
            <w:pPr>
              <w:jc w:val="right"/>
            </w:pPr>
            <w:r>
              <w:t>75 642</w:t>
            </w:r>
          </w:p>
        </w:tc>
        <w:tc>
          <w:tcPr>
            <w:tcW w:w="1140" w:type="dxa"/>
          </w:tcPr>
          <w:p w:rsidR="00557A6F" w:rsidRDefault="00557A6F" w:rsidP="00557A6F">
            <w:pPr>
              <w:jc w:val="right"/>
            </w:pPr>
            <w:r>
              <w:t>38 844</w:t>
            </w:r>
          </w:p>
        </w:tc>
        <w:tc>
          <w:tcPr>
            <w:tcW w:w="1140" w:type="dxa"/>
          </w:tcPr>
          <w:p w:rsidR="00557A6F" w:rsidRDefault="00557A6F" w:rsidP="00557A6F">
            <w:pPr>
              <w:jc w:val="right"/>
            </w:pPr>
            <w:r>
              <w:t>70 565</w:t>
            </w:r>
          </w:p>
        </w:tc>
      </w:tr>
      <w:tr w:rsidR="00557A6F" w:rsidTr="00557A6F">
        <w:trPr>
          <w:trHeight w:val="380"/>
        </w:trPr>
        <w:tc>
          <w:tcPr>
            <w:tcW w:w="1140" w:type="dxa"/>
          </w:tcPr>
          <w:p w:rsidR="00557A6F" w:rsidRDefault="00557A6F" w:rsidP="00557A6F">
            <w:r>
              <w:lastRenderedPageBreak/>
              <w:t>71</w:t>
            </w:r>
          </w:p>
        </w:tc>
        <w:tc>
          <w:tcPr>
            <w:tcW w:w="4560" w:type="dxa"/>
          </w:tcPr>
          <w:p w:rsidR="00557A6F" w:rsidRDefault="00557A6F" w:rsidP="00557A6F">
            <w:r>
              <w:t xml:space="preserve">Tap på lån </w:t>
            </w:r>
          </w:p>
        </w:tc>
        <w:tc>
          <w:tcPr>
            <w:tcW w:w="1140" w:type="dxa"/>
          </w:tcPr>
          <w:p w:rsidR="00557A6F" w:rsidRDefault="00557A6F" w:rsidP="00557A6F">
            <w:pPr>
              <w:jc w:val="right"/>
            </w:pPr>
            <w:r>
              <w:t>3 479</w:t>
            </w:r>
          </w:p>
        </w:tc>
        <w:tc>
          <w:tcPr>
            <w:tcW w:w="1140" w:type="dxa"/>
          </w:tcPr>
          <w:p w:rsidR="00557A6F" w:rsidRDefault="00557A6F" w:rsidP="00557A6F">
            <w:pPr>
              <w:jc w:val="right"/>
            </w:pPr>
            <w:r>
              <w:t>12 700</w:t>
            </w:r>
          </w:p>
        </w:tc>
        <w:tc>
          <w:tcPr>
            <w:tcW w:w="1140" w:type="dxa"/>
          </w:tcPr>
          <w:p w:rsidR="00557A6F" w:rsidRDefault="00557A6F" w:rsidP="00557A6F">
            <w:pPr>
              <w:jc w:val="right"/>
            </w:pPr>
            <w:r>
              <w:t>12 000</w:t>
            </w:r>
          </w:p>
        </w:tc>
      </w:tr>
      <w:tr w:rsidR="00557A6F" w:rsidTr="00557A6F">
        <w:trPr>
          <w:trHeight w:val="380"/>
        </w:trPr>
        <w:tc>
          <w:tcPr>
            <w:tcW w:w="1140" w:type="dxa"/>
          </w:tcPr>
          <w:p w:rsidR="00557A6F" w:rsidRDefault="00557A6F" w:rsidP="00557A6F">
            <w:r>
              <w:t>72</w:t>
            </w:r>
          </w:p>
        </w:tc>
        <w:tc>
          <w:tcPr>
            <w:tcW w:w="4560" w:type="dxa"/>
          </w:tcPr>
          <w:p w:rsidR="00557A6F" w:rsidRDefault="00557A6F" w:rsidP="00557A6F">
            <w:r>
              <w:t xml:space="preserve">Rentestøtte </w:t>
            </w:r>
          </w:p>
        </w:tc>
        <w:tc>
          <w:tcPr>
            <w:tcW w:w="1140" w:type="dxa"/>
          </w:tcPr>
          <w:p w:rsidR="00557A6F" w:rsidRDefault="00557A6F" w:rsidP="00557A6F">
            <w:pPr>
              <w:jc w:val="right"/>
            </w:pPr>
            <w:r>
              <w:t>5 018</w:t>
            </w:r>
          </w:p>
        </w:tc>
        <w:tc>
          <w:tcPr>
            <w:tcW w:w="1140" w:type="dxa"/>
          </w:tcPr>
          <w:p w:rsidR="00557A6F" w:rsidRDefault="00557A6F" w:rsidP="00557A6F">
            <w:pPr>
              <w:jc w:val="right"/>
            </w:pPr>
            <w:r>
              <w:t>4 100</w:t>
            </w:r>
          </w:p>
        </w:tc>
        <w:tc>
          <w:tcPr>
            <w:tcW w:w="1140" w:type="dxa"/>
          </w:tcPr>
          <w:p w:rsidR="00557A6F" w:rsidRDefault="00557A6F" w:rsidP="00557A6F">
            <w:pPr>
              <w:jc w:val="right"/>
            </w:pPr>
            <w:r>
              <w:t>3 000</w:t>
            </w:r>
          </w:p>
        </w:tc>
      </w:tr>
      <w:tr w:rsidR="00557A6F" w:rsidTr="00557A6F">
        <w:trPr>
          <w:trHeight w:val="380"/>
        </w:trPr>
        <w:tc>
          <w:tcPr>
            <w:tcW w:w="1140" w:type="dxa"/>
          </w:tcPr>
          <w:p w:rsidR="00557A6F" w:rsidRDefault="00557A6F" w:rsidP="00557A6F">
            <w:r>
              <w:t>90</w:t>
            </w:r>
          </w:p>
        </w:tc>
        <w:tc>
          <w:tcPr>
            <w:tcW w:w="4560" w:type="dxa"/>
          </w:tcPr>
          <w:p w:rsidR="00557A6F" w:rsidRDefault="00557A6F" w:rsidP="00557A6F">
            <w:r>
              <w:t>Nye lån</w:t>
            </w:r>
            <w:r>
              <w:rPr>
                <w:rStyle w:val="kursiv"/>
                <w:sz w:val="21"/>
                <w:szCs w:val="21"/>
              </w:rPr>
              <w:t xml:space="preserve">, overslagsbevilgning </w:t>
            </w:r>
          </w:p>
        </w:tc>
        <w:tc>
          <w:tcPr>
            <w:tcW w:w="1140" w:type="dxa"/>
          </w:tcPr>
          <w:p w:rsidR="00557A6F" w:rsidRDefault="00557A6F" w:rsidP="00557A6F">
            <w:pPr>
              <w:jc w:val="right"/>
            </w:pPr>
            <w:r>
              <w:t>15 656 623</w:t>
            </w:r>
          </w:p>
        </w:tc>
        <w:tc>
          <w:tcPr>
            <w:tcW w:w="1140" w:type="dxa"/>
          </w:tcPr>
          <w:p w:rsidR="00557A6F" w:rsidRDefault="00557A6F" w:rsidP="00557A6F">
            <w:pPr>
              <w:jc w:val="right"/>
            </w:pPr>
            <w:r>
              <w:t>14 330 000</w:t>
            </w:r>
          </w:p>
        </w:tc>
        <w:tc>
          <w:tcPr>
            <w:tcW w:w="1140" w:type="dxa"/>
          </w:tcPr>
          <w:p w:rsidR="00557A6F" w:rsidRDefault="00557A6F" w:rsidP="00557A6F">
            <w:pPr>
              <w:jc w:val="right"/>
            </w:pPr>
            <w:r>
              <w:t>14 810 000</w:t>
            </w:r>
          </w:p>
        </w:tc>
      </w:tr>
      <w:tr w:rsidR="00557A6F" w:rsidTr="00557A6F">
        <w:trPr>
          <w:trHeight w:val="380"/>
        </w:trPr>
        <w:tc>
          <w:tcPr>
            <w:tcW w:w="1140" w:type="dxa"/>
          </w:tcPr>
          <w:p w:rsidR="00557A6F" w:rsidRDefault="00557A6F" w:rsidP="00557A6F"/>
        </w:tc>
        <w:tc>
          <w:tcPr>
            <w:tcW w:w="4560" w:type="dxa"/>
          </w:tcPr>
          <w:p w:rsidR="00557A6F" w:rsidRDefault="00557A6F" w:rsidP="00557A6F">
            <w:r>
              <w:t>Sum kap. 2412</w:t>
            </w:r>
          </w:p>
        </w:tc>
        <w:tc>
          <w:tcPr>
            <w:tcW w:w="1140" w:type="dxa"/>
          </w:tcPr>
          <w:p w:rsidR="00557A6F" w:rsidRDefault="00557A6F" w:rsidP="00557A6F">
            <w:pPr>
              <w:jc w:val="right"/>
            </w:pPr>
            <w:r>
              <w:t>16 092 494</w:t>
            </w:r>
          </w:p>
        </w:tc>
        <w:tc>
          <w:tcPr>
            <w:tcW w:w="1140" w:type="dxa"/>
          </w:tcPr>
          <w:p w:rsidR="00557A6F" w:rsidRDefault="00557A6F" w:rsidP="00557A6F">
            <w:pPr>
              <w:jc w:val="right"/>
            </w:pPr>
            <w:r>
              <w:t>14 750 086</w:t>
            </w:r>
          </w:p>
        </w:tc>
        <w:tc>
          <w:tcPr>
            <w:tcW w:w="1140" w:type="dxa"/>
          </w:tcPr>
          <w:p w:rsidR="00557A6F" w:rsidRDefault="00557A6F" w:rsidP="00557A6F">
            <w:pPr>
              <w:jc w:val="right"/>
            </w:pPr>
            <w:r>
              <w:t>15 272 694</w:t>
            </w:r>
          </w:p>
        </w:tc>
      </w:tr>
    </w:tbl>
    <w:p w:rsidR="00557A6F" w:rsidRDefault="00557A6F" w:rsidP="00557A6F">
      <w:pPr>
        <w:pStyle w:val="tabell-noter"/>
      </w:pPr>
      <w:r>
        <w:t>Vedrørende 2019: Ved Stortingets vedtak av 2. april 2019 ble post 01 økt med 2 mill. kroner til 354,9 mill. kroner, jf. Prop. 54 S og Innst. 229 S (2018–2019). Ved Stortingets vedtak av 21. juni 2019 ble post 01 økt med 2 mill. kroner til 356,9 mill. kroner, post 45 økt med 2 mill. kroner til 40,8 mill. kroner og post 90 økt med 1 410 mill. kroner til 15 740 mill. kroner, jf. Prop. 114 S og Innst. 391 S (2018–2019).</w:t>
      </w:r>
    </w:p>
    <w:p w:rsidR="00557A6F" w:rsidRDefault="00557A6F" w:rsidP="00557A6F">
      <w:r>
        <w:lastRenderedPageBreak/>
        <w:t xml:space="preserve">Bevilgningene til Husbanken skal bidra til </w:t>
      </w:r>
      <w:proofErr w:type="gramStart"/>
      <w:r>
        <w:t>å</w:t>
      </w:r>
      <w:proofErr w:type="gramEnd"/>
      <w:r>
        <w:t xml:space="preserve"> nå mål 1 Sikre, miljøvennlige og tilgjengelige boliger og bygg og mål 4 Vanskeligstilte på boligmarkedet skal kunne skaffe seg og beholde en egnet b</w:t>
      </w:r>
      <w:r>
        <w:t>o</w:t>
      </w:r>
      <w:r>
        <w:t>lig.</w:t>
      </w:r>
    </w:p>
    <w:p w:rsidR="00557A6F" w:rsidRDefault="00557A6F" w:rsidP="00557A6F">
      <w:r>
        <w:t>Husbankens lånevirksomhet følger periodiseringsprinsippet. Postene 71 Tap på lån, 72 Rentestøtte og 90 Nye lån under kapittel 2412 er knyttet til lånevirksomheten. Dette gjelder også inntektspo</w:t>
      </w:r>
      <w:r>
        <w:t>s</w:t>
      </w:r>
      <w:r>
        <w:t>tene 01 G</w:t>
      </w:r>
      <w:r>
        <w:t>e</w:t>
      </w:r>
      <w:r>
        <w:t>byrer m.m. og 90 Avdrag under kapittel 5412 og post 90 Renter under kapittel 5615. Husbankens låneramme for nye lån, det sa</w:t>
      </w:r>
      <w:r>
        <w:t>m</w:t>
      </w:r>
      <w:r>
        <w:t>lede utlånsvolumet og renteendringer påvirker disse budsjettpostene.</w:t>
      </w:r>
    </w:p>
    <w:p w:rsidR="00557A6F" w:rsidRDefault="00557A6F" w:rsidP="00557A6F">
      <w:pPr>
        <w:pStyle w:val="b-post"/>
      </w:pPr>
      <w:r>
        <w:t>Post 01 Driftsutgifter</w:t>
      </w:r>
    </w:p>
    <w:p w:rsidR="00557A6F" w:rsidRDefault="00557A6F" w:rsidP="00557A6F">
      <w:r>
        <w:t>Posten dekker lønn, husleie og andre faste driftsutgifter for Husbanken. Husbanken har hovedko</w:t>
      </w:r>
      <w:r>
        <w:t>n</w:t>
      </w:r>
      <w:r>
        <w:t>tor i Drammen og regionkontorer i Hammerfest, Bodø, Trondheim, Bergen, Arendal og Oslo.</w:t>
      </w:r>
    </w:p>
    <w:p w:rsidR="00557A6F" w:rsidRDefault="00557A6F" w:rsidP="00557A6F">
      <w:r>
        <w:t>Husbanken har et effektiviseringsprogram i perioden 2019–2021. Ny organisering, digitalisering og standardis</w:t>
      </w:r>
      <w:r>
        <w:t>e</w:t>
      </w:r>
      <w:r>
        <w:t>ring av arbeidsprosesser og tjenester bidrar til at Husbanken arbeider mer effektivt. I 2019 blir det realisert gevinster på 10 mill. kroner som følge av effektiviseringsprogrammet i ti</w:t>
      </w:r>
      <w:r>
        <w:t>l</w:t>
      </w:r>
      <w:r>
        <w:t>legg til avbyråkratiserings- og effektivis</w:t>
      </w:r>
      <w:r>
        <w:t>e</w:t>
      </w:r>
      <w:r>
        <w:t>ringsreformen. Videre gevinster benyttes til å finansiere IKT-utvikling og forval</w:t>
      </w:r>
      <w:r>
        <w:t>t</w:t>
      </w:r>
      <w:r>
        <w:t>ningskostnader av nye digitale systemer.</w:t>
      </w:r>
    </w:p>
    <w:p w:rsidR="00557A6F" w:rsidRDefault="00557A6F" w:rsidP="00557A6F">
      <w:r>
        <w:t>For å dekke høye strømregninger for husstander med lave inntekter, vedtok Stortinget i april 2019 en ekstra utb</w:t>
      </w:r>
      <w:r>
        <w:t>e</w:t>
      </w:r>
      <w:r>
        <w:t>taling til alle bostøttemottakere, jf. Prop. 54 S (2018–2019)</w:t>
      </w:r>
      <w:r>
        <w:rPr>
          <w:rStyle w:val="kursiv"/>
          <w:sz w:val="21"/>
          <w:szCs w:val="21"/>
        </w:rPr>
        <w:t xml:space="preserve"> Endring i statsbudsjettet 2019 under Kommunal- og moderniseringsdepartementet (ekstra utbetaling til mottakere av bostøtte som hjelp til å dekke høye strømutgifter) </w:t>
      </w:r>
      <w:r>
        <w:t>og Innst. 229 S (2018–2019). For å finansiere de administrative kostnad</w:t>
      </w:r>
      <w:r>
        <w:t>e</w:t>
      </w:r>
      <w:r>
        <w:t>ne som fulgte av den ekstra utbet</w:t>
      </w:r>
      <w:r>
        <w:t>a</w:t>
      </w:r>
      <w:r>
        <w:t xml:space="preserve">lingen, ble driftsbudsjettet til Husbanken økt med 2 mill. kroner. </w:t>
      </w:r>
    </w:p>
    <w:p w:rsidR="00557A6F" w:rsidRDefault="00557A6F" w:rsidP="00557A6F">
      <w:pPr>
        <w:pStyle w:val="avsnitt-tittel"/>
      </w:pPr>
      <w:r>
        <w:t>Budsjettforslag</w:t>
      </w:r>
    </w:p>
    <w:p w:rsidR="00557A6F" w:rsidRDefault="00557A6F" w:rsidP="00557A6F">
      <w:r>
        <w:t>Husbanken forvalter investeringstilskudd til omsorgsboliger og sykehjem på vegne av Helse- og o</w:t>
      </w:r>
      <w:r>
        <w:t>m</w:t>
      </w:r>
      <w:r>
        <w:t xml:space="preserve">sorgsdepartementet. I forbindelse med revidert nasjonalbudsjett for 2019 ble det opprettet et tilskudd til lokale kjøkkenløsninger med eget produksjonskjøkken ved eksisterende sykehjem og omsorgsboliger for personer med heldøgns tjenestetilbud, jf. Prop. 114 S (2018–2019) </w:t>
      </w:r>
      <w:r>
        <w:rPr>
          <w:rStyle w:val="kursiv"/>
          <w:sz w:val="21"/>
          <w:szCs w:val="21"/>
        </w:rPr>
        <w:t>Tilleggsb</w:t>
      </w:r>
      <w:r>
        <w:rPr>
          <w:rStyle w:val="kursiv"/>
          <w:sz w:val="21"/>
          <w:szCs w:val="21"/>
        </w:rPr>
        <w:t>e</w:t>
      </w:r>
      <w:r>
        <w:rPr>
          <w:rStyle w:val="kursiv"/>
          <w:sz w:val="21"/>
          <w:szCs w:val="21"/>
        </w:rPr>
        <w:t>vilgninger og omprioriteringer i statsbudsjettet for 2019</w:t>
      </w:r>
      <w:r>
        <w:t xml:space="preserve"> og Innst. 391 S (2018–2019)</w:t>
      </w:r>
      <w:r>
        <w:rPr>
          <w:rStyle w:val="kursiv"/>
          <w:sz w:val="21"/>
          <w:szCs w:val="21"/>
        </w:rPr>
        <w:t>.</w:t>
      </w:r>
      <w:r>
        <w:t xml:space="preserve"> Bevilgningen til Husbanken ble økt med 2 mill. kroner, hvorav 1 mill. kroner til utvikling av søknads- og saksb</w:t>
      </w:r>
      <w:r>
        <w:t>e</w:t>
      </w:r>
      <w:r>
        <w:t>handlingssystem og 1 mill. kroner til forvaltning av ordningen. Det foreslås 1 mill. kroner til fo</w:t>
      </w:r>
      <w:r>
        <w:t>r</w:t>
      </w:r>
      <w:r>
        <w:t xml:space="preserve">valtning av tilskuddet i 2020. </w:t>
      </w:r>
    </w:p>
    <w:p w:rsidR="00557A6F" w:rsidRDefault="00557A6F" w:rsidP="00557A6F">
      <w:r>
        <w:t>Som følge av endret regnskapsmessig praksis for føring av pensjonspremie i Statens pensjonskasse, vil Husba</w:t>
      </w:r>
      <w:r>
        <w:t>n</w:t>
      </w:r>
      <w:r>
        <w:t>ken få en ekstra utgift i overgangsåret 2020 tilsvarende virksomhetens pensjonspremie for 6. termin (november og desember). På bakgrunn av dette foreslås det en økning på 4,7 mill. kroner.</w:t>
      </w:r>
    </w:p>
    <w:p w:rsidR="00557A6F" w:rsidRDefault="00557A6F" w:rsidP="00557A6F">
      <w:r>
        <w:t>Inkludert avbyråkratiserings- og effektiviseringsreformen og pris- og lønnsjustering, foreslås det en samlet b</w:t>
      </w:r>
      <w:r>
        <w:t>e</w:t>
      </w:r>
      <w:r>
        <w:t>vilgning på 365,3 mill. kroner i 2020.</w:t>
      </w:r>
    </w:p>
    <w:p w:rsidR="00557A6F" w:rsidRDefault="00557A6F" w:rsidP="00557A6F">
      <w:r>
        <w:t>Det foreslås at Husbanken kan føre utbetalinger knyttet til utlegg i låne- og tilskuddsforvaltningen samt tilhøre</w:t>
      </w:r>
      <w:r>
        <w:t>n</w:t>
      </w:r>
      <w:r>
        <w:t>de refusjoner mot mellomværendet med statskassen, jf. forslag til romertallsvedtak.</w:t>
      </w:r>
    </w:p>
    <w:p w:rsidR="00557A6F" w:rsidRDefault="00557A6F" w:rsidP="00557A6F">
      <w:pPr>
        <w:pStyle w:val="b-post"/>
      </w:pPr>
      <w:r>
        <w:t xml:space="preserve">Post 21 Spesielle driftsutgifter, </w:t>
      </w:r>
      <w:r>
        <w:br/>
        <w:t>kan overføres</w:t>
      </w:r>
    </w:p>
    <w:p w:rsidR="00557A6F" w:rsidRDefault="00557A6F" w:rsidP="00557A6F">
      <w:r>
        <w:t>Bevilgningen på posten skal benyttes til forskning, utvikling og kunnskapsformidling som støtter opp om de boligsosiale målene.</w:t>
      </w:r>
    </w:p>
    <w:p w:rsidR="00557A6F" w:rsidRDefault="00557A6F" w:rsidP="00557A6F">
      <w:r>
        <w:t>I 2018 finansierte Husbanken 14 forsknings- og utviklingsoppdrag over posten. Blant annet er å</w:t>
      </w:r>
      <w:r>
        <w:t>r</w:t>
      </w:r>
      <w:r>
        <w:t>saker til nedgangen i antallet bostedsløse undersøkt. Videre er det utredet tiltak for å bedre bofo</w:t>
      </w:r>
      <w:r>
        <w:t>r</w:t>
      </w:r>
      <w:r>
        <w:t>holdene for barnefamilier i vanskelige bosituasjoner. Arbeidet med å dokumentere erfaringer fra Asker velferdslab er videreført gjennom et oppdrag som skal utvikle en økonomi- og implement</w:t>
      </w:r>
      <w:r>
        <w:t>e</w:t>
      </w:r>
      <w:r>
        <w:t>ringsmodell for tiltaket. Det er videre igangsatt en utre</w:t>
      </w:r>
      <w:r>
        <w:t>d</w:t>
      </w:r>
      <w:r>
        <w:t>ning av tiltak for å øke andelen unge uføre som eier egen bolig. Rapportene er tilgjengelige på Husbankens hjemmesider.</w:t>
      </w:r>
    </w:p>
    <w:p w:rsidR="00557A6F" w:rsidRDefault="00557A6F" w:rsidP="00557A6F">
      <w:r>
        <w:t>Det foreslås en bevilgning på 11,8 mill. kroner i 2020.</w:t>
      </w:r>
    </w:p>
    <w:p w:rsidR="00557A6F" w:rsidRDefault="00557A6F" w:rsidP="00557A6F">
      <w:pPr>
        <w:pStyle w:val="b-post"/>
      </w:pPr>
      <w:r>
        <w:t>Post 45 Større utstyrsanskaffelser og vedlikehold, kan overføres</w:t>
      </w:r>
    </w:p>
    <w:p w:rsidR="00557A6F" w:rsidRDefault="00557A6F" w:rsidP="00557A6F">
      <w:r>
        <w:t>Posten benyttes til større utstyrsanskaffelser og vedlikehold i Husbanken, blant annet på IKT-området.</w:t>
      </w:r>
    </w:p>
    <w:p w:rsidR="00557A6F" w:rsidRDefault="00557A6F" w:rsidP="00557A6F">
      <w:r>
        <w:lastRenderedPageBreak/>
        <w:t>I 2018 ble det benyttet 75,6 mill. kroner. Husbanken har i 2018 blant annet utviklet og lansert e-søknad for grunnlån og tilskudd til utleieboliger. De har også utviklet nye løsninger for ytterlig</w:t>
      </w:r>
      <w:r>
        <w:t>e</w:t>
      </w:r>
      <w:r>
        <w:t>re å effektivisere samhandlingen med kommunene. Midlene gikk også til forvaltning av e-søknader og utvikling av nye løsninger for saksbehandling og forvaltning av lån og tilskudd, samt digitalis</w:t>
      </w:r>
      <w:r>
        <w:t>e</w:t>
      </w:r>
      <w:r>
        <w:t xml:space="preserve">ring av behovsmeldingene fra kommunene. </w:t>
      </w:r>
    </w:p>
    <w:p w:rsidR="00557A6F" w:rsidRDefault="00557A6F" w:rsidP="00557A6F">
      <w:r>
        <w:t>I 2020 foreslås det å øke bevilgningen med 30 mill. kroner til å utvikle nye løsninger for komm</w:t>
      </w:r>
      <w:r>
        <w:t>u</w:t>
      </w:r>
      <w:r>
        <w:t>nalt disponerte boliger. I dag er det få gode systemer for å søke, tildele og administrere kommunale utleieb</w:t>
      </w:r>
      <w:r>
        <w:t>o</w:t>
      </w:r>
      <w:r>
        <w:t>liger. Konsekvensen er at det er vanskelig for innbyggerne å søke om kommunal bolig, og at saksbehandlingen ofte er langvarig og uoversiktlig. Det finnes heller ikke en god nasjonal ove</w:t>
      </w:r>
      <w:r>
        <w:t>r</w:t>
      </w:r>
      <w:r>
        <w:t>sikt over denne boli</w:t>
      </w:r>
      <w:r>
        <w:t>g</w:t>
      </w:r>
      <w:r>
        <w:t>massen. Kommunene og staten har dermed et usikkert beslutningsgrunnlag for videre politikkutvikling. Husbanken vil i 2019 gjennomføre et forprosjekt sammen med komm</w:t>
      </w:r>
      <w:r>
        <w:t>u</w:t>
      </w:r>
      <w:r>
        <w:t>nesektoren for å kartlegge behov og videre prosjekter.</w:t>
      </w:r>
    </w:p>
    <w:p w:rsidR="00557A6F" w:rsidRDefault="00557A6F" w:rsidP="00557A6F">
      <w:r>
        <w:t>Inkludert avbyråkratiserings- og effektiviseringsreformen og prisjustering, foreslås det en bevil</w:t>
      </w:r>
      <w:r>
        <w:t>g</w:t>
      </w:r>
      <w:r>
        <w:t>ningsøkning på 31,7 mill. kroner til 70,6 mill. kroner i 2020.</w:t>
      </w:r>
    </w:p>
    <w:p w:rsidR="00557A6F" w:rsidRDefault="00557A6F" w:rsidP="00557A6F">
      <w:pPr>
        <w:pStyle w:val="b-post"/>
      </w:pPr>
      <w:r>
        <w:t>Post 71 Tap på lån</w:t>
      </w:r>
    </w:p>
    <w:p w:rsidR="00557A6F" w:rsidRDefault="00557A6F" w:rsidP="00557A6F">
      <w:r>
        <w:t>Posten omfatter tap på Husbankens utlånsvirksomhet. I 2018 var brutto tap 7,7 mill. kroner, hvorav 7,6 mill. kroner var gjeld på lån (hovedstol) og 0,1 mill. kroner var gjeld på renter. Tapene på lån</w:t>
      </w:r>
      <w:r>
        <w:t>e</w:t>
      </w:r>
      <w:r>
        <w:t xml:space="preserve">gjeld fordelte seg med 6,8 mill. kroner på startlån, 0,7 mill. kroner på grunnlån og 0,1 mill. kroner på andre låneordninger. </w:t>
      </w:r>
    </w:p>
    <w:p w:rsidR="00557A6F" w:rsidRDefault="00557A6F" w:rsidP="00557A6F">
      <w:r>
        <w:t>Tilbakeførte restkrav var 4,2 mill. kroner. Samlet netto tap var 3,5 mill. kroner, mot 8,9 mill. kr</w:t>
      </w:r>
      <w:r>
        <w:t>o</w:t>
      </w:r>
      <w:r>
        <w:t>ner i 2017. T</w:t>
      </w:r>
      <w:r>
        <w:t>a</w:t>
      </w:r>
      <w:r>
        <w:t>pene på utlånsvirksomheten i Husbanken er lave, og utgjorde i 2018 0,002 pst. av utlånsportefø</w:t>
      </w:r>
      <w:r>
        <w:t>l</w:t>
      </w:r>
      <w:r>
        <w:t>jen på 149,5 mrd. kroner per 31. desember. I 2019 er brutto tap anslått til 12,7 mill. kroner, mens brutto tap i 2020 anslås til 12 mill. kroner.</w:t>
      </w:r>
    </w:p>
    <w:p w:rsidR="00557A6F" w:rsidRDefault="00557A6F" w:rsidP="00557A6F">
      <w:r>
        <w:t>Statens innkrevingssentral (SI) har overtatt oppgavene med misligholdsforvaltning av husbanklån. Fra 2019 tilbakefører SI restkrav fra husbanklån direkte til statskassen, istedenfor at kravene bu</w:t>
      </w:r>
      <w:r>
        <w:t>d</w:t>
      </w:r>
      <w:r>
        <w:t>sjetteres og inntektsføres på Husbankens tapspost. Restkrav fra startlån, der kommunene eller deres samarbeidspartnere forvalter lån til sluttbr</w:t>
      </w:r>
      <w:r>
        <w:t>u</w:t>
      </w:r>
      <w:r>
        <w:t>kerne, inntektsføres fra samme tid kap. 5312, post 11 Diverse inntekter. Denne omleggingen innebærer at tapsposten nå bruttobudsjetteres, i tråd med hovedprinsippene for statsbudsjettet. Det vil fortsatt redegjøres for netto tap i Husbankens årsra</w:t>
      </w:r>
      <w:r>
        <w:t>p</w:t>
      </w:r>
      <w:r>
        <w:t>port og i budsjettproposisjonene.</w:t>
      </w:r>
    </w:p>
    <w:p w:rsidR="00557A6F" w:rsidRDefault="00557A6F" w:rsidP="00557A6F">
      <w:r>
        <w:t>Det foreslås en bevilgning på 12 mill. kroner i 2020.</w:t>
      </w:r>
    </w:p>
    <w:p w:rsidR="00557A6F" w:rsidRDefault="00557A6F" w:rsidP="00557A6F">
      <w:pPr>
        <w:pStyle w:val="b-post"/>
      </w:pPr>
      <w:r>
        <w:t>Post 72 Rentestøtte</w:t>
      </w:r>
    </w:p>
    <w:p w:rsidR="00557A6F" w:rsidRDefault="00557A6F" w:rsidP="00557A6F">
      <w:r>
        <w:t>Posten omfatter rentestøtte som følge av at eldre særvilkårslån har ett prosentpoeng lavere rente enn ordinære lån. Slike lån ble gitt fram til og med 1996.</w:t>
      </w:r>
    </w:p>
    <w:p w:rsidR="00557A6F" w:rsidRDefault="00557A6F" w:rsidP="00557A6F">
      <w:r>
        <w:t>I 2018 ble det regnskapsført 5 mill. kroner på posten. Restgjelden for særvilkårslånene var per 31. d</w:t>
      </w:r>
      <w:r>
        <w:t>e</w:t>
      </w:r>
      <w:r>
        <w:t>sember 2018 på om lag 450 mill. kroner, mot 545 mill. kroner året før.</w:t>
      </w:r>
    </w:p>
    <w:p w:rsidR="00557A6F" w:rsidRDefault="00557A6F" w:rsidP="00557A6F">
      <w:r>
        <w:t>Volumet av særvilkårslån blir redusert i takt med at lånene blir nedbetalt. På bakgrunn av dette for</w:t>
      </w:r>
      <w:r>
        <w:t>e</w:t>
      </w:r>
      <w:r>
        <w:t>slås det å redusere bevilgningen med 1,1 mill. kroner til 3 mill. kroner i 2020.</w:t>
      </w:r>
    </w:p>
    <w:p w:rsidR="00557A6F" w:rsidRDefault="00557A6F" w:rsidP="00557A6F">
      <w:pPr>
        <w:pStyle w:val="b-post"/>
      </w:pPr>
      <w:r>
        <w:t>Post 90 Nye lån, overslagsbevilgning</w:t>
      </w:r>
    </w:p>
    <w:p w:rsidR="00557A6F" w:rsidRDefault="00557A6F" w:rsidP="00557A6F">
      <w:r>
        <w:t>Husbanklån skal være et supplement til lån fra private kredittinstitusjoner, og skal bidra til å nå boligpol</w:t>
      </w:r>
      <w:r>
        <w:t>i</w:t>
      </w:r>
      <w:r>
        <w:t>tiske mål som ellers ikke ville blitt nådd. Husbanken forvalter tre låneordninger: grunnlån, startlån og lån til barnehager.</w:t>
      </w:r>
    </w:p>
    <w:p w:rsidR="00557A6F" w:rsidRDefault="00557A6F" w:rsidP="00557A6F">
      <w:r>
        <w:t>Bevilgningen på posten dekker i tillegg til utbetaling av nye lån, også beregnede, opptjente, ikke b</w:t>
      </w:r>
      <w:r>
        <w:t>e</w:t>
      </w:r>
      <w:r>
        <w:t>talte renter på lånene. Ved beregning av utbetaling av nye lån legges det til grunn at tilsagnene om lån i budsjettåret utbetales over fem år.</w:t>
      </w:r>
    </w:p>
    <w:p w:rsidR="00557A6F" w:rsidRDefault="00557A6F" w:rsidP="00557A6F">
      <w:r>
        <w:t>I 2018 ble det regnskapsført 15,7 mrd. kroner på posten, mot 16,3 mrd. kroner i 2017. Reduksjonen skyldes i hovedsak at lånerammen ble redusert med 1 mrd. kroner fra 2017 til 2018. I 2019 er gje</w:t>
      </w:r>
      <w:r>
        <w:t>l</w:t>
      </w:r>
      <w:r>
        <w:t>dende bevilgning 15,7 mrd. kroner.</w:t>
      </w:r>
    </w:p>
    <w:p w:rsidR="00557A6F" w:rsidRDefault="00557A6F" w:rsidP="00557A6F">
      <w:r>
        <w:lastRenderedPageBreak/>
        <w:t>I 2018 var lånerammen 17 mrd. kroner. Rammen ble disponert i sin helhet, hvorav 9,4 mrd. kroner til startlån til kommunene, 7,1 mrd. kroner til grunnlån og 0,5 mrd. kroner til barnehagelån. Ved utgangen av 2018 hadde Husbanken utestående lån for 149,5 mrd. kroner. I forbindelse med rev</w:t>
      </w:r>
      <w:r>
        <w:t>i</w:t>
      </w:r>
      <w:r>
        <w:t>dert nasjonalbudsjett for 2019 ble bevil</w:t>
      </w:r>
      <w:r>
        <w:t>g</w:t>
      </w:r>
      <w:r>
        <w:t xml:space="preserve">ningen økt med 1 410 mill. kroner som følge av høyere etterspørsel etter startlån enn lagt til grunn, jf. Prop. 114 S (2018–2019) </w:t>
      </w:r>
      <w:r>
        <w:rPr>
          <w:rStyle w:val="kursiv"/>
          <w:sz w:val="21"/>
          <w:szCs w:val="21"/>
        </w:rPr>
        <w:t>Tilleggsbevilgninger og o</w:t>
      </w:r>
      <w:r>
        <w:rPr>
          <w:rStyle w:val="kursiv"/>
          <w:sz w:val="21"/>
          <w:szCs w:val="21"/>
        </w:rPr>
        <w:t>m</w:t>
      </w:r>
      <w:r>
        <w:rPr>
          <w:rStyle w:val="kursiv"/>
          <w:sz w:val="21"/>
          <w:szCs w:val="21"/>
        </w:rPr>
        <w:t xml:space="preserve">prioriteringer i statsbudsjettet for 2019 </w:t>
      </w:r>
      <w:r>
        <w:t>og Innst. 391 S (2018–2019)</w:t>
      </w:r>
      <w:r>
        <w:rPr>
          <w:rStyle w:val="kursiv"/>
          <w:sz w:val="21"/>
          <w:szCs w:val="21"/>
        </w:rPr>
        <w:t>.</w:t>
      </w:r>
      <w:r>
        <w:t xml:space="preserve"> Ved utgangen av juli 2019 er det gitt tilsagn om lån for 14,1 mrd. kr</w:t>
      </w:r>
      <w:r>
        <w:t>o</w:t>
      </w:r>
      <w:r>
        <w:t>ner. Lånerammen i 2019 er 16 mrd. kroner.</w:t>
      </w:r>
    </w:p>
    <w:p w:rsidR="00557A6F" w:rsidRDefault="00557A6F" w:rsidP="00557A6F">
      <w:r>
        <w:t>Rapport for grunnlån og startlån framgår av omtalen under mål 1 Sikre, miljøvennlige og tilgjeng</w:t>
      </w:r>
      <w:r>
        <w:t>e</w:t>
      </w:r>
      <w:r>
        <w:t>lige boliger og mål 4 Vanskeligstilte på boligmarkedet skal kunne skaffe seg og beholde en egnet bolig. Barnehagelån skal me</w:t>
      </w:r>
      <w:r>
        <w:t>d</w:t>
      </w:r>
      <w:r>
        <w:t>virke til å dekke behovet for barnehager. Lånet gis til private aktører for oppføring, kjøp og utbedring av barnehager. I 2018 ble det gitt tilsagn om lån for 497 mill. kroner til finansiering av 1 679 barnehageplasser. Til sammenlikning ble det i 2017 gitt tilsagn for 870 mill. kroner til 2 290 ba</w:t>
      </w:r>
      <w:r>
        <w:t>r</w:t>
      </w:r>
      <w:r>
        <w:t>nehageplasser.</w:t>
      </w:r>
    </w:p>
    <w:p w:rsidR="00557A6F" w:rsidRDefault="00557A6F" w:rsidP="00557A6F">
      <w:pPr>
        <w:pStyle w:val="avsnitt-tittel"/>
      </w:pPr>
      <w:r>
        <w:t>Budsjettforslag</w:t>
      </w:r>
    </w:p>
    <w:p w:rsidR="00557A6F" w:rsidRDefault="00557A6F" w:rsidP="00557A6F">
      <w:r>
        <w:t>Det foreslås å øke bevilgningen med 480 mill. kroner til 14 810 mill. kroner i 2020. Dette skyldes i h</w:t>
      </w:r>
      <w:r>
        <w:t>o</w:t>
      </w:r>
      <w:r>
        <w:t xml:space="preserve">vedsak anslag om høyere utbetaling av nye startlån. Startlån blir utbetalt raskere enn andre lån. Startlån og lån til utleieboliger til vanskeligstilte vil bli prioritert også i 2020. </w:t>
      </w:r>
    </w:p>
    <w:p w:rsidR="00557A6F" w:rsidRDefault="00557A6F" w:rsidP="00557A6F">
      <w:r>
        <w:t>Regjeringen foreslår å videreføre lånerammen på 16 mrd. kroner fra 2019 til 2020, jf. forslag til r</w:t>
      </w:r>
      <w:r>
        <w:t>o</w:t>
      </w:r>
      <w:r>
        <w:t xml:space="preserve">mertallsvedtak. </w:t>
      </w:r>
    </w:p>
    <w:p w:rsidR="00557A6F" w:rsidRDefault="00557A6F" w:rsidP="00557A6F">
      <w:pPr>
        <w:pStyle w:val="b-budkaptit"/>
      </w:pPr>
      <w:r>
        <w:t>Kap. 5312 Husbanken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7A6F" w:rsidTr="00557A6F">
        <w:trPr>
          <w:trHeight w:val="640"/>
        </w:trPr>
        <w:tc>
          <w:tcPr>
            <w:tcW w:w="1140" w:type="dxa"/>
            <w:shd w:val="clear" w:color="auto" w:fill="FFFFFF"/>
          </w:tcPr>
          <w:p w:rsidR="00557A6F" w:rsidRDefault="00557A6F" w:rsidP="00557A6F">
            <w:pPr>
              <w:pStyle w:val="Tabellnavn"/>
            </w:pPr>
            <w:r>
              <w:t>KPAL</w:t>
            </w:r>
          </w:p>
        </w:tc>
        <w:tc>
          <w:tcPr>
            <w:tcW w:w="4560" w:type="dxa"/>
          </w:tcPr>
          <w:p w:rsidR="00557A6F" w:rsidRDefault="00557A6F" w:rsidP="00557A6F"/>
        </w:tc>
        <w:tc>
          <w:tcPr>
            <w:tcW w:w="1140" w:type="dxa"/>
          </w:tcPr>
          <w:p w:rsidR="00557A6F" w:rsidRDefault="00557A6F" w:rsidP="00557A6F">
            <w:pPr>
              <w:pStyle w:val="Tabellnavn"/>
              <w:jc w:val="right"/>
            </w:pPr>
          </w:p>
        </w:tc>
        <w:tc>
          <w:tcPr>
            <w:tcW w:w="1140" w:type="dxa"/>
          </w:tcPr>
          <w:p w:rsidR="00557A6F" w:rsidRDefault="00557A6F" w:rsidP="00557A6F">
            <w:pPr>
              <w:pStyle w:val="Tabellnavn"/>
              <w:jc w:val="right"/>
            </w:pPr>
          </w:p>
        </w:tc>
        <w:tc>
          <w:tcPr>
            <w:tcW w:w="1140" w:type="dxa"/>
          </w:tcPr>
          <w:p w:rsidR="00557A6F" w:rsidRDefault="00557A6F" w:rsidP="00557A6F">
            <w:pPr>
              <w:jc w:val="right"/>
            </w:pPr>
            <w:r>
              <w:t>(i 1 000 kr)</w:t>
            </w:r>
          </w:p>
        </w:tc>
      </w:tr>
      <w:tr w:rsidR="00557A6F" w:rsidTr="00557A6F">
        <w:trPr>
          <w:trHeight w:val="600"/>
        </w:trPr>
        <w:tc>
          <w:tcPr>
            <w:tcW w:w="1140" w:type="dxa"/>
          </w:tcPr>
          <w:p w:rsidR="00557A6F" w:rsidRDefault="00557A6F" w:rsidP="00557A6F">
            <w:r>
              <w:t>Post</w:t>
            </w:r>
          </w:p>
        </w:tc>
        <w:tc>
          <w:tcPr>
            <w:tcW w:w="4560" w:type="dxa"/>
          </w:tcPr>
          <w:p w:rsidR="00557A6F" w:rsidRDefault="00557A6F" w:rsidP="00557A6F">
            <w:r>
              <w:t>Betegnelse</w:t>
            </w:r>
          </w:p>
        </w:tc>
        <w:tc>
          <w:tcPr>
            <w:tcW w:w="1140" w:type="dxa"/>
          </w:tcPr>
          <w:p w:rsidR="00557A6F" w:rsidRDefault="00557A6F" w:rsidP="00557A6F">
            <w:pPr>
              <w:jc w:val="right"/>
            </w:pPr>
            <w:r>
              <w:t>Regnskap 2018</w:t>
            </w:r>
          </w:p>
        </w:tc>
        <w:tc>
          <w:tcPr>
            <w:tcW w:w="1140" w:type="dxa"/>
          </w:tcPr>
          <w:p w:rsidR="00557A6F" w:rsidRDefault="00557A6F" w:rsidP="00557A6F">
            <w:pPr>
              <w:jc w:val="right"/>
            </w:pPr>
            <w:r>
              <w:t xml:space="preserve">Saldert </w:t>
            </w:r>
            <w:r>
              <w:br/>
              <w:t>budsjett 2019</w:t>
            </w:r>
          </w:p>
        </w:tc>
        <w:tc>
          <w:tcPr>
            <w:tcW w:w="1140" w:type="dxa"/>
          </w:tcPr>
          <w:p w:rsidR="00557A6F" w:rsidRDefault="00557A6F" w:rsidP="00557A6F">
            <w:pPr>
              <w:jc w:val="right"/>
            </w:pPr>
            <w:r>
              <w:t xml:space="preserve">Forslag </w:t>
            </w:r>
            <w:r>
              <w:br/>
              <w:t>2020</w:t>
            </w:r>
          </w:p>
        </w:tc>
      </w:tr>
      <w:tr w:rsidR="00557A6F" w:rsidTr="00557A6F">
        <w:trPr>
          <w:trHeight w:val="380"/>
        </w:trPr>
        <w:tc>
          <w:tcPr>
            <w:tcW w:w="1140" w:type="dxa"/>
          </w:tcPr>
          <w:p w:rsidR="00557A6F" w:rsidRDefault="00557A6F" w:rsidP="00557A6F">
            <w:r>
              <w:t>01</w:t>
            </w:r>
          </w:p>
        </w:tc>
        <w:tc>
          <w:tcPr>
            <w:tcW w:w="4560" w:type="dxa"/>
          </w:tcPr>
          <w:p w:rsidR="00557A6F" w:rsidRDefault="00557A6F" w:rsidP="00557A6F">
            <w:r>
              <w:t xml:space="preserve">Gebyrer m.m. </w:t>
            </w:r>
          </w:p>
        </w:tc>
        <w:tc>
          <w:tcPr>
            <w:tcW w:w="1140" w:type="dxa"/>
          </w:tcPr>
          <w:p w:rsidR="00557A6F" w:rsidRDefault="00557A6F" w:rsidP="00557A6F">
            <w:pPr>
              <w:jc w:val="right"/>
            </w:pPr>
            <w:r>
              <w:t>10 266</w:t>
            </w:r>
          </w:p>
        </w:tc>
        <w:tc>
          <w:tcPr>
            <w:tcW w:w="1140" w:type="dxa"/>
          </w:tcPr>
          <w:p w:rsidR="00557A6F" w:rsidRDefault="00557A6F" w:rsidP="00557A6F">
            <w:pPr>
              <w:jc w:val="right"/>
            </w:pPr>
            <w:r>
              <w:t>11 443</w:t>
            </w:r>
          </w:p>
        </w:tc>
        <w:tc>
          <w:tcPr>
            <w:tcW w:w="1140" w:type="dxa"/>
          </w:tcPr>
          <w:p w:rsidR="00557A6F" w:rsidRDefault="00557A6F" w:rsidP="00557A6F">
            <w:pPr>
              <w:jc w:val="right"/>
            </w:pPr>
            <w:r>
              <w:t>10 743</w:t>
            </w:r>
          </w:p>
        </w:tc>
      </w:tr>
      <w:tr w:rsidR="00557A6F" w:rsidTr="00557A6F">
        <w:trPr>
          <w:trHeight w:val="380"/>
        </w:trPr>
        <w:tc>
          <w:tcPr>
            <w:tcW w:w="1140" w:type="dxa"/>
          </w:tcPr>
          <w:p w:rsidR="00557A6F" w:rsidRDefault="00557A6F" w:rsidP="00557A6F">
            <w:r>
              <w:t>11</w:t>
            </w:r>
          </w:p>
        </w:tc>
        <w:tc>
          <w:tcPr>
            <w:tcW w:w="4560" w:type="dxa"/>
          </w:tcPr>
          <w:p w:rsidR="00557A6F" w:rsidRDefault="00557A6F" w:rsidP="00557A6F">
            <w:r>
              <w:t xml:space="preserve">Diverse inntekter </w:t>
            </w:r>
          </w:p>
        </w:tc>
        <w:tc>
          <w:tcPr>
            <w:tcW w:w="1140" w:type="dxa"/>
          </w:tcPr>
          <w:p w:rsidR="00557A6F" w:rsidRDefault="00557A6F" w:rsidP="00557A6F">
            <w:pPr>
              <w:jc w:val="right"/>
            </w:pPr>
            <w:r>
              <w:t>153 171</w:t>
            </w:r>
          </w:p>
        </w:tc>
        <w:tc>
          <w:tcPr>
            <w:tcW w:w="1140" w:type="dxa"/>
          </w:tcPr>
          <w:p w:rsidR="00557A6F" w:rsidRDefault="00557A6F" w:rsidP="00557A6F">
            <w:pPr>
              <w:jc w:val="right"/>
            </w:pPr>
            <w:r>
              <w:t>61 940</w:t>
            </w:r>
          </w:p>
        </w:tc>
        <w:tc>
          <w:tcPr>
            <w:tcW w:w="1140" w:type="dxa"/>
          </w:tcPr>
          <w:p w:rsidR="00557A6F" w:rsidRDefault="00557A6F" w:rsidP="00557A6F">
            <w:pPr>
              <w:jc w:val="right"/>
            </w:pPr>
            <w:r>
              <w:t>61 920</w:t>
            </w:r>
          </w:p>
        </w:tc>
      </w:tr>
      <w:tr w:rsidR="00557A6F" w:rsidTr="00557A6F">
        <w:trPr>
          <w:trHeight w:val="380"/>
        </w:trPr>
        <w:tc>
          <w:tcPr>
            <w:tcW w:w="1140" w:type="dxa"/>
          </w:tcPr>
          <w:p w:rsidR="00557A6F" w:rsidRDefault="00557A6F" w:rsidP="00557A6F">
            <w:r>
              <w:t>90</w:t>
            </w:r>
          </w:p>
        </w:tc>
        <w:tc>
          <w:tcPr>
            <w:tcW w:w="4560" w:type="dxa"/>
          </w:tcPr>
          <w:p w:rsidR="00557A6F" w:rsidRDefault="00557A6F" w:rsidP="00557A6F">
            <w:r>
              <w:t xml:space="preserve">Avdrag </w:t>
            </w:r>
          </w:p>
        </w:tc>
        <w:tc>
          <w:tcPr>
            <w:tcW w:w="1140" w:type="dxa"/>
          </w:tcPr>
          <w:p w:rsidR="00557A6F" w:rsidRDefault="00557A6F" w:rsidP="00557A6F">
            <w:pPr>
              <w:jc w:val="right"/>
            </w:pPr>
            <w:r>
              <w:t>12 327 844</w:t>
            </w:r>
          </w:p>
        </w:tc>
        <w:tc>
          <w:tcPr>
            <w:tcW w:w="1140" w:type="dxa"/>
          </w:tcPr>
          <w:p w:rsidR="00557A6F" w:rsidRDefault="00557A6F" w:rsidP="00557A6F">
            <w:pPr>
              <w:jc w:val="right"/>
            </w:pPr>
            <w:r>
              <w:t>12 350 000</w:t>
            </w:r>
          </w:p>
        </w:tc>
        <w:tc>
          <w:tcPr>
            <w:tcW w:w="1140" w:type="dxa"/>
          </w:tcPr>
          <w:p w:rsidR="00557A6F" w:rsidRDefault="00557A6F" w:rsidP="00557A6F">
            <w:pPr>
              <w:jc w:val="right"/>
            </w:pPr>
            <w:r>
              <w:t>12 710 000</w:t>
            </w:r>
          </w:p>
        </w:tc>
      </w:tr>
      <w:tr w:rsidR="00557A6F" w:rsidTr="00557A6F">
        <w:trPr>
          <w:trHeight w:val="380"/>
        </w:trPr>
        <w:tc>
          <w:tcPr>
            <w:tcW w:w="1140" w:type="dxa"/>
          </w:tcPr>
          <w:p w:rsidR="00557A6F" w:rsidRDefault="00557A6F" w:rsidP="00557A6F"/>
        </w:tc>
        <w:tc>
          <w:tcPr>
            <w:tcW w:w="4560" w:type="dxa"/>
          </w:tcPr>
          <w:p w:rsidR="00557A6F" w:rsidRDefault="00557A6F" w:rsidP="00557A6F">
            <w:r>
              <w:t>Sum kap. 5312</w:t>
            </w:r>
          </w:p>
        </w:tc>
        <w:tc>
          <w:tcPr>
            <w:tcW w:w="1140" w:type="dxa"/>
          </w:tcPr>
          <w:p w:rsidR="00557A6F" w:rsidRDefault="00557A6F" w:rsidP="00557A6F">
            <w:pPr>
              <w:jc w:val="right"/>
            </w:pPr>
            <w:r>
              <w:t>12 491 281</w:t>
            </w:r>
          </w:p>
        </w:tc>
        <w:tc>
          <w:tcPr>
            <w:tcW w:w="1140" w:type="dxa"/>
          </w:tcPr>
          <w:p w:rsidR="00557A6F" w:rsidRDefault="00557A6F" w:rsidP="00557A6F">
            <w:pPr>
              <w:jc w:val="right"/>
            </w:pPr>
            <w:r>
              <w:t>12 423 383</w:t>
            </w:r>
          </w:p>
        </w:tc>
        <w:tc>
          <w:tcPr>
            <w:tcW w:w="1140" w:type="dxa"/>
          </w:tcPr>
          <w:p w:rsidR="00557A6F" w:rsidRDefault="00557A6F" w:rsidP="00557A6F">
            <w:pPr>
              <w:jc w:val="right"/>
            </w:pPr>
            <w:r>
              <w:t>12 782 663</w:t>
            </w:r>
          </w:p>
        </w:tc>
      </w:tr>
    </w:tbl>
    <w:p w:rsidR="00557A6F" w:rsidRDefault="00557A6F" w:rsidP="00557A6F">
      <w:pPr>
        <w:pStyle w:val="b-post"/>
      </w:pPr>
      <w:r>
        <w:t>Post 01 Gebyrer m.m.</w:t>
      </w:r>
    </w:p>
    <w:p w:rsidR="00557A6F" w:rsidRDefault="00557A6F" w:rsidP="00557A6F">
      <w:r>
        <w:t>På posten føres inntekter fra etableringsgebyr, termingebyr, varslingsgebyr og tilkjente sakso</w:t>
      </w:r>
      <w:r>
        <w:t>m</w:t>
      </w:r>
      <w:r>
        <w:t>kostninger i misligholdsaker med mer. Kundene kan velge mellom to, fire eller tolv terminer i året, og mellom papirbaserte og elektroniske søknader og varsler om terminforfall.</w:t>
      </w:r>
    </w:p>
    <w:p w:rsidR="00557A6F" w:rsidRDefault="00557A6F" w:rsidP="00557A6F">
      <w:r>
        <w:t>I 2018 var gebyrinntektene 10,3 mill. kroner, hvorav inntekter fra etableringsgebyr 0,6 mill. kroner, fra forvaltningsgebyr 8,5 mill. kroner, fra varslingsgebyr 1,1 mill. kroner og fra andre gebyr vedr</w:t>
      </w:r>
      <w:r>
        <w:t>ø</w:t>
      </w:r>
      <w:r>
        <w:t>rende låneforvaltningen 11 000 kroner. Gebyrinntektene reduseres gradvis over tid, hovedsakelig som følge av at Husbanken forvalter færre, men større lån. Ved utgangen av 2018 forvaltet Hu</w:t>
      </w:r>
      <w:r>
        <w:t>s</w:t>
      </w:r>
      <w:r>
        <w:t>banken om lag 43 200 lån, mot 45 900 på samme tid</w:t>
      </w:r>
      <w:r>
        <w:t>s</w:t>
      </w:r>
      <w:r>
        <w:t>punkt året før.</w:t>
      </w:r>
    </w:p>
    <w:p w:rsidR="00557A6F" w:rsidRDefault="00557A6F" w:rsidP="00557A6F">
      <w:r>
        <w:t>Det foreslås en bevilgning på 10,7 mill. kroner i 2020.</w:t>
      </w:r>
    </w:p>
    <w:p w:rsidR="00557A6F" w:rsidRDefault="00557A6F" w:rsidP="00557A6F">
      <w:pPr>
        <w:pStyle w:val="b-post"/>
      </w:pPr>
      <w:r>
        <w:t>Post 11 Diverse inntekter</w:t>
      </w:r>
    </w:p>
    <w:p w:rsidR="00557A6F" w:rsidRDefault="00557A6F" w:rsidP="00557A6F">
      <w:r>
        <w:t>På posten blir det inntektsført diverse inntekter, som blant annet tilbakebetaling av urettmessig u</w:t>
      </w:r>
      <w:r>
        <w:t>t</w:t>
      </w:r>
      <w:r>
        <w:t>betalt bostøtte og tilskudd. Fra 2019 inntektsføres også tilbakeførte restkrav fra startlån på posten.</w:t>
      </w:r>
    </w:p>
    <w:p w:rsidR="00557A6F" w:rsidRDefault="00557A6F" w:rsidP="00557A6F">
      <w:r>
        <w:lastRenderedPageBreak/>
        <w:t>I 2018 ble det inntektsført 153,2 mill. kroner på posten, hvorav 120,1 mill. kroner var tilbakebetalt b</w:t>
      </w:r>
      <w:r>
        <w:t>o</w:t>
      </w:r>
      <w:r>
        <w:t>støtte og 33 mill. kroner tilbakebetalte tilskudd.</w:t>
      </w:r>
    </w:p>
    <w:p w:rsidR="00557A6F" w:rsidRDefault="00557A6F" w:rsidP="00557A6F">
      <w:r>
        <w:t xml:space="preserve">Fra 2017 har søkernes inntekt i den måneden det søkes bostøtte for, ligget til grunn for beregning av bostøtte. Dette har ført til færre krav om tilbakebetaling av bostøtte for 2017, og ventes å ha samme effekt senere år. Tilbakebetalingene fordeler seg over noen år etter at kravet er vedtatt. Derfor ventes tilfeldige inntekter å avta fra 2019. Kontrollen mot Lånekassens register, som ble gjennomført for første gang i 2019, bidrar isolert sett til noe økt tilbakebetaling i 2020 og senere. Samlet tilbakebetaling antas likevel å gå ned. </w:t>
      </w:r>
    </w:p>
    <w:p w:rsidR="00557A6F" w:rsidRDefault="00557A6F" w:rsidP="00557A6F">
      <w:r>
        <w:t>Samlet foreslås en bevilgning på 61,9 mill. kroner i 2020.</w:t>
      </w:r>
    </w:p>
    <w:p w:rsidR="00557A6F" w:rsidRDefault="00557A6F" w:rsidP="00557A6F">
      <w:pPr>
        <w:pStyle w:val="b-post"/>
      </w:pPr>
      <w:r>
        <w:t>Post 90 Avdrag</w:t>
      </w:r>
    </w:p>
    <w:p w:rsidR="00557A6F" w:rsidRDefault="00557A6F" w:rsidP="00557A6F">
      <w:r>
        <w:t>Posten omfatter ordinære og ekstraordinære avdrag og andre innbetalinger, tilbakebetaling av op</w:t>
      </w:r>
      <w:r>
        <w:t>p</w:t>
      </w:r>
      <w:r>
        <w:t>tjente, ikke betalte renter og tap.</w:t>
      </w:r>
    </w:p>
    <w:p w:rsidR="00557A6F" w:rsidRDefault="00557A6F" w:rsidP="00557A6F">
      <w:r>
        <w:t>I 2018 ble det inntektsført om lag 12,3 mrd. kroner på posten, hvorav om lag 6,4 mrd. kroner var ordinære innbetalinger, 5,4 mrd. kroner ekstraordinære innbetalinger og 0,5 mrd. kroner tilbakeb</w:t>
      </w:r>
      <w:r>
        <w:t>e</w:t>
      </w:r>
      <w:r>
        <w:t>taling av opptjente, ikke betalte renter og tap.</w:t>
      </w:r>
    </w:p>
    <w:p w:rsidR="00557A6F" w:rsidRDefault="00557A6F" w:rsidP="00557A6F">
      <w:r>
        <w:t xml:space="preserve">Som følge av vekst i utlånsporteføljen, økes anslaget for ordinære innbetalinger med om lag 290 mill. kroner. I tillegg kommer en økning på 70 mill. kroner i tilbakebetaling av periodisert rentegjeld. </w:t>
      </w:r>
    </w:p>
    <w:p w:rsidR="00557A6F" w:rsidRDefault="00557A6F" w:rsidP="00557A6F">
      <w:r>
        <w:t>Samlet foreslås det å øke bevilgningen med 360 mill. kroner til 12 710 mill. kroner i 2020.</w:t>
      </w:r>
    </w:p>
    <w:p w:rsidR="00557A6F" w:rsidRDefault="00557A6F" w:rsidP="00557A6F">
      <w:pPr>
        <w:pStyle w:val="b-budkaptit"/>
      </w:pPr>
      <w:r>
        <w:t>Kap. 5615 Husbanken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7A6F" w:rsidTr="00557A6F">
        <w:trPr>
          <w:trHeight w:val="640"/>
        </w:trPr>
        <w:tc>
          <w:tcPr>
            <w:tcW w:w="1140" w:type="dxa"/>
            <w:shd w:val="clear" w:color="auto" w:fill="FFFFFF"/>
          </w:tcPr>
          <w:p w:rsidR="00557A6F" w:rsidRDefault="00557A6F" w:rsidP="00557A6F">
            <w:pPr>
              <w:pStyle w:val="Tabellnavn"/>
            </w:pPr>
            <w:r>
              <w:t>KPAL</w:t>
            </w:r>
          </w:p>
        </w:tc>
        <w:tc>
          <w:tcPr>
            <w:tcW w:w="4560" w:type="dxa"/>
          </w:tcPr>
          <w:p w:rsidR="00557A6F" w:rsidRDefault="00557A6F" w:rsidP="00557A6F"/>
        </w:tc>
        <w:tc>
          <w:tcPr>
            <w:tcW w:w="1140" w:type="dxa"/>
          </w:tcPr>
          <w:p w:rsidR="00557A6F" w:rsidRDefault="00557A6F" w:rsidP="00557A6F">
            <w:pPr>
              <w:pStyle w:val="Tabellnavn"/>
              <w:jc w:val="right"/>
            </w:pPr>
          </w:p>
        </w:tc>
        <w:tc>
          <w:tcPr>
            <w:tcW w:w="1140" w:type="dxa"/>
          </w:tcPr>
          <w:p w:rsidR="00557A6F" w:rsidRDefault="00557A6F" w:rsidP="00557A6F">
            <w:pPr>
              <w:pStyle w:val="Tabellnavn"/>
              <w:jc w:val="right"/>
            </w:pPr>
          </w:p>
        </w:tc>
        <w:tc>
          <w:tcPr>
            <w:tcW w:w="1140" w:type="dxa"/>
          </w:tcPr>
          <w:p w:rsidR="00557A6F" w:rsidRDefault="00557A6F" w:rsidP="00557A6F">
            <w:pPr>
              <w:jc w:val="right"/>
            </w:pPr>
            <w:r>
              <w:t>(i 1 000 kr)</w:t>
            </w:r>
          </w:p>
        </w:tc>
      </w:tr>
      <w:tr w:rsidR="00557A6F" w:rsidTr="00557A6F">
        <w:trPr>
          <w:trHeight w:val="600"/>
        </w:trPr>
        <w:tc>
          <w:tcPr>
            <w:tcW w:w="1140" w:type="dxa"/>
          </w:tcPr>
          <w:p w:rsidR="00557A6F" w:rsidRDefault="00557A6F" w:rsidP="00557A6F">
            <w:r>
              <w:t>Post</w:t>
            </w:r>
          </w:p>
        </w:tc>
        <w:tc>
          <w:tcPr>
            <w:tcW w:w="4560" w:type="dxa"/>
          </w:tcPr>
          <w:p w:rsidR="00557A6F" w:rsidRDefault="00557A6F" w:rsidP="00557A6F">
            <w:r>
              <w:t>Betegnelse</w:t>
            </w:r>
          </w:p>
        </w:tc>
        <w:tc>
          <w:tcPr>
            <w:tcW w:w="1140" w:type="dxa"/>
          </w:tcPr>
          <w:p w:rsidR="00557A6F" w:rsidRDefault="00557A6F" w:rsidP="00557A6F">
            <w:pPr>
              <w:jc w:val="right"/>
            </w:pPr>
            <w:r>
              <w:t>Regnskap 2018</w:t>
            </w:r>
          </w:p>
        </w:tc>
        <w:tc>
          <w:tcPr>
            <w:tcW w:w="1140" w:type="dxa"/>
          </w:tcPr>
          <w:p w:rsidR="00557A6F" w:rsidRDefault="00557A6F" w:rsidP="00557A6F">
            <w:pPr>
              <w:jc w:val="right"/>
            </w:pPr>
            <w:r>
              <w:t xml:space="preserve">Saldert </w:t>
            </w:r>
            <w:r>
              <w:br/>
              <w:t>budsjett 2019</w:t>
            </w:r>
          </w:p>
        </w:tc>
        <w:tc>
          <w:tcPr>
            <w:tcW w:w="1140" w:type="dxa"/>
          </w:tcPr>
          <w:p w:rsidR="00557A6F" w:rsidRDefault="00557A6F" w:rsidP="00557A6F">
            <w:pPr>
              <w:jc w:val="right"/>
            </w:pPr>
            <w:r>
              <w:t xml:space="preserve">Forslag </w:t>
            </w:r>
            <w:r>
              <w:br/>
              <w:t>2020</w:t>
            </w:r>
          </w:p>
        </w:tc>
      </w:tr>
      <w:tr w:rsidR="00557A6F" w:rsidTr="00557A6F">
        <w:trPr>
          <w:trHeight w:val="380"/>
        </w:trPr>
        <w:tc>
          <w:tcPr>
            <w:tcW w:w="1140" w:type="dxa"/>
          </w:tcPr>
          <w:p w:rsidR="00557A6F" w:rsidRDefault="00557A6F" w:rsidP="00557A6F">
            <w:r>
              <w:t>80</w:t>
            </w:r>
          </w:p>
        </w:tc>
        <w:tc>
          <w:tcPr>
            <w:tcW w:w="4560" w:type="dxa"/>
          </w:tcPr>
          <w:p w:rsidR="00557A6F" w:rsidRDefault="00557A6F" w:rsidP="00557A6F">
            <w:r>
              <w:t xml:space="preserve">Renter </w:t>
            </w:r>
          </w:p>
        </w:tc>
        <w:tc>
          <w:tcPr>
            <w:tcW w:w="1140" w:type="dxa"/>
          </w:tcPr>
          <w:p w:rsidR="00557A6F" w:rsidRDefault="00557A6F" w:rsidP="00557A6F">
            <w:pPr>
              <w:jc w:val="right"/>
            </w:pPr>
            <w:r>
              <w:t>2 893 508</w:t>
            </w:r>
          </w:p>
        </w:tc>
        <w:tc>
          <w:tcPr>
            <w:tcW w:w="1140" w:type="dxa"/>
          </w:tcPr>
          <w:p w:rsidR="00557A6F" w:rsidRDefault="00557A6F" w:rsidP="00557A6F">
            <w:pPr>
              <w:jc w:val="right"/>
            </w:pPr>
            <w:r>
              <w:t>3 309 000</w:t>
            </w:r>
          </w:p>
        </w:tc>
        <w:tc>
          <w:tcPr>
            <w:tcW w:w="1140" w:type="dxa"/>
          </w:tcPr>
          <w:p w:rsidR="00557A6F" w:rsidRDefault="00557A6F" w:rsidP="00557A6F">
            <w:pPr>
              <w:jc w:val="right"/>
            </w:pPr>
            <w:r>
              <w:t>3 386 000</w:t>
            </w:r>
          </w:p>
        </w:tc>
      </w:tr>
      <w:tr w:rsidR="00557A6F" w:rsidTr="00557A6F">
        <w:trPr>
          <w:trHeight w:val="380"/>
        </w:trPr>
        <w:tc>
          <w:tcPr>
            <w:tcW w:w="1140" w:type="dxa"/>
          </w:tcPr>
          <w:p w:rsidR="00557A6F" w:rsidRDefault="00557A6F" w:rsidP="00557A6F"/>
        </w:tc>
        <w:tc>
          <w:tcPr>
            <w:tcW w:w="4560" w:type="dxa"/>
          </w:tcPr>
          <w:p w:rsidR="00557A6F" w:rsidRDefault="00557A6F" w:rsidP="00557A6F">
            <w:r>
              <w:t>Sum kap. 5615</w:t>
            </w:r>
          </w:p>
        </w:tc>
        <w:tc>
          <w:tcPr>
            <w:tcW w:w="1140" w:type="dxa"/>
          </w:tcPr>
          <w:p w:rsidR="00557A6F" w:rsidRDefault="00557A6F" w:rsidP="00557A6F">
            <w:pPr>
              <w:jc w:val="right"/>
            </w:pPr>
            <w:r>
              <w:t>2 893 508</w:t>
            </w:r>
          </w:p>
        </w:tc>
        <w:tc>
          <w:tcPr>
            <w:tcW w:w="1140" w:type="dxa"/>
          </w:tcPr>
          <w:p w:rsidR="00557A6F" w:rsidRDefault="00557A6F" w:rsidP="00557A6F">
            <w:pPr>
              <w:jc w:val="right"/>
            </w:pPr>
            <w:r>
              <w:t>3 309 000</w:t>
            </w:r>
          </w:p>
        </w:tc>
        <w:tc>
          <w:tcPr>
            <w:tcW w:w="1140" w:type="dxa"/>
          </w:tcPr>
          <w:p w:rsidR="00557A6F" w:rsidRDefault="00557A6F" w:rsidP="00557A6F">
            <w:pPr>
              <w:jc w:val="right"/>
            </w:pPr>
            <w:r>
              <w:t>3 386 000</w:t>
            </w:r>
          </w:p>
        </w:tc>
      </w:tr>
    </w:tbl>
    <w:p w:rsidR="00557A6F" w:rsidRDefault="00557A6F" w:rsidP="00557A6F">
      <w:pPr>
        <w:pStyle w:val="b-post"/>
      </w:pPr>
      <w:r>
        <w:t>Post 80 Renter</w:t>
      </w:r>
    </w:p>
    <w:p w:rsidR="00557A6F" w:rsidRDefault="00557A6F" w:rsidP="00557A6F">
      <w:r>
        <w:t>Posten omfatter betalte renter på lån, opptjente ikke betalte renter og rentestøtte, jf. kap. 2412 Husbanken, post 72 Rentestøtte.</w:t>
      </w:r>
    </w:p>
    <w:p w:rsidR="00557A6F" w:rsidRDefault="00557A6F" w:rsidP="00557A6F">
      <w:r>
        <w:t xml:space="preserve">Husbanken tilbyr lån med flytende </w:t>
      </w:r>
      <w:proofErr w:type="gramStart"/>
      <w:r>
        <w:t>og</w:t>
      </w:r>
      <w:proofErr w:type="gramEnd"/>
      <w:r>
        <w:t xml:space="preserve"> faste renter. Fast rente tilbys med 3, 5, 10 eller 20 års bi</w:t>
      </w:r>
      <w:r>
        <w:t>n</w:t>
      </w:r>
      <w:r>
        <w:t>dingstid. Gje</w:t>
      </w:r>
      <w:r>
        <w:t>n</w:t>
      </w:r>
      <w:r>
        <w:t xml:space="preserve">nomsnittlig utlånsrente for låneporteføljen var 1,92 pst. i 2018, mot 2,01 pst. i 2017. Ved utgangen av 2018 var restgjelden for lån med fastrenteavtaler 59 mrd. kroner, og utgjorde 40 pst. av de samlede utlån. I 2018 ble det ført 2 894 mill. kroner på posten. </w:t>
      </w:r>
    </w:p>
    <w:p w:rsidR="00557A6F" w:rsidRDefault="00557A6F" w:rsidP="00557A6F">
      <w:r>
        <w:t>Det foreslås å øke bevilgningen med 77 mill. kroner til 3 386 mill. kroner i 2020. Økningen skyldes vekst i u</w:t>
      </w:r>
      <w:r>
        <w:t>t</w:t>
      </w:r>
      <w:r>
        <w:t>lånsporteføljen.</w:t>
      </w:r>
    </w:p>
    <w:p w:rsidR="00557A6F" w:rsidRDefault="00557A6F" w:rsidP="00557A6F">
      <w:pPr>
        <w:pStyle w:val="b-progkat"/>
      </w:pPr>
      <w:r>
        <w:lastRenderedPageBreak/>
        <w:t>Programkategori 13.90 Planlegging, byutvikling og geodata</w:t>
      </w:r>
    </w:p>
    <w:p w:rsidR="00557A6F" w:rsidRDefault="00557A6F" w:rsidP="00557A6F">
      <w:pPr>
        <w:pStyle w:val="avsnitt-tittel"/>
      </w:pPr>
      <w:r>
        <w:t>Utgifter under programkategori 13.90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557A6F" w:rsidTr="00557A6F">
        <w:trPr>
          <w:trHeight w:val="640"/>
        </w:trPr>
        <w:tc>
          <w:tcPr>
            <w:tcW w:w="1020" w:type="dxa"/>
            <w:shd w:val="clear" w:color="auto" w:fill="FFFFFF"/>
          </w:tcPr>
          <w:p w:rsidR="00557A6F" w:rsidRDefault="00557A6F" w:rsidP="00557A6F">
            <w:pPr>
              <w:pStyle w:val="Tabellnavn"/>
            </w:pPr>
            <w:r>
              <w:t>PIKL</w:t>
            </w:r>
          </w:p>
        </w:tc>
        <w:tc>
          <w:tcPr>
            <w:tcW w:w="4080" w:type="dxa"/>
          </w:tcPr>
          <w:p w:rsidR="00557A6F" w:rsidRDefault="00557A6F" w:rsidP="00557A6F"/>
        </w:tc>
        <w:tc>
          <w:tcPr>
            <w:tcW w:w="1020" w:type="dxa"/>
          </w:tcPr>
          <w:p w:rsidR="00557A6F" w:rsidRDefault="00557A6F" w:rsidP="00557A6F">
            <w:pPr>
              <w:pStyle w:val="Tabellnavn"/>
              <w:jc w:val="right"/>
            </w:pPr>
          </w:p>
        </w:tc>
        <w:tc>
          <w:tcPr>
            <w:tcW w:w="1020" w:type="dxa"/>
          </w:tcPr>
          <w:p w:rsidR="00557A6F" w:rsidRDefault="00557A6F" w:rsidP="00557A6F">
            <w:pPr>
              <w:pStyle w:val="Tabellnavn"/>
              <w:jc w:val="right"/>
            </w:pPr>
          </w:p>
        </w:tc>
        <w:tc>
          <w:tcPr>
            <w:tcW w:w="1020" w:type="dxa"/>
          </w:tcPr>
          <w:p w:rsidR="00557A6F" w:rsidRDefault="00557A6F" w:rsidP="00557A6F">
            <w:pPr>
              <w:pStyle w:val="Tabellnavn"/>
              <w:jc w:val="right"/>
            </w:pPr>
          </w:p>
        </w:tc>
        <w:tc>
          <w:tcPr>
            <w:tcW w:w="1020" w:type="dxa"/>
          </w:tcPr>
          <w:p w:rsidR="00557A6F" w:rsidRDefault="00557A6F" w:rsidP="00557A6F">
            <w:pPr>
              <w:jc w:val="right"/>
            </w:pPr>
            <w:r>
              <w:t>(i 1 000 kr)</w:t>
            </w:r>
          </w:p>
        </w:tc>
      </w:tr>
      <w:tr w:rsidR="00557A6F" w:rsidTr="00557A6F">
        <w:trPr>
          <w:trHeight w:val="600"/>
        </w:trPr>
        <w:tc>
          <w:tcPr>
            <w:tcW w:w="1020" w:type="dxa"/>
          </w:tcPr>
          <w:p w:rsidR="00557A6F" w:rsidRDefault="00557A6F" w:rsidP="00557A6F">
            <w:r>
              <w:t>Kap.</w:t>
            </w:r>
          </w:p>
        </w:tc>
        <w:tc>
          <w:tcPr>
            <w:tcW w:w="4080" w:type="dxa"/>
          </w:tcPr>
          <w:p w:rsidR="00557A6F" w:rsidRDefault="00557A6F" w:rsidP="00557A6F">
            <w:r>
              <w:t>Betegnelse</w:t>
            </w:r>
          </w:p>
        </w:tc>
        <w:tc>
          <w:tcPr>
            <w:tcW w:w="1020" w:type="dxa"/>
          </w:tcPr>
          <w:p w:rsidR="00557A6F" w:rsidRDefault="00557A6F" w:rsidP="00557A6F">
            <w:pPr>
              <w:jc w:val="right"/>
            </w:pPr>
            <w:r>
              <w:t>Reg</w:t>
            </w:r>
            <w:r>
              <w:t>n</w:t>
            </w:r>
            <w:r>
              <w:t>skap 2018</w:t>
            </w:r>
          </w:p>
        </w:tc>
        <w:tc>
          <w:tcPr>
            <w:tcW w:w="1020" w:type="dxa"/>
          </w:tcPr>
          <w:p w:rsidR="00557A6F" w:rsidRDefault="00557A6F" w:rsidP="00557A6F">
            <w:pPr>
              <w:jc w:val="right"/>
            </w:pPr>
            <w:r>
              <w:t xml:space="preserve">Saldert </w:t>
            </w:r>
            <w:r>
              <w:br/>
              <w:t>budsjett 2019</w:t>
            </w:r>
          </w:p>
        </w:tc>
        <w:tc>
          <w:tcPr>
            <w:tcW w:w="1020" w:type="dxa"/>
          </w:tcPr>
          <w:p w:rsidR="00557A6F" w:rsidRDefault="00557A6F" w:rsidP="00557A6F">
            <w:pPr>
              <w:jc w:val="right"/>
            </w:pPr>
            <w:r>
              <w:t xml:space="preserve">Forslag </w:t>
            </w:r>
            <w:r>
              <w:br/>
              <w:t>2020</w:t>
            </w:r>
          </w:p>
        </w:tc>
        <w:tc>
          <w:tcPr>
            <w:tcW w:w="1020" w:type="dxa"/>
          </w:tcPr>
          <w:p w:rsidR="00557A6F" w:rsidRDefault="00557A6F" w:rsidP="00557A6F">
            <w:pPr>
              <w:jc w:val="right"/>
            </w:pPr>
            <w:r>
              <w:t xml:space="preserve">Pst. endr. </w:t>
            </w:r>
            <w:r>
              <w:br/>
              <w:t>19/20</w:t>
            </w:r>
          </w:p>
        </w:tc>
      </w:tr>
      <w:tr w:rsidR="00557A6F" w:rsidTr="00557A6F">
        <w:trPr>
          <w:trHeight w:val="380"/>
        </w:trPr>
        <w:tc>
          <w:tcPr>
            <w:tcW w:w="1020" w:type="dxa"/>
          </w:tcPr>
          <w:p w:rsidR="00557A6F" w:rsidRDefault="00557A6F" w:rsidP="00557A6F">
            <w:r>
              <w:t>590</w:t>
            </w:r>
          </w:p>
        </w:tc>
        <w:tc>
          <w:tcPr>
            <w:tcW w:w="4080" w:type="dxa"/>
          </w:tcPr>
          <w:p w:rsidR="00557A6F" w:rsidRDefault="00557A6F" w:rsidP="00557A6F">
            <w:r>
              <w:t>Planlegging og byutvikling</w:t>
            </w:r>
          </w:p>
        </w:tc>
        <w:tc>
          <w:tcPr>
            <w:tcW w:w="1020" w:type="dxa"/>
          </w:tcPr>
          <w:p w:rsidR="00557A6F" w:rsidRDefault="00557A6F" w:rsidP="00557A6F">
            <w:pPr>
              <w:jc w:val="right"/>
            </w:pPr>
            <w:r>
              <w:t>94 390</w:t>
            </w:r>
          </w:p>
        </w:tc>
        <w:tc>
          <w:tcPr>
            <w:tcW w:w="1020" w:type="dxa"/>
          </w:tcPr>
          <w:p w:rsidR="00557A6F" w:rsidRDefault="00557A6F" w:rsidP="00557A6F">
            <w:pPr>
              <w:jc w:val="right"/>
            </w:pPr>
            <w:r>
              <w:t>102 847</w:t>
            </w:r>
          </w:p>
        </w:tc>
        <w:tc>
          <w:tcPr>
            <w:tcW w:w="1020" w:type="dxa"/>
          </w:tcPr>
          <w:p w:rsidR="00557A6F" w:rsidRDefault="00557A6F" w:rsidP="00557A6F">
            <w:pPr>
              <w:jc w:val="right"/>
            </w:pPr>
            <w:r>
              <w:t>111 454</w:t>
            </w:r>
          </w:p>
        </w:tc>
        <w:tc>
          <w:tcPr>
            <w:tcW w:w="1020" w:type="dxa"/>
          </w:tcPr>
          <w:p w:rsidR="00557A6F" w:rsidRDefault="00557A6F" w:rsidP="00557A6F">
            <w:pPr>
              <w:jc w:val="right"/>
            </w:pPr>
            <w:r>
              <w:t>8,4</w:t>
            </w:r>
          </w:p>
        </w:tc>
      </w:tr>
      <w:tr w:rsidR="00557A6F" w:rsidTr="00557A6F">
        <w:trPr>
          <w:trHeight w:val="380"/>
        </w:trPr>
        <w:tc>
          <w:tcPr>
            <w:tcW w:w="1020" w:type="dxa"/>
          </w:tcPr>
          <w:p w:rsidR="00557A6F" w:rsidRDefault="00557A6F" w:rsidP="00557A6F">
            <w:r>
              <w:t>595</w:t>
            </w:r>
          </w:p>
        </w:tc>
        <w:tc>
          <w:tcPr>
            <w:tcW w:w="4080" w:type="dxa"/>
          </w:tcPr>
          <w:p w:rsidR="00557A6F" w:rsidRDefault="00557A6F" w:rsidP="00557A6F">
            <w:r>
              <w:t>Statens kartverk</w:t>
            </w:r>
          </w:p>
        </w:tc>
        <w:tc>
          <w:tcPr>
            <w:tcW w:w="1020" w:type="dxa"/>
          </w:tcPr>
          <w:p w:rsidR="00557A6F" w:rsidRDefault="00557A6F" w:rsidP="00557A6F">
            <w:pPr>
              <w:jc w:val="right"/>
            </w:pPr>
            <w:r>
              <w:t>1 245 171</w:t>
            </w:r>
          </w:p>
        </w:tc>
        <w:tc>
          <w:tcPr>
            <w:tcW w:w="1020" w:type="dxa"/>
          </w:tcPr>
          <w:p w:rsidR="00557A6F" w:rsidRDefault="00557A6F" w:rsidP="00557A6F">
            <w:pPr>
              <w:jc w:val="right"/>
            </w:pPr>
            <w:r>
              <w:t>1 122 541</w:t>
            </w:r>
          </w:p>
        </w:tc>
        <w:tc>
          <w:tcPr>
            <w:tcW w:w="1020" w:type="dxa"/>
          </w:tcPr>
          <w:p w:rsidR="00557A6F" w:rsidRDefault="00557A6F" w:rsidP="00557A6F">
            <w:pPr>
              <w:jc w:val="right"/>
            </w:pPr>
            <w:r>
              <w:t>1 214 843</w:t>
            </w:r>
          </w:p>
        </w:tc>
        <w:tc>
          <w:tcPr>
            <w:tcW w:w="1020" w:type="dxa"/>
          </w:tcPr>
          <w:p w:rsidR="00557A6F" w:rsidRDefault="00557A6F" w:rsidP="00557A6F">
            <w:pPr>
              <w:jc w:val="right"/>
            </w:pPr>
            <w:r>
              <w:t>8,2</w:t>
            </w:r>
          </w:p>
        </w:tc>
      </w:tr>
      <w:tr w:rsidR="00557A6F" w:rsidTr="00557A6F">
        <w:trPr>
          <w:trHeight w:val="380"/>
        </w:trPr>
        <w:tc>
          <w:tcPr>
            <w:tcW w:w="1020" w:type="dxa"/>
          </w:tcPr>
          <w:p w:rsidR="00557A6F" w:rsidRDefault="00557A6F" w:rsidP="00557A6F"/>
        </w:tc>
        <w:tc>
          <w:tcPr>
            <w:tcW w:w="4080" w:type="dxa"/>
          </w:tcPr>
          <w:p w:rsidR="00557A6F" w:rsidRDefault="00557A6F" w:rsidP="00557A6F">
            <w:r>
              <w:t>Sum kategori 13.90</w:t>
            </w:r>
          </w:p>
        </w:tc>
        <w:tc>
          <w:tcPr>
            <w:tcW w:w="1020" w:type="dxa"/>
          </w:tcPr>
          <w:p w:rsidR="00557A6F" w:rsidRDefault="00557A6F" w:rsidP="00557A6F">
            <w:pPr>
              <w:jc w:val="right"/>
            </w:pPr>
            <w:r>
              <w:t>1 339 561</w:t>
            </w:r>
          </w:p>
        </w:tc>
        <w:tc>
          <w:tcPr>
            <w:tcW w:w="1020" w:type="dxa"/>
          </w:tcPr>
          <w:p w:rsidR="00557A6F" w:rsidRDefault="00557A6F" w:rsidP="00557A6F">
            <w:pPr>
              <w:jc w:val="right"/>
            </w:pPr>
            <w:r>
              <w:t>1 225 388</w:t>
            </w:r>
          </w:p>
        </w:tc>
        <w:tc>
          <w:tcPr>
            <w:tcW w:w="1020" w:type="dxa"/>
          </w:tcPr>
          <w:p w:rsidR="00557A6F" w:rsidRDefault="00557A6F" w:rsidP="00557A6F">
            <w:pPr>
              <w:jc w:val="right"/>
            </w:pPr>
            <w:r>
              <w:t>1 326 297</w:t>
            </w:r>
          </w:p>
        </w:tc>
        <w:tc>
          <w:tcPr>
            <w:tcW w:w="1020" w:type="dxa"/>
          </w:tcPr>
          <w:p w:rsidR="00557A6F" w:rsidRDefault="00557A6F" w:rsidP="00557A6F">
            <w:pPr>
              <w:jc w:val="right"/>
            </w:pPr>
            <w:r>
              <w:t>8,2</w:t>
            </w:r>
          </w:p>
        </w:tc>
      </w:tr>
    </w:tbl>
    <w:p w:rsidR="00557A6F" w:rsidRDefault="00557A6F" w:rsidP="00557A6F">
      <w:pPr>
        <w:pStyle w:val="avsnitt-tittel"/>
      </w:pPr>
      <w:r>
        <w:t>Inntekter under programkategori 13.90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557A6F" w:rsidTr="00557A6F">
        <w:trPr>
          <w:trHeight w:val="640"/>
        </w:trPr>
        <w:tc>
          <w:tcPr>
            <w:tcW w:w="1020" w:type="dxa"/>
            <w:shd w:val="clear" w:color="auto" w:fill="FFFFFF"/>
          </w:tcPr>
          <w:p w:rsidR="00557A6F" w:rsidRDefault="00557A6F" w:rsidP="00557A6F">
            <w:pPr>
              <w:pStyle w:val="Tabellnavn"/>
            </w:pPr>
            <w:r>
              <w:t>PIKL</w:t>
            </w:r>
          </w:p>
        </w:tc>
        <w:tc>
          <w:tcPr>
            <w:tcW w:w="4080" w:type="dxa"/>
          </w:tcPr>
          <w:p w:rsidR="00557A6F" w:rsidRDefault="00557A6F" w:rsidP="00557A6F"/>
        </w:tc>
        <w:tc>
          <w:tcPr>
            <w:tcW w:w="1020" w:type="dxa"/>
          </w:tcPr>
          <w:p w:rsidR="00557A6F" w:rsidRDefault="00557A6F" w:rsidP="00557A6F">
            <w:pPr>
              <w:pStyle w:val="Tabellnavn"/>
              <w:jc w:val="right"/>
            </w:pPr>
          </w:p>
        </w:tc>
        <w:tc>
          <w:tcPr>
            <w:tcW w:w="1020" w:type="dxa"/>
          </w:tcPr>
          <w:p w:rsidR="00557A6F" w:rsidRDefault="00557A6F" w:rsidP="00557A6F">
            <w:pPr>
              <w:pStyle w:val="Tabellnavn"/>
              <w:jc w:val="right"/>
            </w:pPr>
          </w:p>
        </w:tc>
        <w:tc>
          <w:tcPr>
            <w:tcW w:w="1020" w:type="dxa"/>
          </w:tcPr>
          <w:p w:rsidR="00557A6F" w:rsidRDefault="00557A6F" w:rsidP="00557A6F">
            <w:pPr>
              <w:pStyle w:val="Tabellnavn"/>
              <w:jc w:val="right"/>
            </w:pPr>
          </w:p>
        </w:tc>
        <w:tc>
          <w:tcPr>
            <w:tcW w:w="1020" w:type="dxa"/>
          </w:tcPr>
          <w:p w:rsidR="00557A6F" w:rsidRDefault="00557A6F" w:rsidP="00557A6F">
            <w:pPr>
              <w:jc w:val="right"/>
            </w:pPr>
            <w:r>
              <w:t>(i 1 000 kr)</w:t>
            </w:r>
          </w:p>
        </w:tc>
      </w:tr>
      <w:tr w:rsidR="00557A6F" w:rsidTr="00557A6F">
        <w:trPr>
          <w:trHeight w:val="600"/>
        </w:trPr>
        <w:tc>
          <w:tcPr>
            <w:tcW w:w="1020" w:type="dxa"/>
          </w:tcPr>
          <w:p w:rsidR="00557A6F" w:rsidRDefault="00557A6F" w:rsidP="00557A6F">
            <w:r>
              <w:t>Kap.</w:t>
            </w:r>
          </w:p>
        </w:tc>
        <w:tc>
          <w:tcPr>
            <w:tcW w:w="4080" w:type="dxa"/>
          </w:tcPr>
          <w:p w:rsidR="00557A6F" w:rsidRDefault="00557A6F" w:rsidP="00557A6F">
            <w:r>
              <w:t>Betegnelse</w:t>
            </w:r>
          </w:p>
        </w:tc>
        <w:tc>
          <w:tcPr>
            <w:tcW w:w="1020" w:type="dxa"/>
          </w:tcPr>
          <w:p w:rsidR="00557A6F" w:rsidRDefault="00557A6F" w:rsidP="00557A6F">
            <w:pPr>
              <w:jc w:val="right"/>
            </w:pPr>
            <w:r>
              <w:t>Reg</w:t>
            </w:r>
            <w:r>
              <w:t>n</w:t>
            </w:r>
            <w:r>
              <w:t>skap 2018</w:t>
            </w:r>
          </w:p>
        </w:tc>
        <w:tc>
          <w:tcPr>
            <w:tcW w:w="1020" w:type="dxa"/>
          </w:tcPr>
          <w:p w:rsidR="00557A6F" w:rsidRDefault="00557A6F" w:rsidP="00557A6F">
            <w:pPr>
              <w:jc w:val="right"/>
            </w:pPr>
            <w:r>
              <w:t xml:space="preserve">Saldert </w:t>
            </w:r>
            <w:r>
              <w:br/>
              <w:t>budsjett 2019</w:t>
            </w:r>
          </w:p>
        </w:tc>
        <w:tc>
          <w:tcPr>
            <w:tcW w:w="1020" w:type="dxa"/>
          </w:tcPr>
          <w:p w:rsidR="00557A6F" w:rsidRDefault="00557A6F" w:rsidP="00557A6F">
            <w:pPr>
              <w:jc w:val="right"/>
            </w:pPr>
            <w:r>
              <w:t xml:space="preserve">Forslag </w:t>
            </w:r>
            <w:r>
              <w:br/>
              <w:t>2020</w:t>
            </w:r>
          </w:p>
        </w:tc>
        <w:tc>
          <w:tcPr>
            <w:tcW w:w="1020" w:type="dxa"/>
          </w:tcPr>
          <w:p w:rsidR="00557A6F" w:rsidRDefault="00557A6F" w:rsidP="00557A6F">
            <w:pPr>
              <w:jc w:val="right"/>
            </w:pPr>
            <w:r>
              <w:t xml:space="preserve">Pst. endr. </w:t>
            </w:r>
            <w:r>
              <w:br/>
              <w:t>19/20</w:t>
            </w:r>
          </w:p>
        </w:tc>
      </w:tr>
      <w:tr w:rsidR="00557A6F" w:rsidTr="00557A6F">
        <w:trPr>
          <w:trHeight w:val="380"/>
        </w:trPr>
        <w:tc>
          <w:tcPr>
            <w:tcW w:w="1020" w:type="dxa"/>
          </w:tcPr>
          <w:p w:rsidR="00557A6F" w:rsidRDefault="00557A6F" w:rsidP="00557A6F">
            <w:r>
              <w:t>3595</w:t>
            </w:r>
          </w:p>
        </w:tc>
        <w:tc>
          <w:tcPr>
            <w:tcW w:w="4080" w:type="dxa"/>
          </w:tcPr>
          <w:p w:rsidR="00557A6F" w:rsidRDefault="00557A6F" w:rsidP="00557A6F">
            <w:r>
              <w:t>Statens kartverk</w:t>
            </w:r>
          </w:p>
        </w:tc>
        <w:tc>
          <w:tcPr>
            <w:tcW w:w="1020" w:type="dxa"/>
          </w:tcPr>
          <w:p w:rsidR="00557A6F" w:rsidRDefault="00557A6F" w:rsidP="00557A6F">
            <w:pPr>
              <w:jc w:val="right"/>
            </w:pPr>
            <w:r>
              <w:t>852 535</w:t>
            </w:r>
          </w:p>
        </w:tc>
        <w:tc>
          <w:tcPr>
            <w:tcW w:w="1020" w:type="dxa"/>
          </w:tcPr>
          <w:p w:rsidR="00557A6F" w:rsidRDefault="00557A6F" w:rsidP="00557A6F">
            <w:pPr>
              <w:jc w:val="right"/>
            </w:pPr>
            <w:r>
              <w:t>755 081</w:t>
            </w:r>
          </w:p>
        </w:tc>
        <w:tc>
          <w:tcPr>
            <w:tcW w:w="1020" w:type="dxa"/>
          </w:tcPr>
          <w:p w:rsidR="00557A6F" w:rsidRDefault="00557A6F" w:rsidP="00557A6F">
            <w:pPr>
              <w:jc w:val="right"/>
            </w:pPr>
            <w:r>
              <w:t>809 531</w:t>
            </w:r>
          </w:p>
        </w:tc>
        <w:tc>
          <w:tcPr>
            <w:tcW w:w="1020" w:type="dxa"/>
          </w:tcPr>
          <w:p w:rsidR="00557A6F" w:rsidRDefault="00557A6F" w:rsidP="00557A6F">
            <w:pPr>
              <w:jc w:val="right"/>
            </w:pPr>
            <w:r>
              <w:t>7,2</w:t>
            </w:r>
          </w:p>
        </w:tc>
      </w:tr>
      <w:tr w:rsidR="00557A6F" w:rsidTr="00557A6F">
        <w:trPr>
          <w:trHeight w:val="380"/>
        </w:trPr>
        <w:tc>
          <w:tcPr>
            <w:tcW w:w="1020" w:type="dxa"/>
          </w:tcPr>
          <w:p w:rsidR="00557A6F" w:rsidRDefault="00557A6F" w:rsidP="00557A6F"/>
        </w:tc>
        <w:tc>
          <w:tcPr>
            <w:tcW w:w="4080" w:type="dxa"/>
          </w:tcPr>
          <w:p w:rsidR="00557A6F" w:rsidRDefault="00557A6F" w:rsidP="00557A6F">
            <w:r>
              <w:t>Sum kategori 13.90</w:t>
            </w:r>
          </w:p>
        </w:tc>
        <w:tc>
          <w:tcPr>
            <w:tcW w:w="1020" w:type="dxa"/>
          </w:tcPr>
          <w:p w:rsidR="00557A6F" w:rsidRDefault="00557A6F" w:rsidP="00557A6F">
            <w:pPr>
              <w:jc w:val="right"/>
            </w:pPr>
            <w:r>
              <w:t>852 535</w:t>
            </w:r>
          </w:p>
        </w:tc>
        <w:tc>
          <w:tcPr>
            <w:tcW w:w="1020" w:type="dxa"/>
          </w:tcPr>
          <w:p w:rsidR="00557A6F" w:rsidRDefault="00557A6F" w:rsidP="00557A6F">
            <w:pPr>
              <w:jc w:val="right"/>
            </w:pPr>
            <w:r>
              <w:t>755 081</w:t>
            </w:r>
          </w:p>
        </w:tc>
        <w:tc>
          <w:tcPr>
            <w:tcW w:w="1020" w:type="dxa"/>
          </w:tcPr>
          <w:p w:rsidR="00557A6F" w:rsidRDefault="00557A6F" w:rsidP="00557A6F">
            <w:pPr>
              <w:jc w:val="right"/>
            </w:pPr>
            <w:r>
              <w:t>809 531</w:t>
            </w:r>
          </w:p>
        </w:tc>
        <w:tc>
          <w:tcPr>
            <w:tcW w:w="1020" w:type="dxa"/>
          </w:tcPr>
          <w:p w:rsidR="00557A6F" w:rsidRDefault="00557A6F" w:rsidP="00557A6F">
            <w:pPr>
              <w:jc w:val="right"/>
            </w:pPr>
            <w:r>
              <w:t>7,2</w:t>
            </w:r>
          </w:p>
        </w:tc>
      </w:tr>
    </w:tbl>
    <w:p w:rsidR="00557A6F" w:rsidRDefault="00557A6F" w:rsidP="00557A6F">
      <w:pPr>
        <w:pStyle w:val="Undertittel"/>
      </w:pPr>
      <w:r>
        <w:t>Ansvarsområder</w:t>
      </w:r>
    </w:p>
    <w:p w:rsidR="00557A6F" w:rsidRDefault="00557A6F" w:rsidP="00557A6F">
      <w:r>
        <w:t>Kommunal- og moderniseringsdepartementet har ansvar for at landet har en helhetlig, framtidsre</w:t>
      </w:r>
      <w:r>
        <w:t>t</w:t>
      </w:r>
      <w:r>
        <w:t>tet og samordnet arealpolitikk, og skal bidra til at den kommunale og regionale samfunns- og arealplanleggin</w:t>
      </w:r>
      <w:r>
        <w:t>g</w:t>
      </w:r>
      <w:r>
        <w:t>en fungerer effektivt. Ansvaret omfatter både forvaltnings- og utviklingsoppgaver. Oppgavene omfatter rollen som veileder og avgjørelsesmyndighet i enkeltsaker, politikkutforming og formidling av mer ove</w:t>
      </w:r>
      <w:r>
        <w:t>r</w:t>
      </w:r>
      <w:r>
        <w:t>ordnet karakter. Ansvaret omfatter alt fra byer og tettsteder til fjell- og utmarksområder, sjøområder og strandsonen.</w:t>
      </w:r>
    </w:p>
    <w:p w:rsidR="00557A6F" w:rsidRDefault="00557A6F" w:rsidP="00557A6F">
      <w:r>
        <w:t>Departementet er ansvarlig for plan- og bygningsloven med tilhørende forskrifter. Plandelen av loven skal bidra til å samordne statlige, regionale og kommunale oppgaver og interesser innenfor samfunns- og arealplanlegging, og gi grunnlag for vedtak om bruk og vern av ressurser. For omtale av lovens bygningsdel vises det til progra</w:t>
      </w:r>
      <w:r>
        <w:t>m</w:t>
      </w:r>
      <w:r>
        <w:t>kategori 13.80.</w:t>
      </w:r>
    </w:p>
    <w:p w:rsidR="00557A6F" w:rsidRDefault="00557A6F" w:rsidP="00557A6F">
      <w:r>
        <w:t>Departementet utvikler lover og forskrifter om planlegging og konsekvensutredning, og veileder om og forvalter lovens bestemmelser. Utvikling og formidling av nasjonale mål og interesser i planleggingen er et departement</w:t>
      </w:r>
      <w:r>
        <w:t>s</w:t>
      </w:r>
      <w:r>
        <w:t>ansvar. Eksempler på dette er nasjonale forventninger, statlige planbestemmelser og planretningslinjer. Departementet tilrettelegger for gode og effektive pla</w:t>
      </w:r>
      <w:r>
        <w:t>n</w:t>
      </w:r>
      <w:r>
        <w:t>prosesser med maler, standa</w:t>
      </w:r>
      <w:r>
        <w:t>r</w:t>
      </w:r>
      <w:r>
        <w:t>der og krav til digitale verktøy.</w:t>
      </w:r>
    </w:p>
    <w:p w:rsidR="00557A6F" w:rsidRDefault="00557A6F" w:rsidP="00557A6F">
      <w:r>
        <w:t>Kommunene har et hovedansvar for å finne helhetlige og gode løsninger i samfunns- og arealpla</w:t>
      </w:r>
      <w:r>
        <w:t>n</w:t>
      </w:r>
      <w:r>
        <w:t>leggingen, slik at lokale forhold ivaretas i samspill med nasjonale og viktige regionale interesser. Depart</w:t>
      </w:r>
      <w:r>
        <w:t>e</w:t>
      </w:r>
      <w:r>
        <w:t>mentet behandler og avgjør innsigelsessaker som ikke blir løst lokalt, og regionale planer der det har kommet innvendinger. Når viktige statlige, regionale eller andre samfunnsmessige he</w:t>
      </w:r>
      <w:r>
        <w:t>n</w:t>
      </w:r>
      <w:r>
        <w:t>syn tilsier det, kan staten ved departementet utarbeide reguleringsplan eller arealdel til kommun</w:t>
      </w:r>
      <w:r>
        <w:t>e</w:t>
      </w:r>
      <w:r>
        <w:t xml:space="preserve">planen. </w:t>
      </w:r>
    </w:p>
    <w:p w:rsidR="00557A6F" w:rsidRDefault="00557A6F" w:rsidP="00557A6F">
      <w:r>
        <w:lastRenderedPageBreak/>
        <w:t>Departementet samarbeider med fylkeskommunene, de største byene og byregionene om en bær</w:t>
      </w:r>
      <w:r>
        <w:t>e</w:t>
      </w:r>
      <w:r>
        <w:t>kraftig byutvi</w:t>
      </w:r>
      <w:r>
        <w:t>k</w:t>
      </w:r>
      <w:r>
        <w:t>ling. Det legges vekt på oppfølgingen av statlige planretningslinjer for samordnet bolig-, areal- og transportpla</w:t>
      </w:r>
      <w:r>
        <w:t>n</w:t>
      </w:r>
      <w:r>
        <w:t>legging, fortetting med kvalitet og likeverdige levekår. For omtale av øvrig di</w:t>
      </w:r>
      <w:r>
        <w:t>s</w:t>
      </w:r>
      <w:r>
        <w:t xml:space="preserve">trikts- og regionalpolitikk vises det til programkategori 13.50. </w:t>
      </w:r>
    </w:p>
    <w:p w:rsidR="00557A6F" w:rsidRDefault="00557A6F" w:rsidP="00557A6F">
      <w:r>
        <w:t xml:space="preserve">Departementet har ansvaret for geografisk infrastruktur på land og sjø, lovgivning og forvaltning på fagområdene geografiske data (geodata) og eiendomsinformasjon (matrikkel og tinglysing). </w:t>
      </w:r>
    </w:p>
    <w:p w:rsidR="00557A6F" w:rsidRDefault="00557A6F" w:rsidP="00557A6F">
      <w:r>
        <w:t>Departementet er etatsstyrer for Statens kartverk. Kartverket er koordinator for nasjonale geodata, og organiserer kartleggingen av Norges land- og sjøarealer. Kartverket skal tilrettelegge for bruk av dette kunnskapsgrunnlaget, blant annet ved å sørge for at det offentlige kartgrunnlaget er standa</w:t>
      </w:r>
      <w:r>
        <w:t>r</w:t>
      </w:r>
      <w:r>
        <w:t>disert og ti</w:t>
      </w:r>
      <w:r>
        <w:t>l</w:t>
      </w:r>
      <w:r>
        <w:t>gjengelig for alle. Deling av data i samsvar med geodataloven skjer i samarbeid med sektormyndigheter. Etaten har også ansvaret for tinglysing av fast eiendom og borett, og for å fo</w:t>
      </w:r>
      <w:r>
        <w:t>r</w:t>
      </w:r>
      <w:r>
        <w:t>valte matrikkelen i sama</w:t>
      </w:r>
      <w:r>
        <w:t>r</w:t>
      </w:r>
      <w:r>
        <w:t xml:space="preserve">beid med kommunene. </w:t>
      </w:r>
    </w:p>
    <w:p w:rsidR="00557A6F" w:rsidRDefault="00557A6F" w:rsidP="00557A6F">
      <w:pPr>
        <w:pStyle w:val="Undertittel"/>
      </w:pPr>
      <w:r>
        <w:t>Utviklingstrekk og utfordringer</w:t>
      </w:r>
    </w:p>
    <w:p w:rsidR="00557A6F" w:rsidRDefault="00557A6F" w:rsidP="00557A6F">
      <w:pPr>
        <w:pStyle w:val="avsnitt-under-undertittel"/>
      </w:pPr>
      <w:r>
        <w:t>Bedre og mer effektiv planlegging</w:t>
      </w:r>
    </w:p>
    <w:p w:rsidR="00557A6F" w:rsidRDefault="00557A6F" w:rsidP="00557A6F">
      <w:r>
        <w:t>Planlegging skal være et effektivt verktøy for gjennomføring av nasjonal, regional og kommunal politikk. Gjennom kommuneplanlegging etter plan- og bygningsloven er kommunene gitt han</w:t>
      </w:r>
      <w:r>
        <w:t>d</w:t>
      </w:r>
      <w:r>
        <w:t>lingsrom til å sette dagsorden og forme den lokale utviklingen, både innenfor egne ansvarsområder og for utviklingen av lokalsamfunnet som helhet. Kommunene er den viktigste planmyndigheten og førstelinjen for næringsu</w:t>
      </w:r>
      <w:r>
        <w:t>t</w:t>
      </w:r>
      <w:r>
        <w:t>vikling. Nærhet til innbyggere og næringsliv gir kommunene gode forutsetninger for å være en pådriver i samfunns- og næringsutviklingen. Større kommuner vil få økt kompetanse og kapasitet, noe som vil sty</w:t>
      </w:r>
      <w:r>
        <w:t>r</w:t>
      </w:r>
      <w:r>
        <w:t>ke rollen som utviklingsaktør.</w:t>
      </w:r>
      <w:r>
        <w:rPr>
          <w:rStyle w:val="kursiv"/>
          <w:sz w:val="21"/>
          <w:szCs w:val="21"/>
        </w:rPr>
        <w:t xml:space="preserve"> </w:t>
      </w:r>
    </w:p>
    <w:p w:rsidR="00557A6F" w:rsidRDefault="00557A6F" w:rsidP="00557A6F">
      <w:r>
        <w:t>Planlegging etter plan- og bygningsloven blir i for liten grad brukt som et strategisk styringsre</w:t>
      </w:r>
      <w:r>
        <w:t>d</w:t>
      </w:r>
      <w:r>
        <w:t>skap i kommunene, slik at boliger, infrastruktur og næringsområder kan bygges ut på en god, e</w:t>
      </w:r>
      <w:r>
        <w:t>f</w:t>
      </w:r>
      <w:r>
        <w:t>fektiv og bær</w:t>
      </w:r>
      <w:r>
        <w:t>e</w:t>
      </w:r>
      <w:r>
        <w:t>kraftig måte. Det er utfordrende for kommuner og fylkeskommuner å sette mål og utvikle strategier for samfunnsutviklingen. Det gjelder for eksempel for langsiktig arealbruk, mi</w:t>
      </w:r>
      <w:r>
        <w:t>l</w:t>
      </w:r>
      <w:r>
        <w:t>jøutfordringer, sektorenes virksomhet og hva som vil være kommunens planbehov. Kommunest</w:t>
      </w:r>
      <w:r>
        <w:t>y</w:t>
      </w:r>
      <w:r>
        <w:t>ret skal minst én gang i hver valgperiode, og senest innen ett år etter kon</w:t>
      </w:r>
      <w:r>
        <w:t>s</w:t>
      </w:r>
      <w:r>
        <w:t>tituering, utarbeide og vedta en kommunal planstrategi.</w:t>
      </w:r>
    </w:p>
    <w:p w:rsidR="00557A6F" w:rsidRDefault="00557A6F" w:rsidP="00557A6F">
      <w:r>
        <w:t>Det er viktig at planleggingen og utviklingen av lokalsamfunnet skjer i nært samarbeid med in</w:t>
      </w:r>
      <w:r>
        <w:t>n</w:t>
      </w:r>
      <w:r>
        <w:t>byggere og priv</w:t>
      </w:r>
      <w:r>
        <w:t>a</w:t>
      </w:r>
      <w:r>
        <w:t>te aktører, og i en åpen og demokratisk prosess. Det er krevende å ivareta helheten og effektiviteten i samfunn</w:t>
      </w:r>
      <w:r>
        <w:t>s</w:t>
      </w:r>
      <w:r>
        <w:t xml:space="preserve">planleggingen gjennom å se flere sektorer og interesser i sammenheng. </w:t>
      </w:r>
    </w:p>
    <w:p w:rsidR="00557A6F" w:rsidRDefault="00557A6F" w:rsidP="00557A6F">
      <w:r>
        <w:t>Nasjonale forventninger og retningslinjer til kommunal og regional planlegging må ses i samme</w:t>
      </w:r>
      <w:r>
        <w:t>n</w:t>
      </w:r>
      <w:r>
        <w:t>heng med de lokale forholdene i den enkelte region og den enkelte kommune. Det kan være kr</w:t>
      </w:r>
      <w:r>
        <w:t>e</w:t>
      </w:r>
      <w:r>
        <w:t>vende å forene lokale fo</w:t>
      </w:r>
      <w:r>
        <w:t>r</w:t>
      </w:r>
      <w:r>
        <w:t>hold med ulike målsettinger og forventninger. Arealbruk berører mange og ofte mo</w:t>
      </w:r>
      <w:r>
        <w:t>t</w:t>
      </w:r>
      <w:r>
        <w:t>stridende interesser som naturmangfold, kulturminner, jordvern, hensynet til barn og unge, utbygging av infrastruktur med mer. Samordning av de ulike arealinteressene i planproses</w:t>
      </w:r>
      <w:r>
        <w:t>s</w:t>
      </w:r>
      <w:r>
        <w:t xml:space="preserve">ene forutsetter god plankompetanse og medvirkning fra en rekke interessenter. Dette fører ofte til at planprosessene kan ta noe tid. </w:t>
      </w:r>
    </w:p>
    <w:p w:rsidR="00557A6F" w:rsidRDefault="00557A6F" w:rsidP="00557A6F">
      <w:r>
        <w:t>FNs bærekraftsmål må legges til grunn for samfunns- og arealplanleggingen. Framskrivninger viser et mildere klima i Norge, med mer nedbør og hyppigere forekomster av ekstreme værhendelser. Tilpasning til klim</w:t>
      </w:r>
      <w:r>
        <w:t>a</w:t>
      </w:r>
      <w:r>
        <w:t>endringene innebærer forskjellige tilnærminger i ulike geografiske områder. Samfunnssikkerhet og klimatilpa</w:t>
      </w:r>
      <w:r>
        <w:t>s</w:t>
      </w:r>
      <w:r>
        <w:t>ning må være et gjennomgående tema fra plansak til utbygging. Bare 3,4 pst. av Norges areal er dyrket mark, derfor er dette en knapp ressurs. Mange inngrep som hver for seg virker små kan samlet sett påvirke arter, bestander og økosystemer negativt. FNs n</w:t>
      </w:r>
      <w:r>
        <w:t>a</w:t>
      </w:r>
      <w:r>
        <w:t xml:space="preserve">turpanel IPBES la i 2019 fram en rapport om natur, artsmangfold og økosystemer. Den anbefaler blant annet mer helhetlig planlegging og flere tiltak for å gjøre byer og samfunn mer bærekraftige. </w:t>
      </w:r>
    </w:p>
    <w:p w:rsidR="00557A6F" w:rsidRDefault="00557A6F" w:rsidP="00557A6F">
      <w:r>
        <w:t>Samfunnsutviklingen og arealbruken må bli mer bærekraftig, samtidig som verdiskapingen skal øke. Forutse</w:t>
      </w:r>
      <w:r>
        <w:t>t</w:t>
      </w:r>
      <w:r>
        <w:t>ningene og behovet for næringsmessig utvikling og omstilling varierer fra region til region. Fjell, utmark og sjøområder er viktige ressurser for bærekraftig næringsutvikling, for e</w:t>
      </w:r>
      <w:r>
        <w:t>k</w:t>
      </w:r>
      <w:r>
        <w:t>sempel innen havbruk, mineralutvinning og turisme. Det kan være en utfordring at forvaltningen av ressursene er fragmentert, og at kunnskap og tillatelser må hentes fra mange ulike hold. Forskjell</w:t>
      </w:r>
      <w:r>
        <w:t>i</w:t>
      </w:r>
      <w:r>
        <w:t>ge sektorer kan ha ulike og mot</w:t>
      </w:r>
      <w:r>
        <w:lastRenderedPageBreak/>
        <w:t>stridende krav. Det er behov for tidlig involvering, bedre planavkl</w:t>
      </w:r>
      <w:r>
        <w:t>a</w:t>
      </w:r>
      <w:r>
        <w:t>ring og samordning mellom myndigheter og lovverk, slik at også behovet for innsigelser blir red</w:t>
      </w:r>
      <w:r>
        <w:t>u</w:t>
      </w:r>
      <w:r>
        <w:t>sert.</w:t>
      </w:r>
    </w:p>
    <w:p w:rsidR="00557A6F" w:rsidRDefault="00557A6F" w:rsidP="00557A6F">
      <w:r>
        <w:t>Befolkningsutviklingen påvirker prioriteringer i planleggingen. Attraktive byer med levende b</w:t>
      </w:r>
      <w:r>
        <w:t>y</w:t>
      </w:r>
      <w:r>
        <w:t>miljø kjennetegnes ved at de kombinerer økt tetthet med effektive transportløsninger og høy liv</w:t>
      </w:r>
      <w:r>
        <w:t>s</w:t>
      </w:r>
      <w:r>
        <w:t>kvalitet. Storbyer i vekst krever helhetlige grep for å bli funksjonelle og bærekraftige byområder. Utfordringen er å fortette og samtidig sikre kvalitet i bygninger og uterom som bidrar til at in</w:t>
      </w:r>
      <w:r>
        <w:t>n</w:t>
      </w:r>
      <w:r>
        <w:t>byggernes trivsel og tilhørighet forsterkes. Mange kommuner strever dessuten med å skape liv i sentrum, og sentrumsha</w:t>
      </w:r>
      <w:r>
        <w:t>n</w:t>
      </w:r>
      <w:r>
        <w:t>delen taper markedsandeler i de fleste norske byer. En fersk kartlegging av omsetningsutviklingen for 2008–2017 for sentrumshandelen i alle 36 store og mellomstore norske byer viser at for alle bysentrene samlet har omsetningen av utvalgsvarer gått ned med 16 pst., mens den for servering har økt med 32 pst.</w:t>
      </w:r>
      <w:r>
        <w:rPr>
          <w:vertAlign w:val="superscript"/>
        </w:rPr>
        <w:footnoteReference w:id="15"/>
      </w:r>
      <w:r>
        <w:t xml:space="preserve"> Økningen i servering er koblet til en økning i kultur og opplevelser i sentrum. Tallene er prisju</w:t>
      </w:r>
      <w:r>
        <w:t>s</w:t>
      </w:r>
      <w:r>
        <w:t xml:space="preserve">terte for hele perioden. Samtidig veier økningen i servering ikke opp for nedgangen i handel. </w:t>
      </w:r>
    </w:p>
    <w:p w:rsidR="00557A6F" w:rsidRDefault="00557A6F" w:rsidP="00557A6F">
      <w:r>
        <w:t>Kartleggingen viser at byer med store kjøpesentre i sentrum har opprettholdt varehandel i større grad enn byer uten store kjøpesentre i sentrum. Omsetningen av varer går imidlertid ned i kjøp</w:t>
      </w:r>
      <w:r>
        <w:t>e</w:t>
      </w:r>
      <w:r>
        <w:t>sentrene både i og utenfor se</w:t>
      </w:r>
      <w:r>
        <w:t>n</w:t>
      </w:r>
      <w:r>
        <w:t>trum. Kjøpesentre utenfor bysentrene konkurrerer mer mot sentrum enn tidligere ved at også disse retter seg mer mot tjenester og opplevelser. Byer med attraktive byrom, sjøfront, høy andel turister og høy andel studenter, og som arbeider målbevisst med se</w:t>
      </w:r>
      <w:r>
        <w:t>n</w:t>
      </w:r>
      <w:r>
        <w:t xml:space="preserve">trums attraktivitet, har klart seg bedre. Den sterkt økende netthandelen utfordrer sentrumshandelen ytterligere. </w:t>
      </w:r>
    </w:p>
    <w:p w:rsidR="00557A6F" w:rsidRDefault="00557A6F" w:rsidP="00557A6F">
      <w:r>
        <w:t>Tettsteder og integrerte arbeidsmarkeder overskrider kommunegrenser. Det gjør planlegging for b</w:t>
      </w:r>
      <w:r>
        <w:t>o</w:t>
      </w:r>
      <w:r>
        <w:t xml:space="preserve">ligbygging, næringsutvikling og god kollektivtrafikk utfordrende. </w:t>
      </w:r>
    </w:p>
    <w:p w:rsidR="00557A6F" w:rsidRDefault="00557A6F" w:rsidP="00557A6F">
      <w:r>
        <w:t>I flere bykommuner er det sammensatte levekårsutfordringer i enkelte bydeler, blant annet knyttet til arbeidsledighet, oppvekst og boforhold. For å oppnå gode resultater må man få til mer samor</w:t>
      </w:r>
      <w:r>
        <w:t>d</w:t>
      </w:r>
      <w:r>
        <w:t>net innsats fra mange i</w:t>
      </w:r>
      <w:r>
        <w:t>n</w:t>
      </w:r>
      <w:r>
        <w:t>stanser og aktører, både statlige, kommunale, private og frivillige.</w:t>
      </w:r>
    </w:p>
    <w:p w:rsidR="00557A6F" w:rsidRDefault="00557A6F" w:rsidP="00557A6F">
      <w:r>
        <w:t>Effektivitet i planleggingen er et viktig og gjennomgående tema. Riksrevisjonen</w:t>
      </w:r>
      <w:r>
        <w:rPr>
          <w:vertAlign w:val="superscript"/>
        </w:rPr>
        <w:footnoteReference w:id="16"/>
      </w:r>
      <w:r>
        <w:t xml:space="preserve"> har i 2018 u</w:t>
      </w:r>
      <w:r>
        <w:t>n</w:t>
      </w:r>
      <w:r>
        <w:t>dersøkt arbeidet med å redusere planleggingstiden i store samferdselsprosjekter. Funnene i unde</w:t>
      </w:r>
      <w:r>
        <w:t>r</w:t>
      </w:r>
      <w:r>
        <w:t>søkelsen viser at det fortsatt er behov for en satsing på effektivisering og forbedring av planprose</w:t>
      </w:r>
      <w:r>
        <w:t>s</w:t>
      </w:r>
      <w:r>
        <w:t>sene.</w:t>
      </w:r>
    </w:p>
    <w:p w:rsidR="00557A6F" w:rsidRDefault="00557A6F" w:rsidP="00557A6F">
      <w:r>
        <w:t>I 2018 sto private forslagsstillere bak omtrent 75 pst. av alle vedtatte detaljreguleringer (KOSTRA, SSB). Det er derfor viktig å lage gode og effektive prosesser som sikrer godt samarbeid mellom komm</w:t>
      </w:r>
      <w:r>
        <w:t>u</w:t>
      </w:r>
      <w:r>
        <w:t>ner og private aktører i planarbeidet. De overordnede planene følges opp av mer detaljerte reguleringer og byggesøknader. Når bygg</w:t>
      </w:r>
      <w:r>
        <w:t>e</w:t>
      </w:r>
      <w:r>
        <w:t>søknader utfordrer hovedlinjene i arealplanleggingen gjennom dispensasjonssøknader, kan det føre til at problemstillinger som ofte har vært nøye ove</w:t>
      </w:r>
      <w:r>
        <w:t>r</w:t>
      </w:r>
      <w:r>
        <w:t>veid og avgjort gjennom en bredt anlagt demokratisk planprosess blir satt til side. Dette kan for eksempel være knyttet til utny</w:t>
      </w:r>
      <w:r>
        <w:t>t</w:t>
      </w:r>
      <w:r>
        <w:t>tingsgrad eller byggehøyder.</w:t>
      </w:r>
    </w:p>
    <w:p w:rsidR="00557A6F" w:rsidRDefault="00557A6F" w:rsidP="00557A6F">
      <w:r>
        <w:t>For noen kommuner, særlig de mindre, er det krevende å ha tilstrekkelig kompetanse og kapasitet i planleggingen. Dette belyses blant annet i evalueringen av plan- og bygningslovens plandel (EVAPLAN)</w:t>
      </w:r>
      <w:r>
        <w:rPr>
          <w:vertAlign w:val="superscript"/>
        </w:rPr>
        <w:footnoteReference w:id="17"/>
      </w:r>
      <w:r>
        <w:t>. Det er kontinue</w:t>
      </w:r>
      <w:r>
        <w:t>r</w:t>
      </w:r>
      <w:r>
        <w:t>lig behov for utvikling av kunnskapsgrunnlaget for planlegging, og for å ha oversikt over samfunns- og arealu</w:t>
      </w:r>
      <w:r>
        <w:t>t</w:t>
      </w:r>
      <w:r>
        <w:t xml:space="preserve">vikling over tid. </w:t>
      </w:r>
    </w:p>
    <w:p w:rsidR="00557A6F" w:rsidRDefault="00557A6F" w:rsidP="00557A6F">
      <w:r>
        <w:t>Vi trenger økt kunnskap om forholdet mellom plan og marked, og om hvordan kommuner, n</w:t>
      </w:r>
      <w:r>
        <w:t>æ</w:t>
      </w:r>
      <w:r>
        <w:t>ringsliv og ulike samfunnsinteresser sammen kan bidra til økt effektivitet og god gjennomføring</w:t>
      </w:r>
      <w:r>
        <w:t>s</w:t>
      </w:r>
      <w:r>
        <w:t>kraft. Samtidig er det behov for å belyse utvikling og bruk av det juridiske mulighetsrommet i l</w:t>
      </w:r>
      <w:r>
        <w:t>o</w:t>
      </w:r>
      <w:r>
        <w:t>ven. Det er også et behov for nye virkemidler. Digitaliseringen og andre viktige hensyn i plan- og bygningsloven vil kunne påvirke hverandre gjensidig. Kun</w:t>
      </w:r>
      <w:r>
        <w:t>n</w:t>
      </w:r>
      <w:r>
        <w:t xml:space="preserve">skapen om disse problemstillingene innhentes fra flere kilder som praksis, utredninger og forskning. </w:t>
      </w:r>
    </w:p>
    <w:p w:rsidR="00557A6F" w:rsidRDefault="00557A6F" w:rsidP="00557A6F">
      <w:pPr>
        <w:pStyle w:val="avsnitt-under-undertittel"/>
        <w:rPr>
          <w:rStyle w:val="kursiv"/>
          <w:i/>
          <w:iCs/>
          <w:sz w:val="21"/>
          <w:szCs w:val="21"/>
        </w:rPr>
      </w:pPr>
      <w:r>
        <w:rPr>
          <w:rStyle w:val="kursiv"/>
          <w:i/>
          <w:iCs/>
          <w:sz w:val="21"/>
          <w:szCs w:val="21"/>
        </w:rPr>
        <w:lastRenderedPageBreak/>
        <w:t>Digitalisering</w:t>
      </w:r>
    </w:p>
    <w:p w:rsidR="00557A6F" w:rsidRDefault="00557A6F" w:rsidP="00557A6F">
      <w:r>
        <w:t>Informasjon forventes å være digital og lett tilgjengelig. Det gjelder også data som brukes i area</w:t>
      </w:r>
      <w:r>
        <w:t>l</w:t>
      </w:r>
      <w:r>
        <w:t>planleggingen. Kvaliteten på tjenestene som kommunene leverer til innbyggere, utbyggere og sta</w:t>
      </w:r>
      <w:r>
        <w:t>t</w:t>
      </w:r>
      <w:r>
        <w:t>lige etater er varierende og i stor grad prisgitt kvaliteten på data som kommunene besitter. Mange kommuner har gode løsninger for innsyn i planer og planprosesser, digital medvirkning og sa</w:t>
      </w:r>
      <w:r>
        <w:t>m</w:t>
      </w:r>
      <w:r>
        <w:t>menstilling av innspill, og det arbeides med løsninger som muliggjør mer automatisert byggesak</w:t>
      </w:r>
      <w:r>
        <w:t>s</w:t>
      </w:r>
      <w:r>
        <w:t>behandling. For å tilby god statistikk, oversikt over utviklingen i kommunen eller digital medvir</w:t>
      </w:r>
      <w:r>
        <w:t>k</w:t>
      </w:r>
      <w:r>
        <w:t>ning, er kommunene i praksis avhengige av at alle planer er digitalisert på en måte som gjør at m</w:t>
      </w:r>
      <w:r>
        <w:t>a</w:t>
      </w:r>
      <w:r>
        <w:t>skinene kan lese dem. Manglende kunnskap om kilder til data og om analyseverktøy er en utfor</w:t>
      </w:r>
      <w:r>
        <w:t>d</w:t>
      </w:r>
      <w:r>
        <w:t xml:space="preserve">ring. </w:t>
      </w:r>
    </w:p>
    <w:p w:rsidR="00557A6F" w:rsidRDefault="00557A6F" w:rsidP="00557A6F">
      <w:pPr>
        <w:pStyle w:val="avsnitt-under-undertittel"/>
      </w:pPr>
      <w:r>
        <w:t>Kart- og eiendomsinformasjon</w:t>
      </w:r>
    </w:p>
    <w:p w:rsidR="00557A6F" w:rsidRDefault="00557A6F" w:rsidP="00557A6F">
      <w:pPr>
        <w:rPr>
          <w:rStyle w:val="kursiv"/>
          <w:sz w:val="21"/>
          <w:szCs w:val="21"/>
        </w:rPr>
      </w:pPr>
      <w:r>
        <w:t>EUs</w:t>
      </w:r>
      <w:r>
        <w:rPr>
          <w:rStyle w:val="kursiv"/>
          <w:sz w:val="21"/>
          <w:szCs w:val="21"/>
        </w:rPr>
        <w:t xml:space="preserve"> eGovernment Benchmark 2018</w:t>
      </w:r>
      <w:r>
        <w:t xml:space="preserve"> viser at Norge ligger i front på digitalisering av offentlige tjene</w:t>
      </w:r>
      <w:r>
        <w:t>s</w:t>
      </w:r>
      <w:r>
        <w:t>ter, herunder elektronisk tinglysing og geodata. De senere årene har tilgangen til og kvaliteten på kart og geodata blitt bedre, og dataene er mer oppdatert. Det ligger fortsatt store muligheter for økt privat og offentlig verdiskaping gjennom effektiv tilgang til og bruk av kart- og eiendomsinform</w:t>
      </w:r>
      <w:r>
        <w:t>a</w:t>
      </w:r>
      <w:r>
        <w:t>sjon. Et oppdatert geografisk kunnskapsgrunnlag gir økt sikkerhet. Felles løsninger og teknologi som understøtter en effe</w:t>
      </w:r>
      <w:r>
        <w:t>k</w:t>
      </w:r>
      <w:r>
        <w:t xml:space="preserve">tiv oppgaveløsning åpner for nye bruksmuligheter. Det krever samspill om forvaltning, deling, utvikling og innovasjon mellom aktørene i både privat og offentlig sektor. </w:t>
      </w:r>
    </w:p>
    <w:p w:rsidR="00557A6F" w:rsidRDefault="00557A6F" w:rsidP="00557A6F">
      <w:r>
        <w:t>Ifølge Kartverket har bruken av det offentlige kartgrunnlaget økt med over 50 pst. de siste årene. Mange datasett er av varierende kvalitet og har ikke god nok arealdekning. Tilgang til data må fortsatt bli bedre. Flere store o</w:t>
      </w:r>
      <w:r>
        <w:t>f</w:t>
      </w:r>
      <w:r>
        <w:t>fentlige dataeiere må tilrettelegge egne data bedre og gjøre dem tilgjengelige gjennom Geonorge.no. Dette skal gjøres i tråd med krav etter geodataloven og i sa</w:t>
      </w:r>
      <w:r>
        <w:t>m</w:t>
      </w:r>
      <w:r>
        <w:t xml:space="preserve">svar med digitaliseringsrundskrivet. Kartverket er </w:t>
      </w:r>
      <w:proofErr w:type="gramStart"/>
      <w:r>
        <w:t>nasjonal</w:t>
      </w:r>
      <w:proofErr w:type="gramEnd"/>
      <w:r>
        <w:t xml:space="preserve"> geodatakoordinator og vil gjennom Norge digitalt-samarbeidet bistå etatene med veiledning, felles produktspesifikasjoner og met</w:t>
      </w:r>
      <w:r>
        <w:t>o</w:t>
      </w:r>
      <w:r>
        <w:t>dikk. Det er behov for bedre selvbetjeningsløsninger til offentlige data som planregistre og matri</w:t>
      </w:r>
      <w:r>
        <w:t>k</w:t>
      </w:r>
      <w:r>
        <w:t>kelen. Matrikkelen har informasjon som gjenbrukes i mange offentlige og private fagsystemer. Det er utfordringer knyttet til en eldre teknisk plattform, varierende kvalitet og manglende fullstendi</w:t>
      </w:r>
      <w:r>
        <w:t>g</w:t>
      </w:r>
      <w:r>
        <w:t>het, spesielt i by</w:t>
      </w:r>
      <w:r>
        <w:t>g</w:t>
      </w:r>
      <w:r>
        <w:t xml:space="preserve">ningsdelen av registeret. </w:t>
      </w:r>
    </w:p>
    <w:p w:rsidR="00557A6F" w:rsidRDefault="00557A6F" w:rsidP="00557A6F">
      <w:r>
        <w:t>Som følge av kommune- og regionreformene vil 3,6 millioner nordmenn få ny kommune eller nytt fylke. Hver kommune har svært mange forskjellige IKT-systemer. Kommunenummeret er ko</w:t>
      </w:r>
      <w:r>
        <w:t>b</w:t>
      </w:r>
      <w:r>
        <w:t>lingsnøkkelen mellom mange av dem. Alle kommuner som skal slås sammen, får nytt kommun</w:t>
      </w:r>
      <w:r>
        <w:t>e</w:t>
      </w:r>
      <w:r>
        <w:t>nummer. Kommun</w:t>
      </w:r>
      <w:r>
        <w:t>e</w:t>
      </w:r>
      <w:r>
        <w:t>nummeret sitter dypt i mange systemer, eksempelvis er selv kyrnes øremerking basert på kommun</w:t>
      </w:r>
      <w:r>
        <w:t>e</w:t>
      </w:r>
      <w:r>
        <w:t>nummeret. Som teknisk koordinator for digital tilpasning mellom matrikkelen og andre systemer i kommune- og regionreformene, gir Kartverket råd til kommunene. Etaten le</w:t>
      </w:r>
      <w:r>
        <w:t>g</w:t>
      </w:r>
      <w:r>
        <w:t>ger dessuten inn et betydelig arbeid for at matrikkel og tinglysing skal ha minst mulig nedetid og fungere mest mulig som normalt når reformene gjennomføres ved årsskiftet 2019/2020. Fra 13. desember 2019 til og med 31. desember 2019 vil matrikkelen derfor være stengt for ny inform</w:t>
      </w:r>
      <w:r>
        <w:t>a</w:t>
      </w:r>
      <w:r>
        <w:t>sjon. Grunnboken stenges for oppdatering i perioden 27. desember 2019 kl. 20.00 til utløpet av 1. januar 2020. Grunnboken vil følgelig være stengt for elektronisk tinglysing i overkant av fem døgn. For papirbaserte dokumenter utgjør sten</w:t>
      </w:r>
      <w:r>
        <w:t>g</w:t>
      </w:r>
      <w:r>
        <w:t>ingsperioden én virkedag. Alle innsynstjenester vil være tilgjengelige under hele prosessen. Innsynstjenestene vil gå mot «frosset database» fra og med 27. desember 2019 kl. 20.00 frem til 1. januar 2020. Kartverket har et bredt inform</w:t>
      </w:r>
      <w:r>
        <w:t>a</w:t>
      </w:r>
      <w:r>
        <w:t>sjonsopplegg for å sørge for at dette blir til minst mulig ulempe for brukerne.</w:t>
      </w:r>
    </w:p>
    <w:p w:rsidR="00557A6F" w:rsidRDefault="00557A6F" w:rsidP="00557A6F">
      <w:r>
        <w:t>Det er en utfordring å utvikle og ta i bruk digitale planprosesser som skal bidra til bedre planer, raskere planpr</w:t>
      </w:r>
      <w:r>
        <w:t>o</w:t>
      </w:r>
      <w:r>
        <w:t>sesser og styrket innbyggermedvirkning. Et flertall av kommunene har opprettet digitale planregistre. Økt digit</w:t>
      </w:r>
      <w:r>
        <w:t>a</w:t>
      </w:r>
      <w:r>
        <w:t>lisering av plan- og byggesaksprosessene, eiendomstransaksjoner og det geogr</w:t>
      </w:r>
      <w:r>
        <w:t>a</w:t>
      </w:r>
      <w:r>
        <w:t xml:space="preserve">fiske kunnskapsgrunnlaget er prioritert, og bidrar til å øke produktiviteten i privat og offentlig sektor. </w:t>
      </w:r>
    </w:p>
    <w:p w:rsidR="00557A6F" w:rsidRDefault="00557A6F" w:rsidP="00557A6F">
      <w:r>
        <w:t>På sjøområdet har navigasjon tradisjonelt vært hovedbruksområdet. Økt aktivitet i marine og mar</w:t>
      </w:r>
      <w:r>
        <w:t>i</w:t>
      </w:r>
      <w:r>
        <w:t>time næringer har endret brukernes behov. Det stiller andre krav til sjødata og mulighet for kobling med ulike temadata for re</w:t>
      </w:r>
      <w:r>
        <w:t>s</w:t>
      </w:r>
      <w:r>
        <w:t>sursforvaltning og næringsutvikling. Mye av kysten er ennå ikke godt nok kartlagt, og kun 36 pst. er kartlagt med moderne målemetoder. Det er utfordrende å få utført effektive dybdemålinger i grunne sjøområder med dagens båter og måleutstyr.</w:t>
      </w:r>
    </w:p>
    <w:p w:rsidR="00557A6F" w:rsidRDefault="00557A6F" w:rsidP="00557A6F">
      <w:pPr>
        <w:pStyle w:val="Undertittel"/>
      </w:pPr>
      <w:r>
        <w:lastRenderedPageBreak/>
        <w:t>Mål og rapportering, strategier og tiltak</w:t>
      </w:r>
    </w:p>
    <w:p w:rsidR="009017E2" w:rsidRPr="009017E2" w:rsidRDefault="009017E2" w:rsidP="009017E2">
      <w:pPr>
        <w:pStyle w:val="tabell-tittel"/>
      </w:pPr>
      <w:r>
        <w:t>Mål for programkategori 13.90 Planlegging, byutvikling og geodata</w:t>
      </w:r>
    </w:p>
    <w:p w:rsidR="00557A6F" w:rsidRDefault="00557A6F" w:rsidP="00557A6F">
      <w:pPr>
        <w:pStyle w:val="Tabellnavn"/>
      </w:pPr>
      <w:r>
        <w:t>02J0xx2</w:t>
      </w:r>
    </w:p>
    <w:tbl>
      <w:tblPr>
        <w:tblStyle w:val="StandardTabell"/>
        <w:tblW w:w="0" w:type="auto"/>
        <w:tblLayout w:type="fixed"/>
        <w:tblLook w:val="04A0" w:firstRow="1" w:lastRow="0" w:firstColumn="1" w:lastColumn="0" w:noHBand="0" w:noVBand="1"/>
      </w:tblPr>
      <w:tblGrid>
        <w:gridCol w:w="9200"/>
      </w:tblGrid>
      <w:tr w:rsidR="00557A6F" w:rsidTr="00557A6F">
        <w:trPr>
          <w:trHeight w:val="380"/>
        </w:trPr>
        <w:tc>
          <w:tcPr>
            <w:tcW w:w="9200" w:type="dxa"/>
          </w:tcPr>
          <w:p w:rsidR="00557A6F" w:rsidRDefault="00557A6F" w:rsidP="00557A6F">
            <w:r>
              <w:t>1.</w:t>
            </w:r>
            <w:r>
              <w:tab/>
              <w:t>Planlegging skal fremme bærekraftig samfunnsutvikling og arealbruk</w:t>
            </w:r>
          </w:p>
        </w:tc>
      </w:tr>
      <w:tr w:rsidR="00557A6F" w:rsidTr="00557A6F">
        <w:trPr>
          <w:trHeight w:val="380"/>
        </w:trPr>
        <w:tc>
          <w:tcPr>
            <w:tcW w:w="9200" w:type="dxa"/>
          </w:tcPr>
          <w:p w:rsidR="00557A6F" w:rsidRDefault="00557A6F" w:rsidP="00557A6F">
            <w:r>
              <w:t>2.</w:t>
            </w:r>
            <w:r>
              <w:tab/>
              <w:t>Byer, byregioner og tettsteder skal være attraktive og bærekraftige</w:t>
            </w:r>
          </w:p>
        </w:tc>
      </w:tr>
      <w:tr w:rsidR="00557A6F" w:rsidTr="00557A6F">
        <w:trPr>
          <w:trHeight w:val="640"/>
        </w:trPr>
        <w:tc>
          <w:tcPr>
            <w:tcW w:w="9200" w:type="dxa"/>
          </w:tcPr>
          <w:p w:rsidR="00557A6F" w:rsidRDefault="00557A6F" w:rsidP="00557A6F">
            <w:r>
              <w:t>3.</w:t>
            </w:r>
            <w:r>
              <w:tab/>
              <w:t>Effektiv tilgang til oppdatert kart- og eiendomsinformasjon skal gi grunnlag for verdiska</w:t>
            </w:r>
            <w:r>
              <w:t>p</w:t>
            </w:r>
            <w:r>
              <w:t>ning og utvikling</w:t>
            </w:r>
          </w:p>
        </w:tc>
      </w:tr>
    </w:tbl>
    <w:p w:rsidR="00557A6F" w:rsidRDefault="00557A6F" w:rsidP="00557A6F">
      <w:pPr>
        <w:pStyle w:val="avsnitt-tittel"/>
      </w:pPr>
      <w:r>
        <w:t>Mål 1 Planlegging skal fremme bærekraftig samfunnsutvikling og arealbruk</w:t>
      </w:r>
    </w:p>
    <w:p w:rsidR="00557A6F" w:rsidRDefault="00557A6F" w:rsidP="00557A6F">
      <w:r>
        <w:t>Regjeringen vil fremme en bærekraftig og framtidsrettet samfunnsutvikling og arealforvaltning i hele landet. Det er et mål å oppnå forenkling, bedre planer og mer effektive planprosesser. Det skal legges stor vekt på lokalt selvstyre i samfunnsplanleggingen.</w:t>
      </w:r>
    </w:p>
    <w:p w:rsidR="00557A6F" w:rsidRDefault="00557A6F" w:rsidP="00557A6F">
      <w:pPr>
        <w:pStyle w:val="avsnitt-undertittel"/>
      </w:pPr>
      <w:r>
        <w:t>Rapport, strategier og tiltak</w:t>
      </w:r>
    </w:p>
    <w:p w:rsidR="00557A6F" w:rsidRDefault="00557A6F" w:rsidP="00557A6F">
      <w:r>
        <w:t>Planpolitiske føringer fra staten er et viktig grunnlag for den regionale og lokale planleggingen. Det følger av plan- og bygningsloven at regjeringen hvert fjerde år skal utarbeide nye nasjonale fo</w:t>
      </w:r>
      <w:r>
        <w:t>r</w:t>
      </w:r>
      <w:r>
        <w:t>ventninger til r</w:t>
      </w:r>
      <w:r>
        <w:t>e</w:t>
      </w:r>
      <w:r>
        <w:t>gional og kommunal planlegging. Regjeringen la i mai 2019 fram nye nasjonale forventninger for 2019–2023. Forventningene slår fast at planlegging er et viktig virkemiddel for å oppnå FNs bærekraftsmål. De slår også fast at bedre samhandling mellom plannivåene og mellom ulike myndigheter skal resultere i planer med mer relevante mål. Samfunnsdelen i kommuneplanen tar stilling til utfordringer og muligheter kommunene står overfor, og er et viktig verktøy for bær</w:t>
      </w:r>
      <w:r>
        <w:t>e</w:t>
      </w:r>
      <w:r>
        <w:t>kraftig planlegging. Den er et grunnlag for sekt</w:t>
      </w:r>
      <w:r>
        <w:t>o</w:t>
      </w:r>
      <w:r>
        <w:t xml:space="preserve">renes planer og for virksomhet i kommunen. </w:t>
      </w:r>
    </w:p>
    <w:p w:rsidR="00557A6F" w:rsidRDefault="00557A6F" w:rsidP="00557A6F">
      <w:r>
        <w:t xml:space="preserve">Regjeringen har utvidet gjeldende statlige planretningslinjer for klima- og energiplanlegging til også å omfatte klimatilpasning. De nye retningslinjene ble fastsatt i september 2018. NOU 2015: 16 </w:t>
      </w:r>
      <w:r>
        <w:rPr>
          <w:rStyle w:val="kursiv"/>
          <w:sz w:val="21"/>
          <w:szCs w:val="21"/>
        </w:rPr>
        <w:t>Overvann i byer og tettst</w:t>
      </w:r>
      <w:r>
        <w:rPr>
          <w:rStyle w:val="kursiv"/>
          <w:sz w:val="21"/>
          <w:szCs w:val="21"/>
        </w:rPr>
        <w:t>e</w:t>
      </w:r>
      <w:r>
        <w:rPr>
          <w:rStyle w:val="kursiv"/>
          <w:sz w:val="21"/>
          <w:szCs w:val="21"/>
        </w:rPr>
        <w:t>der – Som problem og ressurs</w:t>
      </w:r>
      <w:r>
        <w:t xml:space="preserve"> er fulgt opp gjennom Prop. 32 L (2018–2019) </w:t>
      </w:r>
      <w:r>
        <w:rPr>
          <w:rStyle w:val="kursiv"/>
          <w:sz w:val="21"/>
          <w:szCs w:val="21"/>
        </w:rPr>
        <w:t xml:space="preserve">Endringer i plan- og bygningsloven m.m. (håndtering av overvann i arealplanleggingen mv.) </w:t>
      </w:r>
      <w:r>
        <w:t>og Innst. 159 L (2018–2019). Endringene gir komm</w:t>
      </w:r>
      <w:r>
        <w:t>u</w:t>
      </w:r>
      <w:r>
        <w:t>nene bedre rammebetingelser for god håndtering av overvann i arealplanleggingen. Målene for overvannshåndt</w:t>
      </w:r>
      <w:r>
        <w:t>e</w:t>
      </w:r>
      <w:r>
        <w:t>ring er å forebygge skade på byggverk, helse og miljø, og å utnytte ove</w:t>
      </w:r>
      <w:r>
        <w:t>r</w:t>
      </w:r>
      <w:r>
        <w:t>vann som ressurs. En endring av plan- og bygningslovens § 3-1 første ledd bokstav g klargjør at klimahensyn skal tas gjennom reduksjon av klimagassu</w:t>
      </w:r>
      <w:r>
        <w:t>t</w:t>
      </w:r>
      <w:r>
        <w:t xml:space="preserve">slipp, og at tilpasning til forventede klimaendringer skal være en del av planleggingen. </w:t>
      </w:r>
    </w:p>
    <w:p w:rsidR="00557A6F" w:rsidRDefault="00557A6F" w:rsidP="00557A6F">
      <w:r>
        <w:t>Oppfølgingen av statlige planretningslinjer for samordnet bolig-, areal- og transportplanlegging skal bidra til helhet i planleggingen. Lokalisering av statlige virksomheter er en viktig del av op</w:t>
      </w:r>
      <w:r>
        <w:t>p</w:t>
      </w:r>
      <w:r>
        <w:t>følgingen.</w:t>
      </w:r>
    </w:p>
    <w:p w:rsidR="00557A6F" w:rsidRDefault="00557A6F" w:rsidP="00557A6F">
      <w:r>
        <w:t>Rundskriv H-5/18</w:t>
      </w:r>
      <w:r>
        <w:rPr>
          <w:rStyle w:val="kursiv"/>
          <w:sz w:val="21"/>
          <w:szCs w:val="21"/>
        </w:rPr>
        <w:t xml:space="preserve"> Samfunnssikkerhet i planlegging og byggesaksbehandling</w:t>
      </w:r>
      <w:r>
        <w:t xml:space="preserve"> ble gitt ut i oktober 2018. Det red</w:t>
      </w:r>
      <w:r>
        <w:t>e</w:t>
      </w:r>
      <w:r>
        <w:t>gjør for reglene i plan- og bygningsloven som ivaretar hensynet til samfunnssikkerhet, og gir en overordnet ove</w:t>
      </w:r>
      <w:r>
        <w:t>r</w:t>
      </w:r>
      <w:r>
        <w:t>sikt på området.</w:t>
      </w:r>
    </w:p>
    <w:p w:rsidR="00557A6F" w:rsidRDefault="00557A6F" w:rsidP="00557A6F">
      <w:r>
        <w:t>Regjeringen fortsetter arbeidet med å utrede lovendringer som skal bidra til mer effektive planpr</w:t>
      </w:r>
      <w:r>
        <w:t>o</w:t>
      </w:r>
      <w:r>
        <w:t>sesser. Lovendringer de siste årene har blant annet gitt muligheter for kommunen til å stoppe ure</w:t>
      </w:r>
      <w:r>
        <w:t>a</w:t>
      </w:r>
      <w:r>
        <w:t>listiske planfo</w:t>
      </w:r>
      <w:r>
        <w:t>r</w:t>
      </w:r>
      <w:r>
        <w:t>slag i oppstartsfasen, bruke oppstartsmøtet til å skape en omforent og forutsigbar planprosess og til å endre eksisterende reguleringsplaner uten å måtte gjennomføre full planb</w:t>
      </w:r>
      <w:r>
        <w:t>e</w:t>
      </w:r>
      <w:r>
        <w:t>handling. Departementet vil i løpet av høsten 2019 sende forslag til endringer i dispensasjonsb</w:t>
      </w:r>
      <w:r>
        <w:t>e</w:t>
      </w:r>
      <w:r>
        <w:t xml:space="preserve">stemmelsene i plan- og bygningsloven på høring. </w:t>
      </w:r>
    </w:p>
    <w:p w:rsidR="00557A6F" w:rsidRDefault="00557A6F" w:rsidP="00557A6F">
      <w:r>
        <w:t>Regjeringen legger stor vekt på lokaldemokratiet i plan- og byggesaker, samtidig som nasjonale og r</w:t>
      </w:r>
      <w:r>
        <w:t>e</w:t>
      </w:r>
      <w:r>
        <w:t>gionale hensyn skal ivaretas. Det vises også til omtale av planlegging som verktøy under kapittel 2, Hove</w:t>
      </w:r>
      <w:r>
        <w:t>d</w:t>
      </w:r>
      <w:r>
        <w:t>mål og prioriteringer, 2.2 Levende lokaldemokrati og 2.3 En enklere hverdag. Regjeringen forutsetter at statlige organer deltar aktivt og fo</w:t>
      </w:r>
      <w:r>
        <w:t>r</w:t>
      </w:r>
      <w:r>
        <w:t>pliktende i regionale planprosesser, og at de deltar som aktive partnere ved oppfølgingen av planene. Det skal vu</w:t>
      </w:r>
      <w:r>
        <w:t>r</w:t>
      </w:r>
      <w:r>
        <w:t>deres hvordan regional plan kan gi avklaringer for konseptvalgutredninger og planlegging av store statlige infrastrukturtiltak. B</w:t>
      </w:r>
      <w:r>
        <w:t>y</w:t>
      </w:r>
      <w:r>
        <w:t xml:space="preserve">vekstavtaler bidrar til regional samordning, se egen omtale under mål 2 og kap. 590, post 61. </w:t>
      </w:r>
    </w:p>
    <w:p w:rsidR="00557A6F" w:rsidRDefault="00557A6F" w:rsidP="00557A6F">
      <w:r>
        <w:t xml:space="preserve">Departementet har satt i gang et arbeid knyttet til fortetting, transformasjon og eiendomsdanning i byområder. Siktemålet er raskere planlegging og utbygging i komplekse utviklingsprosjekter. </w:t>
      </w:r>
    </w:p>
    <w:p w:rsidR="00557A6F" w:rsidRDefault="00557A6F" w:rsidP="00557A6F">
      <w:r>
        <w:t>Departementet har også satt i gang et arbeid for å se på hvordan planbehandlingen kan forenkles, gjennom utvi</w:t>
      </w:r>
      <w:r>
        <w:t>k</w:t>
      </w:r>
      <w:r>
        <w:t>ling av bedre samordningsregler mellom plan- og bygningsloven og sektorlover. Det skal sikre konsistente ve</w:t>
      </w:r>
      <w:r>
        <w:t>d</w:t>
      </w:r>
      <w:r>
        <w:t>tak, bidra til å unngå unødig dobbeltbehandling etter ulike lovverk og gi større my</w:t>
      </w:r>
      <w:r>
        <w:t>n</w:t>
      </w:r>
      <w:r>
        <w:t>dighet til kommunen.</w:t>
      </w:r>
    </w:p>
    <w:p w:rsidR="00557A6F" w:rsidRDefault="00557A6F" w:rsidP="00557A6F">
      <w:r>
        <w:t>Departementet vil videreføre arbeidet for bedre og mer samordnet planlegging av sjøområder og strandsonen i veiledning og regelverk. Rundskriv om planlegging i sjø ble utgitt i 2019. Depart</w:t>
      </w:r>
      <w:r>
        <w:t>e</w:t>
      </w:r>
      <w:r>
        <w:t>mentet vil utgi en veileder om planlegging i sjø, og ferdigstille revisjon av statlige planretningsli</w:t>
      </w:r>
      <w:r>
        <w:t>n</w:t>
      </w:r>
      <w:r>
        <w:t>jer for differensiert forvaltning av strandsonen langs sjøen. Departementet vil vurdere behovet for statlige planretningslinjer for kystnære sjøområder.</w:t>
      </w:r>
    </w:p>
    <w:p w:rsidR="00557A6F" w:rsidRDefault="00557A6F" w:rsidP="00557A6F">
      <w:r>
        <w:lastRenderedPageBreak/>
        <w:t>Departementet vil også videreføre arbeidet for bedre planlegging i fjell og utmark, blant annet gjennom en revidert veileder om planlegging av fritidsbebyggelse. Departementet vil vurdere b</w:t>
      </w:r>
      <w:r>
        <w:t>e</w:t>
      </w:r>
      <w:r>
        <w:t>hovet for statlige planretning</w:t>
      </w:r>
      <w:r>
        <w:t>s</w:t>
      </w:r>
      <w:r>
        <w:t>linjer for fjellområder med stort utbyggingspress.</w:t>
      </w:r>
    </w:p>
    <w:p w:rsidR="00557A6F" w:rsidRDefault="00557A6F" w:rsidP="00557A6F">
      <w:r>
        <w:t>Rask og effektiv behandling av statlige planer, innsigelsessaker og innvendinger til regionale pl</w:t>
      </w:r>
      <w:r>
        <w:t>a</w:t>
      </w:r>
      <w:r>
        <w:t>ner er viktige oppgaver med høy prioritet i departementet. Kommunal- og moderniseringsdepart</w:t>
      </w:r>
      <w:r>
        <w:t>e</w:t>
      </w:r>
      <w:r>
        <w:t>mentet har siden 2013 b</w:t>
      </w:r>
      <w:r>
        <w:t>e</w:t>
      </w:r>
      <w:r>
        <w:t>handlet 144 innsigelsessaker. Kommunen har fått medhold i 52 pst. av sakene og delvis medhold i 29 pst. av sakene. Innsigelsen har blitt tatt til følge i 19 pst. av sakene. Departementet behandler årlig en rekke klagesaker og omgjøringssaker, er part i rettssaker og b</w:t>
      </w:r>
      <w:r>
        <w:t>e</w:t>
      </w:r>
      <w:r>
        <w:t>svarer spørsmål om god pla</w:t>
      </w:r>
      <w:r>
        <w:t>n</w:t>
      </w:r>
      <w:r>
        <w:t>praksis og lovtolking. Det er et godt samarbeid med fylkesmennene om disse oppgavene.</w:t>
      </w:r>
    </w:p>
    <w:p w:rsidR="00557A6F" w:rsidRDefault="00557A6F" w:rsidP="00557A6F">
      <w:r>
        <w:t>Regjeringen har arbeidet med å tydeliggjøre terskelen for innsigelser. Departementet samordner styringssignaler på planområdet fra sentrale myndigheter, for eksempel til fylkesmannen. Fylke</w:t>
      </w:r>
      <w:r>
        <w:t>s</w:t>
      </w:r>
      <w:r>
        <w:t>mennenes samordning av statlige in</w:t>
      </w:r>
      <w:r>
        <w:t>n</w:t>
      </w:r>
      <w:r>
        <w:t>sigelser til kommunale planer ble innført som en permanent ordning fra 2018, og gjelder alle embeter fra 2019.</w:t>
      </w:r>
      <w:r>
        <w:rPr>
          <w:rStyle w:val="kursiv"/>
          <w:spacing w:val="-2"/>
          <w:sz w:val="21"/>
          <w:szCs w:val="21"/>
        </w:rPr>
        <w:t xml:space="preserve"> </w:t>
      </w:r>
      <w:r>
        <w:t>Dette har gjort planprosessene mer effektive. Andelen reguleringsplaner møtt med innsigelse har gått ned fra 35 pst. i 2013 til 26 pst. i 2018. For kommuneplaner var andelen 66 pst. i 2018 mot 60 pst. i 2013. Siden antallet regul</w:t>
      </w:r>
      <w:r>
        <w:t>e</w:t>
      </w:r>
      <w:r>
        <w:t>ringsplaner er langt høyere enn antallet kommuneplaner, har and</w:t>
      </w:r>
      <w:r>
        <w:t>e</w:t>
      </w:r>
      <w:r>
        <w:t>len planer møtt med innsigelser samlet sett gått ned i denne regjeringsperioden. I tillegg kommer innsigelsene nå tidligere og på et mer overordnet nivå. Departementet vil videreføre arbeidet med bedre innsige</w:t>
      </w:r>
      <w:r>
        <w:t>l</w:t>
      </w:r>
      <w:r>
        <w:t xml:space="preserve">sespraksis i tråd med anbefalingene i Dokument 3:7 (2018–2019) </w:t>
      </w:r>
      <w:r>
        <w:rPr>
          <w:rStyle w:val="kursiv"/>
          <w:spacing w:val="-2"/>
          <w:sz w:val="21"/>
          <w:szCs w:val="21"/>
        </w:rPr>
        <w:t>Riksrevisjonens undersøkelse om behandling av innsigelser i plansaker</w:t>
      </w:r>
      <w:r>
        <w:t>. Tiltak</w:t>
      </w:r>
      <w:r>
        <w:t>e</w:t>
      </w:r>
      <w:r>
        <w:t>ne vil danne grunnlag for bedre dialog mellom kommuner og innsigelsesmyndigheter i tidlig pla</w:t>
      </w:r>
      <w:r>
        <w:t>n</w:t>
      </w:r>
      <w:r>
        <w:t>fase, slik at omfanget av innsigelser til kommunale planer kan reduseres ytterligere.</w:t>
      </w:r>
    </w:p>
    <w:p w:rsidR="00557A6F" w:rsidRDefault="00557A6F" w:rsidP="00557A6F">
      <w:r>
        <w:t>For å bidra til effektiv gjennomføring av prosjekter av nasjonal betydning, som større samferdsel</w:t>
      </w:r>
      <w:r>
        <w:t>s</w:t>
      </w:r>
      <w:r>
        <w:t>prosjekter, har bruk av statlig plan økt. Konfliktnivået i disse sakene kan være høyt og man skal ha de samme medvirkningspr</w:t>
      </w:r>
      <w:r>
        <w:t>o</w:t>
      </w:r>
      <w:r>
        <w:t xml:space="preserve">sessene som for ordinære kommunale planer. Selv ved bruk av statlig plan vil derfor planleggingen kunne ta tid. </w:t>
      </w:r>
    </w:p>
    <w:p w:rsidR="00557A6F" w:rsidRDefault="00557A6F" w:rsidP="00557A6F">
      <w:r>
        <w:t>Departementet har lagt til rette for mer effektive og digitale planprosesser, gjennom en egen satsing de siste fire årene. En fulldigital byggesaksprosess, som blant annet forutsetter heldigitale area</w:t>
      </w:r>
      <w:r>
        <w:t>l</w:t>
      </w:r>
      <w:r>
        <w:t>planer, er en viktig del av forenklingsarbeidet. Heldigitale arealplaner vil bli enklere å forstå og bruke, og mer entydige. 3D-visualisering gir bedre kommunikasjon og medvirkning i planproses</w:t>
      </w:r>
      <w:r>
        <w:t>s</w:t>
      </w:r>
      <w:r>
        <w:t xml:space="preserve">ene, og bedre grunnlag for felles virkelighetsoppfatning hos alle berørte. </w:t>
      </w:r>
    </w:p>
    <w:p w:rsidR="00557A6F" w:rsidRDefault="00557A6F" w:rsidP="00557A6F">
      <w:r>
        <w:t>En aktiv jordvernpolitikk har gjort at omdisponeringen av dyrket jord har gått kraftig ned. Ko</w:t>
      </w:r>
      <w:r>
        <w:t>m</w:t>
      </w:r>
      <w:r>
        <w:t>munene har fulgt opp jordvernmålet på en effektiv måte i sin arealplanlegging. I 2018 ble det o</w:t>
      </w:r>
      <w:r>
        <w:t>m</w:t>
      </w:r>
      <w:r>
        <w:t>disponert 3 561 dekar dyrka jord (KOSTRA, SSB). Dette er godt innenfor jordvernmålet satt av Stortinget. Målet er under 4 000 dekar per år, og var forutsatt oppnådd innen 2020.</w:t>
      </w:r>
    </w:p>
    <w:p w:rsidR="00557A6F" w:rsidRDefault="00557A6F" w:rsidP="00557A6F">
      <w:r>
        <w:t>Innsatsen for å øke plankompetansen vil fortsette i 2020. Kunnskap om planlegging og byutvikling er viktig både for private og offentlige aktører, og vil gi bedre planer og mer effektive prosesser. Departementet følger opp dette ved blant annet å støtte forskning og ved å dele eksisterende kun</w:t>
      </w:r>
      <w:r>
        <w:t>n</w:t>
      </w:r>
      <w:r>
        <w:t>skap, jf. omtale under kap. 500, post 50 Forskningsprogrammer. I 2019 er det lyst ut 20 mill. kr</w:t>
      </w:r>
      <w:r>
        <w:t>o</w:t>
      </w:r>
      <w:r>
        <w:t>ner til samarbeidsprosjekter innen planforskning under Fors</w:t>
      </w:r>
      <w:r>
        <w:t>k</w:t>
      </w:r>
      <w:r>
        <w:t>ningsrådets program DEMOS. Det tas sikte på å lyse ut et nytt trinn i plansatsingen i 2020. Et delmål med fors</w:t>
      </w:r>
      <w:r>
        <w:t>k</w:t>
      </w:r>
      <w:r>
        <w:t>ningsinnsatsen er at den også skal bidra til å øke kapas</w:t>
      </w:r>
      <w:r>
        <w:t>i</w:t>
      </w:r>
      <w:r>
        <w:t xml:space="preserve">teten i offentlig planlegging. </w:t>
      </w:r>
    </w:p>
    <w:p w:rsidR="00557A6F" w:rsidRDefault="00557A6F" w:rsidP="00557A6F">
      <w:r>
        <w:t>Forum for utdanning i samfunnsplanlegging (FUS) har i 2018 og 2019 kartlagt omfanget av utda</w:t>
      </w:r>
      <w:r>
        <w:t>n</w:t>
      </w:r>
      <w:r>
        <w:t xml:space="preserve">ningstilbud knyttet til offentlig planlegging. Departementet har støttet opp om arbeidet. FUS vil utarbeide forslag til strategi for oppfølging av kartleggingen. </w:t>
      </w:r>
    </w:p>
    <w:p w:rsidR="00557A6F" w:rsidRDefault="00557A6F" w:rsidP="00557A6F">
      <w:r>
        <w:t>Departementet støtter opp under fylkenes opplæringstiltak rettet mot kommunene. Det er blant a</w:t>
      </w:r>
      <w:r>
        <w:t>n</w:t>
      </w:r>
      <w:r>
        <w:t>net gjennomført samlinger i nettverk for kommunal og regional planlegging. Det legges opp til å videreføre samarbeidet med KS om styrket kommunal og regional planlegging i 2020. Tilskudd til kompetansetiltak innen planlegging og kart og geodata gis over kap. 590, post 81 Kompetanseti</w:t>
      </w:r>
      <w:r>
        <w:t>l</w:t>
      </w:r>
      <w:r>
        <w:t xml:space="preserve">tak. Regjeringens nettside regjeringen.no er en sentral kanal for veiledning innen planlegging og by- og stedsutvikling. </w:t>
      </w:r>
    </w:p>
    <w:p w:rsidR="00557A6F" w:rsidRDefault="00557A6F" w:rsidP="00557A6F">
      <w:r>
        <w:t>I 2020 vil departementet fortsette arbeidet med å gjøre veiledning og informasjon om plandelen av plan- og bygningsloven lettere tilgjengelig på nettet, mer oppdatert og bedre samordnet. Depart</w:t>
      </w:r>
      <w:r>
        <w:t>e</w:t>
      </w:r>
      <w:r>
        <w:t>mentet tar derfor også sikte på å oppdatere veiledningen om blant annet kommuneplanens arealdel, spredt u</w:t>
      </w:r>
      <w:r>
        <w:t>t</w:t>
      </w:r>
      <w:r>
        <w:lastRenderedPageBreak/>
        <w:t>bygging i landbruks-, natur-, frilufts- og reindriftsområder og om ivaretakelse av barn og unges interesser i planleggingen. Departementet vil også arbeide for å styrke arkitekturkompeta</w:t>
      </w:r>
      <w:r>
        <w:t>n</w:t>
      </w:r>
      <w:r>
        <w:t>sen i kommunene.</w:t>
      </w:r>
    </w:p>
    <w:p w:rsidR="00557A6F" w:rsidRDefault="00557A6F" w:rsidP="00557A6F">
      <w:r>
        <w:t>Departementet vil fortsette arbeidet med å tilrettelegge og veilede om relevant statistikk og geodata om arealbruk i form av såkalte arealprofiler for kommunene. Det kan gi økt kunnskap og være en praktisk kunnskapskilde i planleggingen.</w:t>
      </w:r>
    </w:p>
    <w:p w:rsidR="00557A6F" w:rsidRDefault="00557A6F" w:rsidP="00557A6F">
      <w:pPr>
        <w:pStyle w:val="avsnitt-tittel"/>
      </w:pPr>
      <w:r>
        <w:t>Mål 2 Byer, byregioner og tettsteder skal være attraktive og bærekraftige</w:t>
      </w:r>
    </w:p>
    <w:p w:rsidR="00557A6F" w:rsidRDefault="00557A6F" w:rsidP="00557A6F">
      <w:r>
        <w:t>Regjeringen vil bidra til å utvikle attraktive, levende og inkluderende byer og tettsteder som fre</w:t>
      </w:r>
      <w:r>
        <w:t>m</w:t>
      </w:r>
      <w:r>
        <w:t>mer livskvalitet og verdiskaping. Det er behov for å sikre god byutvikling, spesielt ved kollekti</w:t>
      </w:r>
      <w:r>
        <w:t>v</w:t>
      </w:r>
      <w:r>
        <w:t>knutepunkt, og gode kollektivløsninger i og rundt byene. Store og små byer må utvikles med kv</w:t>
      </w:r>
      <w:r>
        <w:t>a</w:t>
      </w:r>
      <w:r>
        <w:t>liteter i byrom og ut</w:t>
      </w:r>
      <w:r>
        <w:t>e</w:t>
      </w:r>
      <w:r>
        <w:t>arealer som fremmer attraktive bymiljø og folkehelse. Samtidig skal det sikres et rikt og variert handels- og tjenestetilbud og grunnlag for flere arbeidsplasser og konkurrans</w:t>
      </w:r>
      <w:r>
        <w:t>e</w:t>
      </w:r>
      <w:r>
        <w:t xml:space="preserve">kraft. Målet er i tråd med FNs bærekraftsmål 11 om å gjøre byer og bosettinger inkluderende, trygge, robuste og bærekraftige, jf. del III Omtale av særlige temaer. </w:t>
      </w:r>
    </w:p>
    <w:p w:rsidR="00557A6F" w:rsidRDefault="00557A6F" w:rsidP="00557A6F">
      <w:pPr>
        <w:pStyle w:val="avsnitt-undertittel"/>
      </w:pPr>
      <w:r>
        <w:t>Rapport, strategier og tiltak</w:t>
      </w:r>
    </w:p>
    <w:p w:rsidR="00557A6F" w:rsidRDefault="00557A6F" w:rsidP="00557A6F">
      <w:r>
        <w:t>Det skal legges til rette for god utforming av bygde omgivelser, gode bomiljøer og gode oppvekst- og levekår i alle deler av landet. De statlige planretningslinjene for samordnet bolig-, areal- og transportplanlegging, samt gjeldende nasjonale forventninger til regional og kommunal planle</w:t>
      </w:r>
      <w:r>
        <w:t>g</w:t>
      </w:r>
      <w:r>
        <w:t>ging, tydeliggjør ko</w:t>
      </w:r>
      <w:r>
        <w:t>m</w:t>
      </w:r>
      <w:r>
        <w:t xml:space="preserve">munenes og fylkeskommunenes ansvar på feltet. </w:t>
      </w:r>
    </w:p>
    <w:p w:rsidR="00557A6F" w:rsidRDefault="00557A6F" w:rsidP="00557A6F">
      <w:r>
        <w:t>Det er et mål at veksten i persontransporten i byområdene skal tas med kollektivtransport, sykling og gange, jf. Nasjonal transportplan 2018–2029. Byvekstavtalene er et virkemiddel for å nå dette målet. Byvekstavtalene skal også bidra til mer effektiv arealbruk og mer attraktive by- og tet</w:t>
      </w:r>
      <w:r>
        <w:t>t</w:t>
      </w:r>
      <w:r>
        <w:t>stedssentre. Samfer</w:t>
      </w:r>
      <w:r>
        <w:t>d</w:t>
      </w:r>
      <w:r>
        <w:t>selsdepartementet har det overordnede ansvaret fra statens side, jf. Prop. 1 S (2019–2020) for Samferdselsdepartementet. Kommunal- og moderniseringsdepartementet har a</w:t>
      </w:r>
      <w:r>
        <w:t>n</w:t>
      </w:r>
      <w:r>
        <w:t>svaret for det som gjelder area</w:t>
      </w:r>
      <w:r>
        <w:t>l</w:t>
      </w:r>
      <w:r>
        <w:t>bruk. Arealdelen av avtalene skal sikre en effektiv og forutsigbar oppfølging av regionale og interkommunale areal- og transportplaner. Avtalene skal medføre fo</w:t>
      </w:r>
      <w:r>
        <w:t>r</w:t>
      </w:r>
      <w:r>
        <w:t>pliktende samarbeid om utvikling av kollektivknutepunkter, samtidig som by- og bokvaliteten iv</w:t>
      </w:r>
      <w:r>
        <w:t>a</w:t>
      </w:r>
      <w:r>
        <w:t>retas. Det er viktig at staten følger opp sin lokalis</w:t>
      </w:r>
      <w:r>
        <w:t>e</w:t>
      </w:r>
      <w:r>
        <w:t xml:space="preserve">ringspolitikk aktivt og tydelig i storbyområdene hvor den inngår byvekstavtaler. </w:t>
      </w:r>
    </w:p>
    <w:p w:rsidR="00557A6F" w:rsidRDefault="00557A6F" w:rsidP="00557A6F">
      <w:r>
        <w:t>Våren 2018 ble det startet opp forhandlinger om byvekstavtaler med Oslo og Akershus og Tron</w:t>
      </w:r>
      <w:r>
        <w:t>d</w:t>
      </w:r>
      <w:r>
        <w:t>heimsområdet. Byvekstavtale for Trondheimsområdet ble inngått 25. juni 2019. Avtaleutkast for Oslo og Akershus ble signert av forhandlingspartene 26. juni 2019. Utkastet er nå til lokalpolitisk behandling før det skal behandles av regj</w:t>
      </w:r>
      <w:r>
        <w:t>e</w:t>
      </w:r>
      <w:r>
        <w:t>ringen. Våren 2018 ble det også startet opp reforhandling av tidligere inngåtte byvekstavtaler for Bergen og Nord-Jæren. Eventuelle reforhandlede avtaler vil erstatte inngåtte avtaler som har gyldighet fram til 2023. Kommunal- og moderniseringsdepart</w:t>
      </w:r>
      <w:r>
        <w:t>e</w:t>
      </w:r>
      <w:r>
        <w:t>mentet har en tilskuddsordning som bygger opp under arbeidet med areal i b</w:t>
      </w:r>
      <w:r>
        <w:t>y</w:t>
      </w:r>
      <w:r>
        <w:t xml:space="preserve">vekstavtalene, jf. kap. 590, post 61 Byvekstavtaler. </w:t>
      </w:r>
    </w:p>
    <w:p w:rsidR="00557A6F" w:rsidRDefault="00557A6F" w:rsidP="00557A6F">
      <w:r>
        <w:t>Staten bidrar til områdesatsinger i enkelte områder i storbyene med særskilte levekårsutfordringer. Strategien for områdesatsingene følges opp i nært samarbeid med kommunene.</w:t>
      </w:r>
      <w:r>
        <w:rPr>
          <w:rStyle w:val="halvfet0"/>
          <w:sz w:val="21"/>
          <w:szCs w:val="21"/>
        </w:rPr>
        <w:t xml:space="preserve"> </w:t>
      </w:r>
      <w:r>
        <w:t>Det er inngått sa</w:t>
      </w:r>
      <w:r>
        <w:t>m</w:t>
      </w:r>
      <w:r>
        <w:t>arbeid om områdesa</w:t>
      </w:r>
      <w:r>
        <w:t>t</w:t>
      </w:r>
      <w:r>
        <w:t>sing/områdeløft i Oslo for områdene Groruddalen, Oslo indre øst og Oslo sør, og for Drammen, Bergen, Sta</w:t>
      </w:r>
      <w:r>
        <w:t>v</w:t>
      </w:r>
      <w:r>
        <w:t xml:space="preserve">anger og Trondheim. </w:t>
      </w:r>
    </w:p>
    <w:p w:rsidR="00557A6F" w:rsidRDefault="00557A6F" w:rsidP="00557A6F">
      <w:r>
        <w:t xml:space="preserve">Områdesatsingene skal forbedre tjenester og nærmiljøkvaliteter der behovene er </w:t>
      </w:r>
      <w:proofErr w:type="gramStart"/>
      <w:r>
        <w:t>størst</w:t>
      </w:r>
      <w:proofErr w:type="gramEnd"/>
      <w:r>
        <w:t>, slik at flere blir økonomisk selvstendige og aktivt deltakende i lokalsamfunn og storsamfunn. Områdesatsin</w:t>
      </w:r>
      <w:r>
        <w:t>g</w:t>
      </w:r>
      <w:r>
        <w:t>ene bidrar til å utvikle nye arbeidsformer og metoder for oppgaveløsning. Dette gir viktig erf</w:t>
      </w:r>
      <w:r>
        <w:t>a</w:t>
      </w:r>
      <w:r>
        <w:t>ringsoverføring mellom sektorene og forval</w:t>
      </w:r>
      <w:r>
        <w:t>t</w:t>
      </w:r>
      <w:r>
        <w:t>ningsnivåene.</w:t>
      </w:r>
    </w:p>
    <w:p w:rsidR="009017E2" w:rsidRDefault="009017E2" w:rsidP="009017E2">
      <w:pPr>
        <w:pStyle w:val="tabell-tittel"/>
      </w:pPr>
      <w:r>
        <w:t>Områdesatsinger – forslag til bevilgninger i 2020</w:t>
      </w:r>
    </w:p>
    <w:p w:rsidR="00557A6F" w:rsidRDefault="00557A6F" w:rsidP="00557A6F">
      <w:pPr>
        <w:pStyle w:val="Tabellnavn"/>
      </w:pPr>
      <w:r>
        <w:t>09J2xt2</w:t>
      </w:r>
    </w:p>
    <w:tbl>
      <w:tblPr>
        <w:tblStyle w:val="StandardTabell"/>
        <w:tblW w:w="9120" w:type="dxa"/>
        <w:tblLayout w:type="fixed"/>
        <w:tblLook w:val="04A0" w:firstRow="1" w:lastRow="0" w:firstColumn="1" w:lastColumn="0" w:noHBand="0" w:noVBand="1"/>
      </w:tblPr>
      <w:tblGrid>
        <w:gridCol w:w="1668"/>
        <w:gridCol w:w="931"/>
        <w:gridCol w:w="932"/>
        <w:gridCol w:w="931"/>
        <w:gridCol w:w="932"/>
        <w:gridCol w:w="931"/>
        <w:gridCol w:w="932"/>
        <w:gridCol w:w="931"/>
        <w:gridCol w:w="932"/>
      </w:tblGrid>
      <w:tr w:rsidR="00557A6F" w:rsidTr="009017E2">
        <w:trPr>
          <w:trHeight w:val="360"/>
        </w:trPr>
        <w:tc>
          <w:tcPr>
            <w:tcW w:w="1668" w:type="dxa"/>
            <w:shd w:val="clear" w:color="auto" w:fill="FFFFFF"/>
          </w:tcPr>
          <w:p w:rsidR="00557A6F" w:rsidRDefault="00557A6F" w:rsidP="009017E2">
            <w:r>
              <w:t>Område</w:t>
            </w:r>
          </w:p>
        </w:tc>
        <w:tc>
          <w:tcPr>
            <w:tcW w:w="931" w:type="dxa"/>
          </w:tcPr>
          <w:p w:rsidR="00557A6F" w:rsidRDefault="00557A6F" w:rsidP="009017E2">
            <w:pPr>
              <w:jc w:val="right"/>
            </w:pPr>
            <w:r>
              <w:t>KMD</w:t>
            </w:r>
          </w:p>
        </w:tc>
        <w:tc>
          <w:tcPr>
            <w:tcW w:w="932" w:type="dxa"/>
          </w:tcPr>
          <w:p w:rsidR="00557A6F" w:rsidRDefault="00557A6F" w:rsidP="009017E2">
            <w:pPr>
              <w:jc w:val="right"/>
            </w:pPr>
            <w:r>
              <w:t>ASD</w:t>
            </w:r>
          </w:p>
        </w:tc>
        <w:tc>
          <w:tcPr>
            <w:tcW w:w="931" w:type="dxa"/>
          </w:tcPr>
          <w:p w:rsidR="00557A6F" w:rsidRDefault="00557A6F" w:rsidP="009017E2">
            <w:pPr>
              <w:jc w:val="right"/>
            </w:pPr>
            <w:r>
              <w:t>HOD</w:t>
            </w:r>
          </w:p>
        </w:tc>
        <w:tc>
          <w:tcPr>
            <w:tcW w:w="932" w:type="dxa"/>
          </w:tcPr>
          <w:p w:rsidR="00557A6F" w:rsidRDefault="00557A6F" w:rsidP="009017E2">
            <w:pPr>
              <w:jc w:val="right"/>
            </w:pPr>
            <w:r>
              <w:t>JD</w:t>
            </w:r>
          </w:p>
        </w:tc>
        <w:tc>
          <w:tcPr>
            <w:tcW w:w="931" w:type="dxa"/>
          </w:tcPr>
          <w:p w:rsidR="00557A6F" w:rsidRDefault="00557A6F" w:rsidP="009017E2">
            <w:pPr>
              <w:jc w:val="right"/>
            </w:pPr>
            <w:r>
              <w:t>KD</w:t>
            </w:r>
          </w:p>
        </w:tc>
        <w:tc>
          <w:tcPr>
            <w:tcW w:w="932" w:type="dxa"/>
          </w:tcPr>
          <w:p w:rsidR="00557A6F" w:rsidRDefault="00557A6F" w:rsidP="009017E2">
            <w:pPr>
              <w:jc w:val="right"/>
            </w:pPr>
            <w:r>
              <w:t>KLD</w:t>
            </w:r>
          </w:p>
        </w:tc>
        <w:tc>
          <w:tcPr>
            <w:tcW w:w="931" w:type="dxa"/>
          </w:tcPr>
          <w:p w:rsidR="00557A6F" w:rsidRDefault="00557A6F" w:rsidP="009017E2">
            <w:pPr>
              <w:jc w:val="right"/>
            </w:pPr>
            <w:r>
              <w:t>KUD</w:t>
            </w:r>
          </w:p>
        </w:tc>
        <w:tc>
          <w:tcPr>
            <w:tcW w:w="932" w:type="dxa"/>
          </w:tcPr>
          <w:p w:rsidR="00557A6F" w:rsidRDefault="00557A6F" w:rsidP="009017E2">
            <w:pPr>
              <w:jc w:val="right"/>
            </w:pPr>
            <w:r>
              <w:t>SUM</w:t>
            </w:r>
          </w:p>
        </w:tc>
      </w:tr>
      <w:tr w:rsidR="00557A6F" w:rsidTr="009017E2">
        <w:trPr>
          <w:trHeight w:val="1900"/>
        </w:trPr>
        <w:tc>
          <w:tcPr>
            <w:tcW w:w="1668" w:type="dxa"/>
          </w:tcPr>
          <w:p w:rsidR="00557A6F" w:rsidRDefault="00557A6F" w:rsidP="009017E2"/>
        </w:tc>
        <w:tc>
          <w:tcPr>
            <w:tcW w:w="931" w:type="dxa"/>
          </w:tcPr>
          <w:p w:rsidR="00557A6F" w:rsidRDefault="00557A6F" w:rsidP="009017E2">
            <w:pPr>
              <w:jc w:val="right"/>
            </w:pPr>
            <w:r>
              <w:t>Bomi</w:t>
            </w:r>
            <w:r>
              <w:t>l</w:t>
            </w:r>
            <w:r>
              <w:t>jøtiltak og o</w:t>
            </w:r>
            <w:r>
              <w:t>m</w:t>
            </w:r>
            <w:r>
              <w:t>rådeu</w:t>
            </w:r>
            <w:r>
              <w:t>t</w:t>
            </w:r>
            <w:r>
              <w:t>vikling</w:t>
            </w:r>
          </w:p>
        </w:tc>
        <w:tc>
          <w:tcPr>
            <w:tcW w:w="932" w:type="dxa"/>
          </w:tcPr>
          <w:p w:rsidR="00557A6F" w:rsidRDefault="00557A6F" w:rsidP="009017E2">
            <w:pPr>
              <w:jc w:val="right"/>
            </w:pPr>
            <w:r>
              <w:t>Kval</w:t>
            </w:r>
            <w:r>
              <w:t>i</w:t>
            </w:r>
            <w:r>
              <w:t xml:space="preserve">fisering til </w:t>
            </w:r>
            <w:r>
              <w:br/>
              <w:t>a</w:t>
            </w:r>
            <w:r>
              <w:t>r</w:t>
            </w:r>
            <w:r>
              <w:t xml:space="preserve">beid, </w:t>
            </w:r>
            <w:r>
              <w:br/>
              <w:t>sos</w:t>
            </w:r>
            <w:r>
              <w:t>i</w:t>
            </w:r>
            <w:r>
              <w:t xml:space="preserve">ale </w:t>
            </w:r>
            <w:r>
              <w:br/>
              <w:t>tjene</w:t>
            </w:r>
            <w:r>
              <w:t>s</w:t>
            </w:r>
            <w:r>
              <w:t xml:space="preserve">ter, </w:t>
            </w:r>
            <w:r>
              <w:br/>
              <w:t>sosialt entr</w:t>
            </w:r>
            <w:r>
              <w:t>e</w:t>
            </w:r>
            <w:r>
              <w:t>pr</w:t>
            </w:r>
            <w:r>
              <w:t>e</w:t>
            </w:r>
            <w:r>
              <w:t>nørskap</w:t>
            </w:r>
          </w:p>
        </w:tc>
        <w:tc>
          <w:tcPr>
            <w:tcW w:w="931" w:type="dxa"/>
          </w:tcPr>
          <w:p w:rsidR="00557A6F" w:rsidRDefault="00557A6F" w:rsidP="009017E2">
            <w:pPr>
              <w:jc w:val="right"/>
            </w:pPr>
            <w:r>
              <w:t xml:space="preserve">     For</w:t>
            </w:r>
            <w:r>
              <w:t>e</w:t>
            </w:r>
            <w:r>
              <w:t>by</w:t>
            </w:r>
            <w:r>
              <w:t>g</w:t>
            </w:r>
            <w:r>
              <w:t>gende, hels</w:t>
            </w:r>
            <w:r>
              <w:t>e</w:t>
            </w:r>
            <w:r>
              <w:t>fre</w:t>
            </w:r>
            <w:r>
              <w:t>m</w:t>
            </w:r>
            <w:r>
              <w:t>mende tjene</w:t>
            </w:r>
            <w:r>
              <w:t>s</w:t>
            </w:r>
            <w:r>
              <w:t xml:space="preserve">ter </w:t>
            </w:r>
            <w:r>
              <w:br/>
              <w:t>og næ</w:t>
            </w:r>
            <w:r>
              <w:t>r</w:t>
            </w:r>
            <w:r>
              <w:t>milj</w:t>
            </w:r>
            <w:r>
              <w:t>ø</w:t>
            </w:r>
            <w:r>
              <w:t>tiltak</w:t>
            </w:r>
          </w:p>
        </w:tc>
        <w:tc>
          <w:tcPr>
            <w:tcW w:w="932" w:type="dxa"/>
          </w:tcPr>
          <w:p w:rsidR="00557A6F" w:rsidRDefault="00557A6F" w:rsidP="009017E2">
            <w:pPr>
              <w:jc w:val="right"/>
            </w:pPr>
            <w:r>
              <w:t>Krim</w:t>
            </w:r>
            <w:r>
              <w:t>i</w:t>
            </w:r>
            <w:r>
              <w:t>nal</w:t>
            </w:r>
            <w:r>
              <w:t>i</w:t>
            </w:r>
            <w:r>
              <w:t>tetsf</w:t>
            </w:r>
            <w:r>
              <w:t>o</w:t>
            </w:r>
            <w:r>
              <w:t>reby</w:t>
            </w:r>
            <w:r>
              <w:t>g</w:t>
            </w:r>
            <w:r>
              <w:t>ging</w:t>
            </w:r>
          </w:p>
        </w:tc>
        <w:tc>
          <w:tcPr>
            <w:tcW w:w="931" w:type="dxa"/>
          </w:tcPr>
          <w:p w:rsidR="00557A6F" w:rsidRDefault="00557A6F" w:rsidP="009017E2">
            <w:pPr>
              <w:jc w:val="right"/>
            </w:pPr>
            <w:r>
              <w:t xml:space="preserve">Tidlig </w:t>
            </w:r>
            <w:r>
              <w:br/>
              <w:t>in</w:t>
            </w:r>
            <w:r>
              <w:t>n</w:t>
            </w:r>
            <w:r>
              <w:t>sats i ba</w:t>
            </w:r>
            <w:r>
              <w:t>r</w:t>
            </w:r>
            <w:r>
              <w:t>nehage og sk</w:t>
            </w:r>
            <w:r>
              <w:t>o</w:t>
            </w:r>
            <w:r>
              <w:t>le og integr</w:t>
            </w:r>
            <w:r>
              <w:t>e</w:t>
            </w:r>
            <w:r>
              <w:t>ring</w:t>
            </w:r>
            <w:r>
              <w:t>s</w:t>
            </w:r>
            <w:r>
              <w:t>fre</w:t>
            </w:r>
            <w:r>
              <w:t>m</w:t>
            </w:r>
            <w:r>
              <w:t>mende tiltak</w:t>
            </w:r>
          </w:p>
        </w:tc>
        <w:tc>
          <w:tcPr>
            <w:tcW w:w="932" w:type="dxa"/>
          </w:tcPr>
          <w:p w:rsidR="00557A6F" w:rsidRDefault="00557A6F" w:rsidP="009017E2">
            <w:pPr>
              <w:jc w:val="right"/>
            </w:pPr>
            <w:r>
              <w:t>Bl</w:t>
            </w:r>
            <w:r>
              <w:t>å</w:t>
            </w:r>
            <w:r>
              <w:t>grønn infr</w:t>
            </w:r>
            <w:r>
              <w:t>a</w:t>
            </w:r>
            <w:r>
              <w:t>struktur</w:t>
            </w:r>
          </w:p>
        </w:tc>
        <w:tc>
          <w:tcPr>
            <w:tcW w:w="931" w:type="dxa"/>
          </w:tcPr>
          <w:p w:rsidR="00557A6F" w:rsidRDefault="00557A6F" w:rsidP="009017E2">
            <w:pPr>
              <w:jc w:val="right"/>
            </w:pPr>
            <w:r>
              <w:t>Frivi</w:t>
            </w:r>
            <w:r>
              <w:t>l</w:t>
            </w:r>
            <w:r>
              <w:t>lighet, kunst og ku</w:t>
            </w:r>
            <w:r>
              <w:t>l</w:t>
            </w:r>
            <w:r>
              <w:t>tur mv.</w:t>
            </w:r>
          </w:p>
        </w:tc>
        <w:tc>
          <w:tcPr>
            <w:tcW w:w="932" w:type="dxa"/>
          </w:tcPr>
          <w:p w:rsidR="00557A6F" w:rsidRDefault="00557A6F" w:rsidP="009017E2">
            <w:pPr>
              <w:jc w:val="right"/>
            </w:pPr>
          </w:p>
        </w:tc>
      </w:tr>
      <w:tr w:rsidR="00557A6F" w:rsidTr="009017E2">
        <w:trPr>
          <w:trHeight w:val="640"/>
        </w:trPr>
        <w:tc>
          <w:tcPr>
            <w:tcW w:w="1668" w:type="dxa"/>
          </w:tcPr>
          <w:p w:rsidR="00557A6F" w:rsidRDefault="00557A6F" w:rsidP="009017E2">
            <w:r>
              <w:t>Groruddalen i Oslo</w:t>
            </w:r>
          </w:p>
        </w:tc>
        <w:tc>
          <w:tcPr>
            <w:tcW w:w="931" w:type="dxa"/>
          </w:tcPr>
          <w:p w:rsidR="00557A6F" w:rsidRDefault="00557A6F" w:rsidP="009017E2">
            <w:pPr>
              <w:jc w:val="right"/>
            </w:pPr>
            <w:r>
              <w:t>15 674</w:t>
            </w:r>
          </w:p>
        </w:tc>
        <w:tc>
          <w:tcPr>
            <w:tcW w:w="932" w:type="dxa"/>
          </w:tcPr>
          <w:p w:rsidR="00557A6F" w:rsidRDefault="00557A6F" w:rsidP="009017E2">
            <w:pPr>
              <w:jc w:val="right"/>
            </w:pPr>
            <w:r>
              <w:t>5 000</w:t>
            </w:r>
          </w:p>
        </w:tc>
        <w:tc>
          <w:tcPr>
            <w:tcW w:w="931" w:type="dxa"/>
          </w:tcPr>
          <w:p w:rsidR="00557A6F" w:rsidRDefault="00557A6F" w:rsidP="009017E2">
            <w:pPr>
              <w:jc w:val="right"/>
            </w:pPr>
            <w:r>
              <w:t>4 500</w:t>
            </w:r>
          </w:p>
        </w:tc>
        <w:tc>
          <w:tcPr>
            <w:tcW w:w="932" w:type="dxa"/>
          </w:tcPr>
          <w:p w:rsidR="00557A6F" w:rsidRDefault="00557A6F" w:rsidP="009017E2">
            <w:pPr>
              <w:jc w:val="right"/>
            </w:pPr>
          </w:p>
        </w:tc>
        <w:tc>
          <w:tcPr>
            <w:tcW w:w="931" w:type="dxa"/>
          </w:tcPr>
          <w:p w:rsidR="00557A6F" w:rsidRDefault="00557A6F" w:rsidP="009017E2">
            <w:pPr>
              <w:jc w:val="right"/>
            </w:pPr>
            <w:r>
              <w:t>12 840</w:t>
            </w:r>
          </w:p>
        </w:tc>
        <w:tc>
          <w:tcPr>
            <w:tcW w:w="932" w:type="dxa"/>
          </w:tcPr>
          <w:p w:rsidR="00557A6F" w:rsidRDefault="00557A6F" w:rsidP="009017E2">
            <w:pPr>
              <w:jc w:val="right"/>
            </w:pPr>
          </w:p>
        </w:tc>
        <w:tc>
          <w:tcPr>
            <w:tcW w:w="931" w:type="dxa"/>
          </w:tcPr>
          <w:p w:rsidR="00557A6F" w:rsidRDefault="00557A6F" w:rsidP="009017E2">
            <w:pPr>
              <w:jc w:val="right"/>
            </w:pPr>
            <w:r>
              <w:t>5 000</w:t>
            </w:r>
          </w:p>
        </w:tc>
        <w:tc>
          <w:tcPr>
            <w:tcW w:w="932" w:type="dxa"/>
          </w:tcPr>
          <w:p w:rsidR="00557A6F" w:rsidRDefault="00557A6F" w:rsidP="009017E2">
            <w:pPr>
              <w:jc w:val="right"/>
            </w:pPr>
            <w:r>
              <w:t>43 014</w:t>
            </w:r>
          </w:p>
        </w:tc>
      </w:tr>
      <w:tr w:rsidR="00557A6F" w:rsidTr="009017E2">
        <w:trPr>
          <w:trHeight w:val="380"/>
        </w:trPr>
        <w:tc>
          <w:tcPr>
            <w:tcW w:w="1668" w:type="dxa"/>
          </w:tcPr>
          <w:p w:rsidR="00557A6F" w:rsidRDefault="00557A6F" w:rsidP="009017E2">
            <w:r>
              <w:t>Oslo indre øst</w:t>
            </w:r>
          </w:p>
        </w:tc>
        <w:tc>
          <w:tcPr>
            <w:tcW w:w="931" w:type="dxa"/>
          </w:tcPr>
          <w:p w:rsidR="00557A6F" w:rsidRDefault="00557A6F" w:rsidP="009017E2">
            <w:pPr>
              <w:jc w:val="right"/>
            </w:pPr>
            <w:r>
              <w:t>10 000</w:t>
            </w:r>
          </w:p>
        </w:tc>
        <w:tc>
          <w:tcPr>
            <w:tcW w:w="932" w:type="dxa"/>
          </w:tcPr>
          <w:p w:rsidR="00557A6F" w:rsidRDefault="00557A6F" w:rsidP="009017E2">
            <w:pPr>
              <w:jc w:val="right"/>
            </w:pPr>
            <w:r>
              <w:t>4 000</w:t>
            </w:r>
          </w:p>
        </w:tc>
        <w:tc>
          <w:tcPr>
            <w:tcW w:w="931" w:type="dxa"/>
          </w:tcPr>
          <w:p w:rsidR="00557A6F" w:rsidRDefault="00557A6F" w:rsidP="009017E2">
            <w:pPr>
              <w:jc w:val="right"/>
            </w:pPr>
            <w:r>
              <w:t>4 400</w:t>
            </w:r>
          </w:p>
        </w:tc>
        <w:tc>
          <w:tcPr>
            <w:tcW w:w="932" w:type="dxa"/>
          </w:tcPr>
          <w:p w:rsidR="00557A6F" w:rsidRDefault="00557A6F" w:rsidP="009017E2">
            <w:pPr>
              <w:jc w:val="right"/>
            </w:pPr>
          </w:p>
        </w:tc>
        <w:tc>
          <w:tcPr>
            <w:tcW w:w="931" w:type="dxa"/>
          </w:tcPr>
          <w:p w:rsidR="00557A6F" w:rsidRDefault="00557A6F" w:rsidP="009017E2">
            <w:pPr>
              <w:jc w:val="right"/>
            </w:pPr>
            <w:r>
              <w:t>17 850</w:t>
            </w:r>
          </w:p>
        </w:tc>
        <w:tc>
          <w:tcPr>
            <w:tcW w:w="932" w:type="dxa"/>
          </w:tcPr>
          <w:p w:rsidR="00557A6F" w:rsidRDefault="00557A6F" w:rsidP="009017E2">
            <w:pPr>
              <w:jc w:val="right"/>
            </w:pPr>
          </w:p>
        </w:tc>
        <w:tc>
          <w:tcPr>
            <w:tcW w:w="931" w:type="dxa"/>
          </w:tcPr>
          <w:p w:rsidR="00557A6F" w:rsidRDefault="00557A6F" w:rsidP="009017E2">
            <w:pPr>
              <w:jc w:val="right"/>
            </w:pPr>
          </w:p>
        </w:tc>
        <w:tc>
          <w:tcPr>
            <w:tcW w:w="932" w:type="dxa"/>
          </w:tcPr>
          <w:p w:rsidR="00557A6F" w:rsidRDefault="00557A6F" w:rsidP="009017E2">
            <w:pPr>
              <w:jc w:val="right"/>
            </w:pPr>
            <w:r>
              <w:t>36 250</w:t>
            </w:r>
          </w:p>
        </w:tc>
      </w:tr>
      <w:tr w:rsidR="00557A6F" w:rsidTr="009017E2">
        <w:trPr>
          <w:trHeight w:val="380"/>
        </w:trPr>
        <w:tc>
          <w:tcPr>
            <w:tcW w:w="1668" w:type="dxa"/>
          </w:tcPr>
          <w:p w:rsidR="00557A6F" w:rsidRDefault="00557A6F" w:rsidP="009017E2">
            <w:r>
              <w:t>Oslo sør</w:t>
            </w:r>
          </w:p>
        </w:tc>
        <w:tc>
          <w:tcPr>
            <w:tcW w:w="931" w:type="dxa"/>
          </w:tcPr>
          <w:p w:rsidR="00557A6F" w:rsidRDefault="00557A6F" w:rsidP="009017E2">
            <w:pPr>
              <w:jc w:val="right"/>
            </w:pPr>
            <w:r>
              <w:t>17 500</w:t>
            </w:r>
          </w:p>
        </w:tc>
        <w:tc>
          <w:tcPr>
            <w:tcW w:w="932" w:type="dxa"/>
          </w:tcPr>
          <w:p w:rsidR="00557A6F" w:rsidRDefault="00557A6F" w:rsidP="009017E2">
            <w:pPr>
              <w:jc w:val="right"/>
            </w:pPr>
            <w:r>
              <w:t>1 000</w:t>
            </w:r>
          </w:p>
        </w:tc>
        <w:tc>
          <w:tcPr>
            <w:tcW w:w="931" w:type="dxa"/>
          </w:tcPr>
          <w:p w:rsidR="00557A6F" w:rsidRDefault="00557A6F" w:rsidP="009017E2">
            <w:pPr>
              <w:jc w:val="right"/>
            </w:pPr>
          </w:p>
        </w:tc>
        <w:tc>
          <w:tcPr>
            <w:tcW w:w="932" w:type="dxa"/>
          </w:tcPr>
          <w:p w:rsidR="00557A6F" w:rsidRDefault="00557A6F" w:rsidP="009017E2">
            <w:pPr>
              <w:jc w:val="right"/>
            </w:pPr>
          </w:p>
        </w:tc>
        <w:tc>
          <w:tcPr>
            <w:tcW w:w="931" w:type="dxa"/>
          </w:tcPr>
          <w:p w:rsidR="00557A6F" w:rsidRDefault="00557A6F" w:rsidP="009017E2">
            <w:pPr>
              <w:jc w:val="right"/>
            </w:pPr>
            <w:r>
              <w:t>15 500</w:t>
            </w:r>
          </w:p>
        </w:tc>
        <w:tc>
          <w:tcPr>
            <w:tcW w:w="932" w:type="dxa"/>
          </w:tcPr>
          <w:p w:rsidR="00557A6F" w:rsidRDefault="00557A6F" w:rsidP="009017E2">
            <w:pPr>
              <w:jc w:val="right"/>
            </w:pPr>
          </w:p>
        </w:tc>
        <w:tc>
          <w:tcPr>
            <w:tcW w:w="931" w:type="dxa"/>
          </w:tcPr>
          <w:p w:rsidR="00557A6F" w:rsidRDefault="00557A6F" w:rsidP="009017E2">
            <w:pPr>
              <w:jc w:val="right"/>
            </w:pPr>
          </w:p>
        </w:tc>
        <w:tc>
          <w:tcPr>
            <w:tcW w:w="932" w:type="dxa"/>
          </w:tcPr>
          <w:p w:rsidR="00557A6F" w:rsidRDefault="00557A6F" w:rsidP="009017E2">
            <w:pPr>
              <w:jc w:val="right"/>
            </w:pPr>
            <w:r>
              <w:t>34 000</w:t>
            </w:r>
          </w:p>
        </w:tc>
      </w:tr>
      <w:tr w:rsidR="00557A6F" w:rsidTr="009017E2">
        <w:trPr>
          <w:trHeight w:val="640"/>
        </w:trPr>
        <w:tc>
          <w:tcPr>
            <w:tcW w:w="1668" w:type="dxa"/>
          </w:tcPr>
          <w:p w:rsidR="00557A6F" w:rsidRDefault="00557A6F" w:rsidP="009017E2">
            <w:r>
              <w:t>Øremerket Oslo</w:t>
            </w:r>
          </w:p>
        </w:tc>
        <w:tc>
          <w:tcPr>
            <w:tcW w:w="931" w:type="dxa"/>
          </w:tcPr>
          <w:p w:rsidR="00557A6F" w:rsidRDefault="00557A6F" w:rsidP="009017E2">
            <w:pPr>
              <w:jc w:val="right"/>
            </w:pPr>
            <w:r>
              <w:t xml:space="preserve">9 400 </w:t>
            </w:r>
          </w:p>
        </w:tc>
        <w:tc>
          <w:tcPr>
            <w:tcW w:w="932" w:type="dxa"/>
          </w:tcPr>
          <w:p w:rsidR="00557A6F" w:rsidRDefault="00557A6F" w:rsidP="009017E2">
            <w:pPr>
              <w:jc w:val="right"/>
            </w:pPr>
          </w:p>
        </w:tc>
        <w:tc>
          <w:tcPr>
            <w:tcW w:w="931" w:type="dxa"/>
          </w:tcPr>
          <w:p w:rsidR="00557A6F" w:rsidRDefault="00557A6F" w:rsidP="009017E2">
            <w:pPr>
              <w:jc w:val="right"/>
            </w:pPr>
          </w:p>
        </w:tc>
        <w:tc>
          <w:tcPr>
            <w:tcW w:w="932" w:type="dxa"/>
          </w:tcPr>
          <w:p w:rsidR="00557A6F" w:rsidRDefault="00557A6F" w:rsidP="009017E2">
            <w:pPr>
              <w:jc w:val="right"/>
            </w:pPr>
            <w:r>
              <w:t>37 000</w:t>
            </w:r>
          </w:p>
        </w:tc>
        <w:tc>
          <w:tcPr>
            <w:tcW w:w="931" w:type="dxa"/>
          </w:tcPr>
          <w:p w:rsidR="00557A6F" w:rsidRDefault="00557A6F" w:rsidP="009017E2">
            <w:pPr>
              <w:jc w:val="right"/>
            </w:pPr>
          </w:p>
        </w:tc>
        <w:tc>
          <w:tcPr>
            <w:tcW w:w="932" w:type="dxa"/>
          </w:tcPr>
          <w:p w:rsidR="00557A6F" w:rsidRDefault="00557A6F" w:rsidP="009017E2">
            <w:pPr>
              <w:jc w:val="right"/>
            </w:pPr>
            <w:r>
              <w:t>5 000</w:t>
            </w:r>
          </w:p>
        </w:tc>
        <w:tc>
          <w:tcPr>
            <w:tcW w:w="931" w:type="dxa"/>
          </w:tcPr>
          <w:p w:rsidR="00557A6F" w:rsidRDefault="00557A6F" w:rsidP="009017E2">
            <w:pPr>
              <w:jc w:val="right"/>
            </w:pPr>
          </w:p>
        </w:tc>
        <w:tc>
          <w:tcPr>
            <w:tcW w:w="932" w:type="dxa"/>
          </w:tcPr>
          <w:p w:rsidR="00557A6F" w:rsidRDefault="00557A6F" w:rsidP="009017E2">
            <w:pPr>
              <w:jc w:val="right"/>
            </w:pPr>
            <w:r>
              <w:t>51 400</w:t>
            </w:r>
          </w:p>
        </w:tc>
      </w:tr>
      <w:tr w:rsidR="00557A6F" w:rsidTr="009017E2">
        <w:trPr>
          <w:trHeight w:val="640"/>
        </w:trPr>
        <w:tc>
          <w:tcPr>
            <w:tcW w:w="1668" w:type="dxa"/>
          </w:tcPr>
          <w:p w:rsidR="00557A6F" w:rsidRDefault="00557A6F" w:rsidP="009017E2">
            <w:r>
              <w:t xml:space="preserve">Fjell i </w:t>
            </w:r>
            <w:r>
              <w:br/>
              <w:t>Drammen</w:t>
            </w:r>
          </w:p>
        </w:tc>
        <w:tc>
          <w:tcPr>
            <w:tcW w:w="931" w:type="dxa"/>
          </w:tcPr>
          <w:p w:rsidR="00557A6F" w:rsidRDefault="00557A6F" w:rsidP="009017E2">
            <w:pPr>
              <w:jc w:val="right"/>
            </w:pPr>
            <w:r>
              <w:t>10 600</w:t>
            </w:r>
          </w:p>
        </w:tc>
        <w:tc>
          <w:tcPr>
            <w:tcW w:w="932" w:type="dxa"/>
          </w:tcPr>
          <w:p w:rsidR="00557A6F" w:rsidRDefault="00557A6F" w:rsidP="009017E2">
            <w:pPr>
              <w:jc w:val="right"/>
            </w:pPr>
          </w:p>
        </w:tc>
        <w:tc>
          <w:tcPr>
            <w:tcW w:w="931" w:type="dxa"/>
          </w:tcPr>
          <w:p w:rsidR="00557A6F" w:rsidRDefault="00557A6F" w:rsidP="009017E2">
            <w:pPr>
              <w:jc w:val="right"/>
            </w:pPr>
          </w:p>
        </w:tc>
        <w:tc>
          <w:tcPr>
            <w:tcW w:w="932" w:type="dxa"/>
          </w:tcPr>
          <w:p w:rsidR="00557A6F" w:rsidRDefault="00557A6F" w:rsidP="009017E2">
            <w:pPr>
              <w:jc w:val="right"/>
            </w:pPr>
          </w:p>
        </w:tc>
        <w:tc>
          <w:tcPr>
            <w:tcW w:w="931" w:type="dxa"/>
          </w:tcPr>
          <w:p w:rsidR="00557A6F" w:rsidRDefault="00557A6F" w:rsidP="009017E2">
            <w:pPr>
              <w:jc w:val="right"/>
            </w:pPr>
            <w:r>
              <w:t>1 000</w:t>
            </w:r>
          </w:p>
        </w:tc>
        <w:tc>
          <w:tcPr>
            <w:tcW w:w="932" w:type="dxa"/>
          </w:tcPr>
          <w:p w:rsidR="00557A6F" w:rsidRDefault="00557A6F" w:rsidP="009017E2">
            <w:pPr>
              <w:jc w:val="right"/>
            </w:pPr>
          </w:p>
        </w:tc>
        <w:tc>
          <w:tcPr>
            <w:tcW w:w="931" w:type="dxa"/>
          </w:tcPr>
          <w:p w:rsidR="00557A6F" w:rsidRDefault="00557A6F" w:rsidP="009017E2">
            <w:pPr>
              <w:jc w:val="right"/>
            </w:pPr>
          </w:p>
        </w:tc>
        <w:tc>
          <w:tcPr>
            <w:tcW w:w="932" w:type="dxa"/>
          </w:tcPr>
          <w:p w:rsidR="00557A6F" w:rsidRDefault="00557A6F" w:rsidP="009017E2">
            <w:pPr>
              <w:jc w:val="right"/>
            </w:pPr>
            <w:r>
              <w:t>11 600</w:t>
            </w:r>
          </w:p>
        </w:tc>
      </w:tr>
      <w:tr w:rsidR="00557A6F" w:rsidTr="009017E2">
        <w:trPr>
          <w:trHeight w:val="640"/>
        </w:trPr>
        <w:tc>
          <w:tcPr>
            <w:tcW w:w="1668" w:type="dxa"/>
          </w:tcPr>
          <w:p w:rsidR="00557A6F" w:rsidRDefault="00557A6F" w:rsidP="009017E2">
            <w:r>
              <w:t xml:space="preserve">Storhaug </w:t>
            </w:r>
            <w:r>
              <w:br/>
              <w:t>i Stavanger</w:t>
            </w:r>
          </w:p>
        </w:tc>
        <w:tc>
          <w:tcPr>
            <w:tcW w:w="931" w:type="dxa"/>
          </w:tcPr>
          <w:p w:rsidR="00557A6F" w:rsidRDefault="00557A6F" w:rsidP="009017E2">
            <w:pPr>
              <w:jc w:val="right"/>
            </w:pPr>
            <w:r>
              <w:t>6 000</w:t>
            </w:r>
          </w:p>
        </w:tc>
        <w:tc>
          <w:tcPr>
            <w:tcW w:w="932" w:type="dxa"/>
          </w:tcPr>
          <w:p w:rsidR="00557A6F" w:rsidRDefault="00557A6F" w:rsidP="009017E2">
            <w:pPr>
              <w:jc w:val="right"/>
            </w:pPr>
            <w:r>
              <w:t>3 000</w:t>
            </w:r>
          </w:p>
        </w:tc>
        <w:tc>
          <w:tcPr>
            <w:tcW w:w="931" w:type="dxa"/>
          </w:tcPr>
          <w:p w:rsidR="00557A6F" w:rsidRDefault="00557A6F" w:rsidP="009017E2">
            <w:pPr>
              <w:jc w:val="right"/>
            </w:pPr>
            <w:r>
              <w:t>4 000</w:t>
            </w:r>
          </w:p>
        </w:tc>
        <w:tc>
          <w:tcPr>
            <w:tcW w:w="932" w:type="dxa"/>
          </w:tcPr>
          <w:p w:rsidR="00557A6F" w:rsidRDefault="00557A6F" w:rsidP="009017E2">
            <w:pPr>
              <w:jc w:val="right"/>
            </w:pPr>
          </w:p>
        </w:tc>
        <w:tc>
          <w:tcPr>
            <w:tcW w:w="931" w:type="dxa"/>
          </w:tcPr>
          <w:p w:rsidR="00557A6F" w:rsidRDefault="00557A6F" w:rsidP="009017E2">
            <w:pPr>
              <w:jc w:val="right"/>
            </w:pPr>
          </w:p>
        </w:tc>
        <w:tc>
          <w:tcPr>
            <w:tcW w:w="932" w:type="dxa"/>
          </w:tcPr>
          <w:p w:rsidR="00557A6F" w:rsidRDefault="00557A6F" w:rsidP="009017E2">
            <w:pPr>
              <w:jc w:val="right"/>
            </w:pPr>
          </w:p>
        </w:tc>
        <w:tc>
          <w:tcPr>
            <w:tcW w:w="931" w:type="dxa"/>
          </w:tcPr>
          <w:p w:rsidR="00557A6F" w:rsidRDefault="00557A6F" w:rsidP="009017E2">
            <w:pPr>
              <w:jc w:val="right"/>
            </w:pPr>
          </w:p>
        </w:tc>
        <w:tc>
          <w:tcPr>
            <w:tcW w:w="932" w:type="dxa"/>
          </w:tcPr>
          <w:p w:rsidR="00557A6F" w:rsidRDefault="00557A6F" w:rsidP="009017E2">
            <w:pPr>
              <w:jc w:val="right"/>
            </w:pPr>
            <w:r>
              <w:t>13 000</w:t>
            </w:r>
          </w:p>
        </w:tc>
      </w:tr>
      <w:tr w:rsidR="00557A6F" w:rsidTr="009017E2">
        <w:trPr>
          <w:trHeight w:val="380"/>
        </w:trPr>
        <w:tc>
          <w:tcPr>
            <w:tcW w:w="1668" w:type="dxa"/>
          </w:tcPr>
          <w:p w:rsidR="00557A6F" w:rsidRDefault="00557A6F" w:rsidP="009017E2">
            <w:r>
              <w:t>Bergen</w:t>
            </w:r>
          </w:p>
        </w:tc>
        <w:tc>
          <w:tcPr>
            <w:tcW w:w="931" w:type="dxa"/>
          </w:tcPr>
          <w:p w:rsidR="00557A6F" w:rsidRDefault="00557A6F" w:rsidP="009017E2">
            <w:pPr>
              <w:jc w:val="right"/>
            </w:pPr>
            <w:r>
              <w:t>12 700</w:t>
            </w:r>
          </w:p>
        </w:tc>
        <w:tc>
          <w:tcPr>
            <w:tcW w:w="932" w:type="dxa"/>
          </w:tcPr>
          <w:p w:rsidR="00557A6F" w:rsidRDefault="00557A6F" w:rsidP="009017E2">
            <w:pPr>
              <w:jc w:val="right"/>
            </w:pPr>
          </w:p>
        </w:tc>
        <w:tc>
          <w:tcPr>
            <w:tcW w:w="931" w:type="dxa"/>
          </w:tcPr>
          <w:p w:rsidR="00557A6F" w:rsidRDefault="00557A6F" w:rsidP="009017E2">
            <w:pPr>
              <w:jc w:val="right"/>
            </w:pPr>
          </w:p>
        </w:tc>
        <w:tc>
          <w:tcPr>
            <w:tcW w:w="932" w:type="dxa"/>
          </w:tcPr>
          <w:p w:rsidR="00557A6F" w:rsidRDefault="00557A6F" w:rsidP="009017E2">
            <w:pPr>
              <w:jc w:val="right"/>
            </w:pPr>
          </w:p>
        </w:tc>
        <w:tc>
          <w:tcPr>
            <w:tcW w:w="931" w:type="dxa"/>
          </w:tcPr>
          <w:p w:rsidR="00557A6F" w:rsidRDefault="00557A6F" w:rsidP="009017E2">
            <w:pPr>
              <w:jc w:val="right"/>
            </w:pPr>
          </w:p>
        </w:tc>
        <w:tc>
          <w:tcPr>
            <w:tcW w:w="932" w:type="dxa"/>
          </w:tcPr>
          <w:p w:rsidR="00557A6F" w:rsidRDefault="00557A6F" w:rsidP="009017E2">
            <w:pPr>
              <w:jc w:val="right"/>
            </w:pPr>
          </w:p>
        </w:tc>
        <w:tc>
          <w:tcPr>
            <w:tcW w:w="931" w:type="dxa"/>
          </w:tcPr>
          <w:p w:rsidR="00557A6F" w:rsidRDefault="00557A6F" w:rsidP="009017E2">
            <w:pPr>
              <w:jc w:val="right"/>
            </w:pPr>
          </w:p>
        </w:tc>
        <w:tc>
          <w:tcPr>
            <w:tcW w:w="932" w:type="dxa"/>
          </w:tcPr>
          <w:p w:rsidR="00557A6F" w:rsidRDefault="00557A6F" w:rsidP="009017E2">
            <w:pPr>
              <w:jc w:val="right"/>
            </w:pPr>
            <w:r>
              <w:t>12 700</w:t>
            </w:r>
          </w:p>
        </w:tc>
      </w:tr>
      <w:tr w:rsidR="00557A6F" w:rsidTr="009017E2">
        <w:trPr>
          <w:trHeight w:val="380"/>
        </w:trPr>
        <w:tc>
          <w:tcPr>
            <w:tcW w:w="1668" w:type="dxa"/>
          </w:tcPr>
          <w:p w:rsidR="00557A6F" w:rsidRDefault="00557A6F" w:rsidP="009017E2">
            <w:r>
              <w:t>Trondheim</w:t>
            </w:r>
          </w:p>
        </w:tc>
        <w:tc>
          <w:tcPr>
            <w:tcW w:w="931" w:type="dxa"/>
          </w:tcPr>
          <w:p w:rsidR="00557A6F" w:rsidRDefault="00557A6F" w:rsidP="009017E2">
            <w:pPr>
              <w:jc w:val="right"/>
            </w:pPr>
            <w:r>
              <w:t>3 100</w:t>
            </w:r>
          </w:p>
        </w:tc>
        <w:tc>
          <w:tcPr>
            <w:tcW w:w="932" w:type="dxa"/>
          </w:tcPr>
          <w:p w:rsidR="00557A6F" w:rsidRDefault="00557A6F" w:rsidP="009017E2">
            <w:pPr>
              <w:jc w:val="right"/>
            </w:pPr>
          </w:p>
        </w:tc>
        <w:tc>
          <w:tcPr>
            <w:tcW w:w="931" w:type="dxa"/>
          </w:tcPr>
          <w:p w:rsidR="00557A6F" w:rsidRDefault="00557A6F" w:rsidP="009017E2">
            <w:pPr>
              <w:jc w:val="right"/>
            </w:pPr>
          </w:p>
        </w:tc>
        <w:tc>
          <w:tcPr>
            <w:tcW w:w="932" w:type="dxa"/>
          </w:tcPr>
          <w:p w:rsidR="00557A6F" w:rsidRDefault="00557A6F" w:rsidP="009017E2">
            <w:pPr>
              <w:jc w:val="right"/>
            </w:pPr>
          </w:p>
        </w:tc>
        <w:tc>
          <w:tcPr>
            <w:tcW w:w="931" w:type="dxa"/>
          </w:tcPr>
          <w:p w:rsidR="00557A6F" w:rsidRDefault="00557A6F" w:rsidP="009017E2">
            <w:pPr>
              <w:jc w:val="right"/>
            </w:pPr>
          </w:p>
        </w:tc>
        <w:tc>
          <w:tcPr>
            <w:tcW w:w="932" w:type="dxa"/>
          </w:tcPr>
          <w:p w:rsidR="00557A6F" w:rsidRDefault="00557A6F" w:rsidP="009017E2">
            <w:pPr>
              <w:jc w:val="right"/>
            </w:pPr>
          </w:p>
        </w:tc>
        <w:tc>
          <w:tcPr>
            <w:tcW w:w="931" w:type="dxa"/>
          </w:tcPr>
          <w:p w:rsidR="00557A6F" w:rsidRDefault="00557A6F" w:rsidP="009017E2">
            <w:pPr>
              <w:jc w:val="right"/>
            </w:pPr>
          </w:p>
        </w:tc>
        <w:tc>
          <w:tcPr>
            <w:tcW w:w="932" w:type="dxa"/>
          </w:tcPr>
          <w:p w:rsidR="00557A6F" w:rsidRDefault="00557A6F" w:rsidP="009017E2">
            <w:pPr>
              <w:jc w:val="right"/>
            </w:pPr>
            <w:r>
              <w:t>3 100</w:t>
            </w:r>
          </w:p>
        </w:tc>
      </w:tr>
      <w:tr w:rsidR="00557A6F" w:rsidTr="009017E2">
        <w:trPr>
          <w:trHeight w:val="640"/>
        </w:trPr>
        <w:tc>
          <w:tcPr>
            <w:tcW w:w="1668" w:type="dxa"/>
          </w:tcPr>
          <w:p w:rsidR="00557A6F" w:rsidRDefault="00557A6F" w:rsidP="009017E2">
            <w:r>
              <w:t>Fordeles etter søknad</w:t>
            </w:r>
          </w:p>
        </w:tc>
        <w:tc>
          <w:tcPr>
            <w:tcW w:w="931" w:type="dxa"/>
          </w:tcPr>
          <w:p w:rsidR="00557A6F" w:rsidRDefault="00557A6F" w:rsidP="009017E2">
            <w:pPr>
              <w:jc w:val="right"/>
            </w:pPr>
          </w:p>
        </w:tc>
        <w:tc>
          <w:tcPr>
            <w:tcW w:w="932" w:type="dxa"/>
          </w:tcPr>
          <w:p w:rsidR="00557A6F" w:rsidRDefault="00557A6F" w:rsidP="009017E2">
            <w:pPr>
              <w:jc w:val="right"/>
            </w:pPr>
          </w:p>
        </w:tc>
        <w:tc>
          <w:tcPr>
            <w:tcW w:w="931" w:type="dxa"/>
          </w:tcPr>
          <w:p w:rsidR="00557A6F" w:rsidRDefault="00557A6F" w:rsidP="009017E2">
            <w:pPr>
              <w:jc w:val="right"/>
            </w:pPr>
          </w:p>
        </w:tc>
        <w:tc>
          <w:tcPr>
            <w:tcW w:w="932" w:type="dxa"/>
          </w:tcPr>
          <w:p w:rsidR="00557A6F" w:rsidRDefault="00557A6F" w:rsidP="009017E2">
            <w:pPr>
              <w:jc w:val="right"/>
            </w:pPr>
          </w:p>
        </w:tc>
        <w:tc>
          <w:tcPr>
            <w:tcW w:w="931" w:type="dxa"/>
          </w:tcPr>
          <w:p w:rsidR="00557A6F" w:rsidRDefault="00557A6F" w:rsidP="009017E2">
            <w:pPr>
              <w:jc w:val="right"/>
            </w:pPr>
            <w:r>
              <w:t>10 000</w:t>
            </w:r>
          </w:p>
        </w:tc>
        <w:tc>
          <w:tcPr>
            <w:tcW w:w="932" w:type="dxa"/>
          </w:tcPr>
          <w:p w:rsidR="00557A6F" w:rsidRDefault="00557A6F" w:rsidP="009017E2">
            <w:pPr>
              <w:jc w:val="right"/>
            </w:pPr>
          </w:p>
        </w:tc>
        <w:tc>
          <w:tcPr>
            <w:tcW w:w="931" w:type="dxa"/>
          </w:tcPr>
          <w:p w:rsidR="00557A6F" w:rsidRDefault="00557A6F" w:rsidP="009017E2">
            <w:pPr>
              <w:jc w:val="right"/>
            </w:pPr>
          </w:p>
        </w:tc>
        <w:tc>
          <w:tcPr>
            <w:tcW w:w="932" w:type="dxa"/>
          </w:tcPr>
          <w:p w:rsidR="00557A6F" w:rsidRDefault="00557A6F" w:rsidP="009017E2">
            <w:pPr>
              <w:jc w:val="right"/>
            </w:pPr>
            <w:r>
              <w:t>10 000</w:t>
            </w:r>
          </w:p>
        </w:tc>
      </w:tr>
      <w:tr w:rsidR="00557A6F" w:rsidTr="009017E2">
        <w:trPr>
          <w:trHeight w:val="380"/>
        </w:trPr>
        <w:tc>
          <w:tcPr>
            <w:tcW w:w="1668" w:type="dxa"/>
          </w:tcPr>
          <w:p w:rsidR="00557A6F" w:rsidRDefault="00557A6F" w:rsidP="009017E2">
            <w:r>
              <w:t>SUM</w:t>
            </w:r>
          </w:p>
        </w:tc>
        <w:tc>
          <w:tcPr>
            <w:tcW w:w="931" w:type="dxa"/>
          </w:tcPr>
          <w:p w:rsidR="00557A6F" w:rsidRDefault="00557A6F" w:rsidP="009017E2">
            <w:pPr>
              <w:jc w:val="right"/>
            </w:pPr>
            <w:r>
              <w:t>84 974</w:t>
            </w:r>
          </w:p>
        </w:tc>
        <w:tc>
          <w:tcPr>
            <w:tcW w:w="932" w:type="dxa"/>
          </w:tcPr>
          <w:p w:rsidR="00557A6F" w:rsidRDefault="00557A6F" w:rsidP="009017E2">
            <w:pPr>
              <w:jc w:val="right"/>
            </w:pPr>
            <w:r>
              <w:t>13 000</w:t>
            </w:r>
          </w:p>
        </w:tc>
        <w:tc>
          <w:tcPr>
            <w:tcW w:w="931" w:type="dxa"/>
          </w:tcPr>
          <w:p w:rsidR="00557A6F" w:rsidRDefault="00557A6F" w:rsidP="009017E2">
            <w:pPr>
              <w:jc w:val="right"/>
            </w:pPr>
            <w:r>
              <w:t>12 900</w:t>
            </w:r>
          </w:p>
        </w:tc>
        <w:tc>
          <w:tcPr>
            <w:tcW w:w="932" w:type="dxa"/>
          </w:tcPr>
          <w:p w:rsidR="00557A6F" w:rsidRDefault="00557A6F" w:rsidP="009017E2">
            <w:pPr>
              <w:jc w:val="right"/>
            </w:pPr>
            <w:r>
              <w:t>37 000</w:t>
            </w:r>
          </w:p>
        </w:tc>
        <w:tc>
          <w:tcPr>
            <w:tcW w:w="931" w:type="dxa"/>
          </w:tcPr>
          <w:p w:rsidR="00557A6F" w:rsidRDefault="00557A6F" w:rsidP="009017E2">
            <w:pPr>
              <w:jc w:val="right"/>
            </w:pPr>
            <w:r>
              <w:t>57 190</w:t>
            </w:r>
          </w:p>
        </w:tc>
        <w:tc>
          <w:tcPr>
            <w:tcW w:w="932" w:type="dxa"/>
          </w:tcPr>
          <w:p w:rsidR="00557A6F" w:rsidRDefault="00557A6F" w:rsidP="009017E2">
            <w:pPr>
              <w:jc w:val="right"/>
            </w:pPr>
            <w:r>
              <w:t>5 000</w:t>
            </w:r>
          </w:p>
        </w:tc>
        <w:tc>
          <w:tcPr>
            <w:tcW w:w="931" w:type="dxa"/>
          </w:tcPr>
          <w:p w:rsidR="00557A6F" w:rsidRDefault="00557A6F" w:rsidP="009017E2">
            <w:pPr>
              <w:jc w:val="right"/>
            </w:pPr>
            <w:r>
              <w:t>5 000</w:t>
            </w:r>
          </w:p>
        </w:tc>
        <w:tc>
          <w:tcPr>
            <w:tcW w:w="932" w:type="dxa"/>
          </w:tcPr>
          <w:p w:rsidR="00557A6F" w:rsidRDefault="00557A6F" w:rsidP="009017E2">
            <w:pPr>
              <w:jc w:val="right"/>
            </w:pPr>
            <w:r>
              <w:t>215 064</w:t>
            </w:r>
            <w:r>
              <w:rPr>
                <w:rStyle w:val="skrift-hevet"/>
                <w:sz w:val="21"/>
                <w:szCs w:val="21"/>
              </w:rPr>
              <w:t>1</w:t>
            </w:r>
          </w:p>
        </w:tc>
      </w:tr>
    </w:tbl>
    <w:p w:rsidR="00557A6F" w:rsidRDefault="00557A6F" w:rsidP="00557A6F">
      <w:pPr>
        <w:pStyle w:val="tabell-noter"/>
      </w:pPr>
      <w:r>
        <w:rPr>
          <w:rStyle w:val="skrift-hevet"/>
          <w:spacing w:val="-2"/>
          <w:sz w:val="17"/>
          <w:szCs w:val="17"/>
        </w:rPr>
        <w:t>1</w:t>
      </w:r>
      <w:r>
        <w:tab/>
        <w:t>I tillegg er det øremerket 2,5 mill. kroner i spillemidler til områdesatsingen i Oslo indre Øst som ikke bevilges over statsbudsjettet.</w:t>
      </w:r>
    </w:p>
    <w:p w:rsidR="00557A6F" w:rsidRDefault="00557A6F" w:rsidP="00557A6F">
      <w:r>
        <w:t>Totalt foreslås det å bevilge 215,1 mill. kroner over syv departementers budsjetter til områdesa</w:t>
      </w:r>
      <w:r>
        <w:t>t</w:t>
      </w:r>
      <w:r>
        <w:t xml:space="preserve">singer i 2020. Dette er om lag samme nivå som i 2019. </w:t>
      </w:r>
    </w:p>
    <w:p w:rsidR="00557A6F" w:rsidRDefault="00557A6F" w:rsidP="00557A6F">
      <w:r>
        <w:t>Satsing på tidlig innsats i barnehage og skole og integreringsfremmende tiltak over Kunnskapsd</w:t>
      </w:r>
      <w:r>
        <w:t>e</w:t>
      </w:r>
      <w:r>
        <w:t>partementets budsjett foreslås økt med 9 mill. kroner i Oslo og 1 mill. kroner i Fjell i Drammen. Et fireårig forsøk med gratis deltidsplass i skolefritidsordningen ved utvalgte skoler i Oslo, Drammen, Stavanger og Trondheim avsluttes i juni 2020, slik at bevilgningen til forsøket reduseres fra 20 mill. kroner til 10 mill. kroner i 2020. Samtidig foreslås det 58 mill. kroner for å innføre in</w:t>
      </w:r>
      <w:r>
        <w:t>n</w:t>
      </w:r>
      <w:r>
        <w:t>tektsgradert foreldrebetaling i SFO for hele landet fra høsten 2020. Dette vil kunne komme familier med lav inntekt i bydelene med områdesatsing til gode, men regnes ikke med i områd</w:t>
      </w:r>
      <w:r>
        <w:t>e</w:t>
      </w:r>
      <w:r>
        <w:t xml:space="preserve">satsingene siden det er en landsomfattende ordning. </w:t>
      </w:r>
    </w:p>
    <w:p w:rsidR="00557A6F" w:rsidRDefault="00557A6F" w:rsidP="00557A6F">
      <w:r>
        <w:t>Kunnskapsdepartementet avslutter også ekstrabevilgningen på 9 mill. kroner i 2019 for å styrke rekrutteringen til barnehager i utsatte byområder. Dette er søkbare midler som vil kunne omfatte bykommuner med områdesatsing, men midlene regnes da ikke med i summen til områdesatsing</w:t>
      </w:r>
      <w:r>
        <w:t>e</w:t>
      </w:r>
      <w:r>
        <w:t xml:space="preserve">ne. </w:t>
      </w:r>
    </w:p>
    <w:p w:rsidR="00557A6F" w:rsidRDefault="00557A6F" w:rsidP="00557A6F">
      <w:r>
        <w:t>Over Klima- og miljødepartementets budsjett foreslås bevilgningen til blågrønn infrastruktur i Oslo økt med 3 mill. kroner. Over Kommunal- og moderniseringsdepartementets budsjett øker bevil</w:t>
      </w:r>
      <w:r>
        <w:t>g</w:t>
      </w:r>
      <w:r>
        <w:t xml:space="preserve">ningen til bomiljøtiltak og områdeutvikling i Bergen kommune med 2 mill. kroner. </w:t>
      </w:r>
    </w:p>
    <w:p w:rsidR="00557A6F" w:rsidRDefault="00557A6F" w:rsidP="00557A6F">
      <w:r>
        <w:lastRenderedPageBreak/>
        <w:t>I tillegg til områdesatsingene foreslås det også midler til disse temaene over flere departementers budsjetter. E</w:t>
      </w:r>
      <w:r>
        <w:t>k</w:t>
      </w:r>
      <w:r>
        <w:t>sempler er den nasjonale ordningen med gratis kjernetid i barnehager for familier med lav inntekt, arbeid med barne- og ungdomstiltak i større bysamfunn, nasjonal tilskuddsordning mot barnefattigdom, støtte til oppfølgings- og losfunksjoner til ungdom og jobbsjansen for hje</w:t>
      </w:r>
      <w:r>
        <w:t>m</w:t>
      </w:r>
      <w:r>
        <w:t>meværende kvinner. I tillegg gis det blant annet tilskudd til utvikling av sosiale tjenester i NAV-kontoret, mentor- og traineeordninger og støtte til frivillige organisasjoner og sosiale entr</w:t>
      </w:r>
      <w:r>
        <w:t>e</w:t>
      </w:r>
      <w:r>
        <w:t xml:space="preserve">prenører. </w:t>
      </w:r>
    </w:p>
    <w:p w:rsidR="00557A6F" w:rsidRDefault="00557A6F" w:rsidP="00557A6F">
      <w:r>
        <w:t>Kommunal- og moderniseringsdepartementet utredet i 2018 i samarbeid med berørte departementer hvordan staten best kan legge til rette for effektiv innsats i byområder med særlig store utfordrin</w:t>
      </w:r>
      <w:r>
        <w:t>g</w:t>
      </w:r>
      <w:r>
        <w:t>er. Regjeringen besluttet i 2019 at dagens avtalebaserte forvaltningssystem med intensjonsavtaler, programbeskrivelser og årlige handlingsprogram videreføres som overordnet prinsipp. Organis</w:t>
      </w:r>
      <w:r>
        <w:t>e</w:t>
      </w:r>
      <w:r>
        <w:t>ringen av områd</w:t>
      </w:r>
      <w:r>
        <w:t>e</w:t>
      </w:r>
      <w:r>
        <w:t>satsingene forenkles gjennom å slå sammen de fire områdesatsingene i Oslo i en felles overordnet organisasjon. Kommunal- og moderniseringsd</w:t>
      </w:r>
      <w:r>
        <w:t>e</w:t>
      </w:r>
      <w:r>
        <w:t>partementet vil i samarbeid med berørte departementer og direktorater i 2019 utvikle prinsipper for en progra</w:t>
      </w:r>
      <w:r>
        <w:t>m</w:t>
      </w:r>
      <w:r>
        <w:t>finansieringsmodell for de statlige områdesatsingene. Videre skal det i 2019 utarbeides en plan for samarbeid, læring og utveksling av erfaringer med områd</w:t>
      </w:r>
      <w:r>
        <w:t>e</w:t>
      </w:r>
      <w:r>
        <w:t>satsinger mellom byene og med de statlige aktørene.</w:t>
      </w:r>
    </w:p>
    <w:p w:rsidR="00557A6F" w:rsidRDefault="00557A6F" w:rsidP="00557A6F">
      <w:r>
        <w:t>Regjeringen utnevnte 26. oktober 2018 et ekspertutvalg, By- og levekårsutvalget, som skal utrede l</w:t>
      </w:r>
      <w:r>
        <w:t>e</w:t>
      </w:r>
      <w:r>
        <w:t>vekårs- og integreringsutfordringer i områder i og rundt de store byene i Norge. Utvalget skal blant annet vurdere den sannsynlige virkningen av områdesatsingene, og foreslå endringer i eksi</w:t>
      </w:r>
      <w:r>
        <w:t>s</w:t>
      </w:r>
      <w:r>
        <w:t>terende virkemidler og strategier samt foreslå ev. nye tiltak. Utvalget skal levere sin rapport innen utgangen av 2020. Regjeringen vil følge opp resultatene fra utredningen. Arbeidet med områdesa</w:t>
      </w:r>
      <w:r>
        <w:t>t</w:t>
      </w:r>
      <w:r>
        <w:t>singer vil bli vurdert på nytt etter at rapporten foreligger.</w:t>
      </w:r>
    </w:p>
    <w:p w:rsidR="00557A6F" w:rsidRDefault="00557A6F" w:rsidP="00557A6F">
      <w:r>
        <w:t>Et levende sentrum, med et godt omdømme, gode byrom og forbindelser og et mangfold av tilbud og funksjoner, er viktig for innbyggere og næringsliv i byen og byregionen. Det oppfattes som krevende for kommuner og utbyggere å oppnå dette, og flere kommuner mangler nødvendig ko</w:t>
      </w:r>
      <w:r>
        <w:t>m</w:t>
      </w:r>
      <w:r>
        <w:t>petanse, kapasitet og verktøy. Gjennom ve</w:t>
      </w:r>
      <w:r>
        <w:t>i</w:t>
      </w:r>
      <w:r>
        <w:t xml:space="preserve">ledning, kunnskapsformidling og støtte til aktører som ønsker å fremme levende sentrum, har departementet støttet opp om lokalt sentrumsarbeid. </w:t>
      </w:r>
      <w:r>
        <w:rPr>
          <w:rStyle w:val="kursiv"/>
          <w:sz w:val="21"/>
          <w:szCs w:val="21"/>
        </w:rPr>
        <w:t>Nasj</w:t>
      </w:r>
      <w:r>
        <w:rPr>
          <w:rStyle w:val="kursiv"/>
          <w:sz w:val="21"/>
          <w:szCs w:val="21"/>
        </w:rPr>
        <w:t>o</w:t>
      </w:r>
      <w:r>
        <w:rPr>
          <w:rStyle w:val="kursiv"/>
          <w:sz w:val="21"/>
          <w:szCs w:val="21"/>
        </w:rPr>
        <w:t>nale forventninger til regional og lokal planlegging 2019–2023</w:t>
      </w:r>
      <w:r>
        <w:t xml:space="preserve"> fremh</w:t>
      </w:r>
      <w:r>
        <w:t>e</w:t>
      </w:r>
      <w:r>
        <w:t>ver betydningen av at kommunene har en aktiv og helhetlig areal- og sentrumspolitikk, med vekt på langsiktig og forpliktende sama</w:t>
      </w:r>
      <w:r>
        <w:t>r</w:t>
      </w:r>
      <w:r>
        <w:t>beid med private aktører og innbyggere. Departementet vil bidra til utvikling av en frivillig par</w:t>
      </w:r>
      <w:r>
        <w:t>t</w:t>
      </w:r>
      <w:r>
        <w:t>nerskapsmodell for sentrumsutvikling. Departementet vil høsten 2019 ferdigstille arbeidet med en eksempe</w:t>
      </w:r>
      <w:r>
        <w:t>l</w:t>
      </w:r>
      <w:r>
        <w:t>samling om samarbeid med privat sektor om sentrumsutvikling i norske byer, for faglig støtte og inspirasjon lokalt. Departementet deltar også i et no</w:t>
      </w:r>
      <w:r>
        <w:t>r</w:t>
      </w:r>
      <w:r>
        <w:t xml:space="preserve">disk nettverk om sentrumsutvikling og offentlig-privat partnerskap, for å utveksle kunnskap og erfaringer på feltet. </w:t>
      </w:r>
    </w:p>
    <w:p w:rsidR="00557A6F" w:rsidRDefault="00557A6F" w:rsidP="00557A6F">
      <w:r>
        <w:t>Attraktiv by – Statens pris for bærekraftig by- og stedsutvikling ble i 2019 gitt til Bergen kommune for modige og nytenkende grep for å skape en attraktiv by. Bergen har arbeidet for å stoppe b</w:t>
      </w:r>
      <w:r>
        <w:t>y</w:t>
      </w:r>
      <w:r>
        <w:t>spredning, fortette rundt det historiske sentrum og langs bybanen for at flere skal bo, arbeide og leve i gangavstand til det meste. Kommunen har skapt nye forbindelser, nye byrom og sosiale tiltak for å skape en god by for alle. Sammen med Bergens in</w:t>
      </w:r>
      <w:r>
        <w:t>n</w:t>
      </w:r>
      <w:r>
        <w:t xml:space="preserve">sats for å bedre folkehelse og levekår og å øke bo- og leveattraktiviteten i de sentrumsnære bydelene Møllendal, Solheimsviken og Indre Laksevåg, viser dette hvordan man kan styre byutviklingen på en bærekraftig måte. </w:t>
      </w:r>
    </w:p>
    <w:p w:rsidR="00557A6F" w:rsidRDefault="00557A6F" w:rsidP="00557A6F">
      <w:r>
        <w:t>Det treårige formannskapsprosjektet under Nordisk ministerråd, «Grønn omstilling og konkurra</w:t>
      </w:r>
      <w:r>
        <w:t>n</w:t>
      </w:r>
      <w:r>
        <w:t>sekraft i nordiske byregioner. Byer som ramme for gode liv for alle», avsluttes i 2019. Prosjektet har utvi</w:t>
      </w:r>
      <w:r>
        <w:t>k</w:t>
      </w:r>
      <w:r>
        <w:t>let, testet og samlet indikatorer og metoder som kan bidra til å måle bymessig kvalitet. Det publiseres også en felles nordisk strategi der implementering av FNs bærekraftsmål står sentralt. Prosjektet har vært ledet av Kommunal- og modernis</w:t>
      </w:r>
      <w:r>
        <w:t>e</w:t>
      </w:r>
      <w:r>
        <w:t>ringsdepartementet i samarbeid med Helse- og omsorgsdepartementet og Klima- og miljødepartementet.</w:t>
      </w:r>
    </w:p>
    <w:p w:rsidR="00557A6F" w:rsidRDefault="00557A6F" w:rsidP="00557A6F">
      <w:r>
        <w:t>Kommunal- og moderniseringsdepartementet har også koordineringsansvaret i Norge for oppfø</w:t>
      </w:r>
      <w:r>
        <w:t>l</w:t>
      </w:r>
      <w:r>
        <w:t xml:space="preserve">ging av FNs bærekraftsmål 11: Gjøre byer og tettsteder inkluderende, trygge, motstandsdyktige og bærekraftige. FNs </w:t>
      </w:r>
      <w:r>
        <w:rPr>
          <w:rStyle w:val="kursiv"/>
          <w:sz w:val="21"/>
          <w:szCs w:val="21"/>
        </w:rPr>
        <w:t>Ny u</w:t>
      </w:r>
      <w:r>
        <w:rPr>
          <w:rStyle w:val="kursiv"/>
          <w:sz w:val="21"/>
          <w:szCs w:val="21"/>
        </w:rPr>
        <w:t>r</w:t>
      </w:r>
      <w:r>
        <w:rPr>
          <w:rStyle w:val="kursiv"/>
          <w:sz w:val="21"/>
          <w:szCs w:val="21"/>
        </w:rPr>
        <w:t>ban agenda</w:t>
      </w:r>
      <w:r>
        <w:t xml:space="preserve"> er en oppfølging av FNs bærekraftsmål og inneholder en visjon, strategi og en handlingsplan for gjennomføring. Bærekraftsmål 11 er nærmere omtalt i del III O</w:t>
      </w:r>
      <w:r>
        <w:t>m</w:t>
      </w:r>
      <w:r>
        <w:t xml:space="preserve">tale av særlige temaer, der det rapporteres på status på indikatornivå. </w:t>
      </w:r>
    </w:p>
    <w:p w:rsidR="00557A6F" w:rsidRDefault="00557A6F" w:rsidP="00557A6F">
      <w:r>
        <w:lastRenderedPageBreak/>
        <w:t>Kommunal- og moderniseringsdepartementet deltar i og koordinerer norsk engasjement i EUs a</w:t>
      </w:r>
      <w:r>
        <w:t>r</w:t>
      </w:r>
      <w:r>
        <w:t>beid med en urban agenda. Fire norske byer deltar i dag i brede, tematiske partnerskap, og flere byer vil kunne bli involvert når det etableres nye partnerskap. Departementet deltar også i et fors</w:t>
      </w:r>
      <w:r>
        <w:t>k</w:t>
      </w:r>
      <w:r>
        <w:t>nings- og innov</w:t>
      </w:r>
      <w:r>
        <w:t>a</w:t>
      </w:r>
      <w:r>
        <w:t>sjonssamarbeid som svarer på de store samfunnsutfordringene som byer i Europa står overfor, og som i stor grad følger opp FNs bær</w:t>
      </w:r>
      <w:r>
        <w:t>e</w:t>
      </w:r>
      <w:r>
        <w:t>kraftsmål 11 og EUs urbane agenda, jf. omtale av forskning under kategori 13.00.</w:t>
      </w:r>
    </w:p>
    <w:p w:rsidR="00557A6F" w:rsidRDefault="00557A6F" w:rsidP="00557A6F">
      <w:pPr>
        <w:pStyle w:val="avsnitt-tittel"/>
      </w:pPr>
      <w:r>
        <w:t>Mål 3 Effektiv tilgang til oppdatert kart- og eiendomsinformasjon skal gi grunnlag for verdiskapning og utvi</w:t>
      </w:r>
      <w:r>
        <w:t>k</w:t>
      </w:r>
      <w:r>
        <w:t>ling</w:t>
      </w:r>
    </w:p>
    <w:p w:rsidR="00557A6F" w:rsidRDefault="00557A6F" w:rsidP="00557A6F">
      <w:r>
        <w:t>Regjeringen vil sørge for at kart, geodata og eiendomsinformasjon med tilfredsstillende kvalitet er tilgjengelig for innsyn og nedlasting hos offentlige og private brukere. Regjeringen vil ha bedre selvbetj</w:t>
      </w:r>
      <w:r>
        <w:t>e</w:t>
      </w:r>
      <w:r>
        <w:t>ningsløsninger for offentlige kartdata, plandata og bygnings- og eiendomsinformasjon, legge til rette for mer bruk av digitale løsninger og skape et enklere møte med en døgnåpen offen</w:t>
      </w:r>
      <w:r>
        <w:t>t</w:t>
      </w:r>
      <w:r>
        <w:t xml:space="preserve">lig sektor. </w:t>
      </w:r>
    </w:p>
    <w:p w:rsidR="00557A6F" w:rsidRDefault="00557A6F" w:rsidP="00557A6F">
      <w:pPr>
        <w:pStyle w:val="avsnitt-undertittel"/>
      </w:pPr>
      <w:r>
        <w:t>Rapport, strategier og tiltak</w:t>
      </w:r>
    </w:p>
    <w:p w:rsidR="00557A6F" w:rsidRDefault="00557A6F" w:rsidP="00557A6F">
      <w:r>
        <w:t>Pålitelige og oppdaterte kart- og eiendomsdata gir grunnlag for økt sikkerhet. Kartverket, direkt</w:t>
      </w:r>
      <w:r>
        <w:t>o</w:t>
      </w:r>
      <w:r>
        <w:t>rater og kommunesektoren arbeider med teknisk tilrettelegging, spesifikasjoner og standarder som klargjør in</w:t>
      </w:r>
      <w:r>
        <w:t>n</w:t>
      </w:r>
      <w:r>
        <w:t>holdet i ulike datasett, hvordan de kan brukes og gjøres tilgjengelig og vilkår for bruk. Kartverket utvikler og formidler den offentlige stedsrelaterte informasjonen gjennom nettportalen Geonorge.no. I 2018 og så langt i 2019, har det blitt arbeidet videre med nasjonal detaljert høyd</w:t>
      </w:r>
      <w:r>
        <w:t>e</w:t>
      </w:r>
      <w:r>
        <w:t>modell, økt elektronisk tinglysning, forbedring av matrikkelen og lansering av en nasjonal geod</w:t>
      </w:r>
      <w:r>
        <w:t>a</w:t>
      </w:r>
      <w:r>
        <w:t>tastrategi. Geodatastrategien er et viktig strategisk styringsdokument for Kartverket og hele Norge digitalt-samarbeidet. Kravene til datasikkerhet er også blitt stadig viktigere. Departementet følger opp Riksrevisjonens rapport</w:t>
      </w:r>
      <w:r>
        <w:rPr>
          <w:vertAlign w:val="superscript"/>
        </w:rPr>
        <w:footnoteReference w:id="18"/>
      </w:r>
      <w:r>
        <w:t xml:space="preserve"> med tiltak for sikring av IKT-systemer og data i Kartverket, med vekt både på kompetanse, fysisk sikring og sikring av data og systemer.</w:t>
      </w:r>
    </w:p>
    <w:p w:rsidR="00557A6F" w:rsidRDefault="00557A6F" w:rsidP="00557A6F">
      <w:r>
        <w:t>Det er fremdeles behov for mer detaljerte og oppdaterte datasett i det offentlige kartgrunnlaget, blant annet om naturressurser, befolkning, miljøtilstand, kulturminner, vann mv. For å gjøre det enklere for innbyggere og n</w:t>
      </w:r>
      <w:r>
        <w:t>æ</w:t>
      </w:r>
      <w:r>
        <w:t>ringsliv, skal det legges til rette for bedre samvirke av ulike typer data med selvbetjeningsløsninger og nedlastingstilgang. Det legges vekt på godt samarbeid med ko</w:t>
      </w:r>
      <w:r>
        <w:t>m</w:t>
      </w:r>
      <w:r>
        <w:t>munesektoren om blant annet grunndata, verktøyutvi</w:t>
      </w:r>
      <w:r>
        <w:t>k</w:t>
      </w:r>
      <w:r>
        <w:t>ling, digitalisering og standardisering for deling og videre bruk av plan- og arealdata. Dette er en oppfølging av geodataloven, Inspiredire</w:t>
      </w:r>
      <w:r>
        <w:t>k</w:t>
      </w:r>
      <w:r>
        <w:t xml:space="preserve">tivet fra EU og Digital agenda. </w:t>
      </w:r>
    </w:p>
    <w:p w:rsidR="00557A6F" w:rsidRDefault="00557A6F" w:rsidP="00557A6F">
      <w:r>
        <w:t>Første versjon av elektronisk tinglysing ble satt i drift hos Kartverket i 2017. Løsningen gir kortere saksbehan</w:t>
      </w:r>
      <w:r>
        <w:t>d</w:t>
      </w:r>
      <w:r>
        <w:t>lingstid i Kartverket. Det har vært utfordrende å få brukerne til å ta den nye løsningen i bruk så raskt som ønsket og forventet. Kartverket og departementet vil gjøre det mer attraktiv å benytte den digitale løsningen. Fra 2020 vil det blant annet bli dyrere å velge papirbasert enn dig</w:t>
      </w:r>
      <w:r>
        <w:t>i</w:t>
      </w:r>
      <w:r>
        <w:t>tal innsendingsløsning. I tillegg tilrettelegger Kartverket en eiendomsportal for profesjonelle br</w:t>
      </w:r>
      <w:r>
        <w:t>u</w:t>
      </w:r>
      <w:r>
        <w:t>kere med relativt få saker, og en løsning i Altinn som gjør det mulig for de store profesjonelle br</w:t>
      </w:r>
      <w:r>
        <w:t>u</w:t>
      </w:r>
      <w:r>
        <w:t xml:space="preserve">kerne å kommunisere digitalt med hverandre i forkant av innsending. </w:t>
      </w:r>
    </w:p>
    <w:p w:rsidR="00557A6F" w:rsidRDefault="00557A6F" w:rsidP="00557A6F">
      <w:r>
        <w:t>Matrikkelen er et av landets tre basisregistre, sammen med Enhetsregisteret (Brønnøysundregistr</w:t>
      </w:r>
      <w:r>
        <w:t>e</w:t>
      </w:r>
      <w:r>
        <w:t>ne) og Folkeregisteret. Matrikkelen er i dag et sentralt register som brukes av samferdselssystemer, helsesystemer, nødetater, SSB og kommunesektoren. Tinglysing av fast eiendom og andeler i b</w:t>
      </w:r>
      <w:r>
        <w:t>o</w:t>
      </w:r>
      <w:r>
        <w:t>rettslag er helt avhengig av matrikkelen for å kunne gjennomføres. Også saksbehandlingssystemer hos NAV og helsesektoren bruker adresseinformasjon hentet fra matrikkelen, og er avhengige av at den er oppdatert. Matrikkelen er også avgjørende for å kunne tilby en rekke kommunale tjenester og en del av utgangspunktet for å kunne beregne kommunale avgifter og eiendomsskatt. Digitalis</w:t>
      </w:r>
      <w:r>
        <w:t>e</w:t>
      </w:r>
      <w:r>
        <w:t>ring av plan- og byggesaksbehandlingen og digital eiendomshandel forutsetter god kvalitet på ma</w:t>
      </w:r>
      <w:r>
        <w:t>t</w:t>
      </w:r>
      <w:r>
        <w:t>rikkel- og tinglysingssyst</w:t>
      </w:r>
      <w:r>
        <w:t>e</w:t>
      </w:r>
      <w:r>
        <w:t>mene.</w:t>
      </w:r>
    </w:p>
    <w:p w:rsidR="00557A6F" w:rsidRDefault="00557A6F" w:rsidP="00557A6F">
      <w:r>
        <w:t xml:space="preserve">Mangelfullt datagrunnlag skaper usikkerhet, kan forsinke beslutninger og fordyre den kommunale saksbehandlingen. I 2018 ble derfor bevilgningen til utvikling av matrikkelen økt med 15 mill. kroner. </w:t>
      </w:r>
      <w:r>
        <w:lastRenderedPageBreak/>
        <w:t>Midlene benyttes blant annet til å starte forbedring av den teknologiske grunnstrukturen, og oppgradering og testing av matrikkelen for å håndtere opprettinger og endringer av grunneie</w:t>
      </w:r>
      <w:r>
        <w:t>n</w:t>
      </w:r>
      <w:r>
        <w:t xml:space="preserve">domsregioner og kommuner i forbindelse med kommune- og regionreformene. </w:t>
      </w:r>
    </w:p>
    <w:p w:rsidR="00557A6F" w:rsidRDefault="00557A6F" w:rsidP="00557A6F">
      <w:r>
        <w:t>I 2020 foreslår regjeringen å øke bevilgningen til matrikkel med ytterligere 30 mill. kroner. Det skal settes i gang et arbeid med en langsiktig oppgradering av matrikkelen, både i kvalitet og ful</w:t>
      </w:r>
      <w:r>
        <w:t>l</w:t>
      </w:r>
      <w:r>
        <w:t>stendighet. I 2020 vil arbeidet særlig innrettes mot å sikre at systemet oppgraderes til et forsvarlig teknologisk nivå og gjøre nødvendige systemendringer som oppfølging av ny strategi for by</w:t>
      </w:r>
      <w:r>
        <w:t>g</w:t>
      </w:r>
      <w:r>
        <w:t>ningsdelen i matrikkelen. Det skal bli enklere for kommunene å legge inn nødvendig informasjon, og legge til rette for en mer sømløs kommunikasjon mellom matrikkelen og ulike systemer i ko</w:t>
      </w:r>
      <w:r>
        <w:t>m</w:t>
      </w:r>
      <w:r>
        <w:t>munene.</w:t>
      </w:r>
    </w:p>
    <w:p w:rsidR="00557A6F" w:rsidRDefault="00557A6F" w:rsidP="00557A6F">
      <w:r>
        <w:t>I forberedelsene til ny kommune- og regionstruktur fra 2020 er Kartverket teknisk koordinator for digitale tilpa</w:t>
      </w:r>
      <w:r>
        <w:t>s</w:t>
      </w:r>
      <w:r>
        <w:t>ninger mellom matrikkelen og systemer i kommuner og statlige etater som henter data fra matrikkelen. Komm</w:t>
      </w:r>
      <w:r>
        <w:t>u</w:t>
      </w:r>
      <w:r>
        <w:t>ner som er mindre berørt av regionreformen vil også måtte gjennomføre endringer i sine systemer, og i matrikk</w:t>
      </w:r>
      <w:r>
        <w:t>e</w:t>
      </w:r>
      <w:r>
        <w:t xml:space="preserve">len alene må det utføres over 100 millioner endringer ved årsskiftet. </w:t>
      </w:r>
    </w:p>
    <w:p w:rsidR="00557A6F" w:rsidRDefault="00557A6F" w:rsidP="00557A6F">
      <w:r>
        <w:t>Departementet følger opp lov- og forskriftsarbeidet på matrikkelområdet, blant annet med foren</w:t>
      </w:r>
      <w:r>
        <w:t>k</w:t>
      </w:r>
      <w:r>
        <w:t>linger og en</w:t>
      </w:r>
      <w:r>
        <w:t>d</w:t>
      </w:r>
      <w:r>
        <w:t>ringer i matrikkelforskriften. Det arbeides med en strategi for bedre fullstendighet og brukertilpasning for bygningsdelen i matrikkelen, blant annet for å bidra til mer automatisk bygg</w:t>
      </w:r>
      <w:r>
        <w:t>e</w:t>
      </w:r>
      <w:r>
        <w:t>saksbehandling. I 2018 vedtok Stortinget at eiendomsoppmålingen fremdeles skal være en ko</w:t>
      </w:r>
      <w:r>
        <w:t>m</w:t>
      </w:r>
      <w:r>
        <w:t>munal tjeneste, og at det skal innføres en autorisasjonsordning for personer som skal drive eie</w:t>
      </w:r>
      <w:r>
        <w:t>n</w:t>
      </w:r>
      <w:r>
        <w:t>domsoppmåling. Det ble samtidig vedtatt en del andre regelen</w:t>
      </w:r>
      <w:r>
        <w:t>d</w:t>
      </w:r>
      <w:r>
        <w:t xml:space="preserve">ringer, jf. Prop. 148 L (2016–2017) </w:t>
      </w:r>
      <w:r>
        <w:rPr>
          <w:rStyle w:val="kursiv"/>
          <w:sz w:val="21"/>
          <w:szCs w:val="21"/>
        </w:rPr>
        <w:t>Endringar i matrikkellova m.m. (organisering av eigedomsoppmåling</w:t>
      </w:r>
      <w:r>
        <w:t>) og Innst. 165 L (2017–2018). D</w:t>
      </w:r>
      <w:r>
        <w:t>e</w:t>
      </w:r>
      <w:r>
        <w:t>partementet og Kartverket arbeider med å få på plass en autorisasjonsordning for landmålere fra 2020.</w:t>
      </w:r>
    </w:p>
    <w:p w:rsidR="00557A6F" w:rsidRDefault="00557A6F" w:rsidP="00557A6F">
      <w:r>
        <w:t>Per april 2019 publiserer 346 kommuner sine kartdata gjennom sentral felles kartdatabase, slik at oppdaterte og homogene data om blant annet utbygging er umiddelbart tilgjengelig for brukerne. Dette kan være utbyggere eller offentlige instanser.</w:t>
      </w:r>
    </w:p>
    <w:p w:rsidR="00557A6F" w:rsidRDefault="00557A6F" w:rsidP="00557A6F">
      <w:r>
        <w:t>For å sikre god ressursutnyttelse og lokalisering, er det behov for bedre kunnskapsgrunnlag om geografien under havoverflaten. Kartverket har innført en ny metode for prioritering av sjøkartle</w:t>
      </w:r>
      <w:r>
        <w:t>g</w:t>
      </w:r>
      <w:r>
        <w:t>ging, med større fokus på br</w:t>
      </w:r>
      <w:r>
        <w:t>u</w:t>
      </w:r>
      <w:r>
        <w:t>kerbehov og samfunnsøkonomisk nytte. Med bakgrunn i dette er det gjort flere målinger i grunne områder både ved Norskekysten og på Svalbard. Det gir viktig kun</w:t>
      </w:r>
      <w:r>
        <w:t>n</w:t>
      </w:r>
      <w:r>
        <w:t>skap for flere næringer, ikke minst havbruksnæringen. Kartverket arbeider videre med metodeu</w:t>
      </w:r>
      <w:r>
        <w:t>t</w:t>
      </w:r>
      <w:r>
        <w:t xml:space="preserve">vikling for å effektivisere sjømålingen, deriblant bruk av selvstyrende målefartøy. </w:t>
      </w:r>
    </w:p>
    <w:p w:rsidR="00557A6F" w:rsidRDefault="00557A6F" w:rsidP="00557A6F">
      <w:r>
        <w:t>Regjeringen foreslår at det i 2020 igangsettes ett treårig pilotprosjekt med utvikling av metode og kartlegging for marine grunnkart i kystsonen. Kartverket skal i samarbeid med Norges geologiske undersøkelser, Havfors</w:t>
      </w:r>
      <w:r>
        <w:t>k</w:t>
      </w:r>
      <w:r>
        <w:t>ningsinstituttet og relevante kommuner og fylkeskommuner samle inn data om bunnforhold, biologi og geologi i utvalgte områder. Dette er en omlegging fra en tradisjonell sjømåling, som hovedsakelig baserer seg på dybd</w:t>
      </w:r>
      <w:r>
        <w:t>e</w:t>
      </w:r>
      <w:r>
        <w:t>målinger for navigasjonsformål. Slike data er av stor betydning for blant annet plassering av oppdrettsanlegg, og danner grunnlaget for en felles forståelse av økonomiske og økologiske verdier. Det vil dermed gi et bedre grunnlag for kommunal planlegging og kan dempe konfliktnivået, samtidig som det gir betydelig samfunnsøkonomisk g</w:t>
      </w:r>
      <w:r>
        <w:t>e</w:t>
      </w:r>
      <w:r>
        <w:t>vinst. Det foreslås en bevilgning på 13,8 mill. kroner for 2020 på departementets budsjett. Andre stat</w:t>
      </w:r>
      <w:r>
        <w:t>s</w:t>
      </w:r>
      <w:r>
        <w:t xml:space="preserve">etater, kommuner og fylkeskommuner bidrar samlet sett med et tilsvarende beløp. De utvalgte områdene er Nye Stavanger kommune, Nordre Sunnmøre, Skjervøy/Kvænangen i tillegg til </w:t>
      </w:r>
      <w:proofErr w:type="gramStart"/>
      <w:r>
        <w:t>noe</w:t>
      </w:r>
      <w:proofErr w:type="gramEnd"/>
      <w:r>
        <w:t xml:space="preserve"> målinger i deler av Sogn og Fjo</w:t>
      </w:r>
      <w:r>
        <w:t>r</w:t>
      </w:r>
      <w:r>
        <w:t>dane. Samlet ramme for prosjektet over tre år er om lag 85 mill. kroner.</w:t>
      </w:r>
    </w:p>
    <w:p w:rsidR="00557A6F" w:rsidRDefault="00557A6F" w:rsidP="00557A6F">
      <w:r>
        <w:t>I Granavolden-plattformen er det et mål at mer gods skal fraktes på kjøl, og at Norge skal fortsette å være et f</w:t>
      </w:r>
      <w:r>
        <w:t>o</w:t>
      </w:r>
      <w:r>
        <w:t>regangsland innen fornybar energi og nullutslipp fra transportsektoren. Sikkerhet og beredskap i maritim sektor skal prioriteres ved at farleder inn til de viktigste byene og havnene utbedres og måles opp. Her samarbeider Kystverket, berørte kommuner og Kartverket for å legge oppdaterte dybdedata inn i dybdedatabase og sjøkart. Sommeren 2019 har to private selskap blitt autorisert som sjømålere av Kartverket. Formålet med en slik ordning er å få mer standardisert sjømålingsdata.</w:t>
      </w:r>
    </w:p>
    <w:p w:rsidR="00557A6F" w:rsidRDefault="00557A6F" w:rsidP="00557A6F">
      <w:r>
        <w:t>Arbeidet med å etablere en nasjonal detaljert høydemodell har god fremdrift. Høydemodellen sty</w:t>
      </w:r>
      <w:r>
        <w:t>r</w:t>
      </w:r>
      <w:r>
        <w:t>ker grunnlaget for klimatilpasning og flom- og skredvern. Detaljerte høydedata er viktige for kommuner og statlige etater i arbeidet med klimatilpasning, beredskap, ressurskartlegging og pla</w:t>
      </w:r>
      <w:r>
        <w:t>n</w:t>
      </w:r>
      <w:r>
        <w:t>arbeid. Høydem</w:t>
      </w:r>
      <w:r>
        <w:t>o</w:t>
      </w:r>
      <w:r>
        <w:t xml:space="preserve">dellen, som har en ramme på 420 mill. kroner, bygger opp under regjeringens satsing på infrastruktur </w:t>
      </w:r>
      <w:r>
        <w:lastRenderedPageBreak/>
        <w:t>ved å gi landet et samlet datagrunnlag og gode verktøy for planlegging og arealforvaltning. Data tilrett</w:t>
      </w:r>
      <w:r>
        <w:t>e</w:t>
      </w:r>
      <w:r>
        <w:t>legges fortløpende for fri nedlasting og bruk. På grunn av meget gode flyforhold i 2018 er programmet foran planen. Sommeren 2019 var 64 pst. av fastlandet dekket av detaljerte høydedata. Mange kommuner og statlige etater bidrar med ytterligere midler for at e</w:t>
      </w:r>
      <w:r>
        <w:t>n</w:t>
      </w:r>
      <w:r>
        <w:t>keltområder skal skannes med en høyere opplø</w:t>
      </w:r>
      <w:r>
        <w:t>s</w:t>
      </w:r>
      <w:r>
        <w:t xml:space="preserve">ning. </w:t>
      </w:r>
    </w:p>
    <w:p w:rsidR="00557A6F" w:rsidRDefault="00557A6F" w:rsidP="00557A6F">
      <w:r>
        <w:t>Det nye observatoriet i Ny-Ålesund, som ble åpnet 2018, inngår i et globalt nettverk som er svært viktig for sa</w:t>
      </w:r>
      <w:r>
        <w:t>m</w:t>
      </w:r>
      <w:r>
        <w:t>funnets satellittbaserte infrastruktur, klimaovervåking, kommunikasjonssystemer og for bedre nøyaktighet i bruk av GPS. Anlegget består av flere typer teknologi, der radioantennene settes i prøvedrift fra oktober 2019. Dette vil sikre parallell drift med eksisterende anlegg, noe som er viktig for å kunne bruke gamle data fra stasjonen. Videre bidrar Norge til å sikre at det intern</w:t>
      </w:r>
      <w:r>
        <w:t>a</w:t>
      </w:r>
      <w:r>
        <w:t>sjonale mottaksapparatet for slike data kan nyttiggjøre seg data fra en ny generasjon av observat</w:t>
      </w:r>
      <w:r>
        <w:t>o</w:t>
      </w:r>
      <w:r>
        <w:t>rier.</w:t>
      </w:r>
    </w:p>
    <w:p w:rsidR="00557A6F" w:rsidRDefault="00557A6F" w:rsidP="00557A6F">
      <w:r>
        <w:t>Kartverket opplever stadig større etterspørsel etter sine data og tjenester, både fra eksisterende og nye brukere. Eksempelvis har Bane NOR inngått et samarbeid om posisjonsmåling med centim</w:t>
      </w:r>
      <w:r>
        <w:t>e</w:t>
      </w:r>
      <w:r>
        <w:t>terpresisjon langs Røros- og Nordlandsbanen, som vil redusere selskapets vedlikeholdskostnader med anslagsvis 100 mill. kroner over få år. Samarbeidet bidrar også til økt nøyaktighet og nytte for andre brukere i o</w:t>
      </w:r>
      <w:r>
        <w:t>m</w:t>
      </w:r>
      <w:r>
        <w:t>rådet.</w:t>
      </w:r>
    </w:p>
    <w:p w:rsidR="00557A6F" w:rsidRDefault="00557A6F" w:rsidP="00557A6F">
      <w:r>
        <w:t>Digitalisering og standardisering av det offentlige kartgrunnlaget (DOK) og plandata er viktig for å oppnå bedre, raskere og mer forutsigbar plan- og byggesaksbehandling. Samarbeid med statlige sektorer og kommunesektoren om felles infrastruktur, kunnskap og kompetansebygging er sentralt. Det samme gjelder arbeidet med verktøyu</w:t>
      </w:r>
      <w:r>
        <w:t>t</w:t>
      </w:r>
      <w:r>
        <w:t>vikling, digitalisering og standardisering for deling og bruk av kart og plan- og eiendomsdata. Som nasjonal geodatakoordinator bistår Kartverket andre etater i arbeidet med å følge opp rapporteringskravene til Inspired</w:t>
      </w:r>
      <w:r>
        <w:t>i</w:t>
      </w:r>
      <w:r>
        <w:t xml:space="preserve">rektivet. </w:t>
      </w:r>
    </w:p>
    <w:p w:rsidR="00557A6F" w:rsidRDefault="00557A6F" w:rsidP="00557A6F">
      <w:r>
        <w:t>Departementet vedtok i november 2018 Alt skjer et sted – Nasjonal geodatastrategi fram mot 2025. Et mål med strategien er å få på plass et nasjonalt kunnskapsgrunnlag av geografisk informasjon som møter viktige samfunnsbehov. Regjeringen vil styrke samarbeidet om felles geografisk infr</w:t>
      </w:r>
      <w:r>
        <w:t>a</w:t>
      </w:r>
      <w:r>
        <w:t>struktur, med vekt på oppfølging av geodataloven, plan- og bygningsloven og det offentlige kar</w:t>
      </w:r>
      <w:r>
        <w:t>t</w:t>
      </w:r>
      <w:r>
        <w:t>grunnlaget (DOK), og vurdere ulike finansiering</w:t>
      </w:r>
      <w:r>
        <w:t>s</w:t>
      </w:r>
      <w:r>
        <w:t>modeller for nasjonal geografisk infrastruktur. Det er behov for felles løsninger og teknologi som understøtter en effektiv oppgaveløsning og å</w:t>
      </w:r>
      <w:r>
        <w:t>p</w:t>
      </w:r>
      <w:r>
        <w:t>ner for nye bruksmuligheter. Det krever samspill om forvaltning, deling, utvikling og innovasjon mellom aktørene i både offentlig og privat sektor. Norges forpliktelser i internasjonale fora for standardisering og deling av geografisk informasjon er del av dette samspillet. Geodatastrategien fremhever at rammebetingelsene må være forutsigbare og godt tilpasset utfordringene i det digitale samfunnet. Det er utarbe</w:t>
      </w:r>
      <w:r>
        <w:t>i</w:t>
      </w:r>
      <w:r>
        <w:t>det en handlingsplan med 29 tiltak hvor de ulike partene i Norge digitalt samarbeidet har ansvaret for ulike tiltak.</w:t>
      </w:r>
    </w:p>
    <w:p w:rsidR="00557A6F" w:rsidRDefault="00557A6F" w:rsidP="00557A6F">
      <w:r>
        <w:t>Innenfor Geovekst, som er et samarbeid om</w:t>
      </w:r>
      <w:r>
        <w:rPr>
          <w:rStyle w:val="kursiv"/>
          <w:sz w:val="21"/>
          <w:szCs w:val="21"/>
        </w:rPr>
        <w:t xml:space="preserve"> </w:t>
      </w:r>
      <w:r>
        <w:t>kartlegging mellom statlige etater og kommuner, gjennomføres det hvert år en rekke felles kartleggingsprosjekter ut fra partenes behov. Dette bas</w:t>
      </w:r>
      <w:r>
        <w:t>e</w:t>
      </w:r>
      <w:r>
        <w:t>res på regionale geodataplaner og en kost-nytte vurdering, hvor partene er med både på prioritering og finansiering. I arbeidet med å etablere den nasjonale portalen Geonorge.no er brukervennligh</w:t>
      </w:r>
      <w:r>
        <w:t>e</w:t>
      </w:r>
      <w:r>
        <w:t>ten nå vesentlig bedret. Flere datasett er lett tilgjengelig for nedlasting gjennom forskjellige tjene</w:t>
      </w:r>
      <w:r>
        <w:t>s</w:t>
      </w:r>
      <w:r>
        <w:t>ter, og antall distribuerte filer økte med 50 pst. i 2018. Geonorge.no er et viktig element i den n</w:t>
      </w:r>
      <w:r>
        <w:t>a</w:t>
      </w:r>
      <w:r>
        <w:t>sjonale geodatastrategien.</w:t>
      </w:r>
    </w:p>
    <w:p w:rsidR="00557A6F" w:rsidRDefault="00557A6F" w:rsidP="00557A6F">
      <w:pPr>
        <w:pStyle w:val="b-budkaptit"/>
      </w:pPr>
      <w:r>
        <w:t>Kap. 590 Planlegging og byutvikling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7A6F" w:rsidTr="00557A6F">
        <w:trPr>
          <w:trHeight w:val="640"/>
        </w:trPr>
        <w:tc>
          <w:tcPr>
            <w:tcW w:w="1140" w:type="dxa"/>
            <w:shd w:val="clear" w:color="auto" w:fill="FFFFFF"/>
          </w:tcPr>
          <w:p w:rsidR="00557A6F" w:rsidRDefault="00557A6F" w:rsidP="00557A6F">
            <w:pPr>
              <w:pStyle w:val="Tabellnavn"/>
            </w:pPr>
            <w:r>
              <w:t>KPAL</w:t>
            </w:r>
          </w:p>
        </w:tc>
        <w:tc>
          <w:tcPr>
            <w:tcW w:w="4560" w:type="dxa"/>
          </w:tcPr>
          <w:p w:rsidR="00557A6F" w:rsidRDefault="00557A6F" w:rsidP="00557A6F"/>
        </w:tc>
        <w:tc>
          <w:tcPr>
            <w:tcW w:w="1140" w:type="dxa"/>
          </w:tcPr>
          <w:p w:rsidR="00557A6F" w:rsidRDefault="00557A6F" w:rsidP="00557A6F">
            <w:pPr>
              <w:pStyle w:val="Tabellnavn"/>
              <w:jc w:val="right"/>
            </w:pPr>
          </w:p>
        </w:tc>
        <w:tc>
          <w:tcPr>
            <w:tcW w:w="1140" w:type="dxa"/>
          </w:tcPr>
          <w:p w:rsidR="00557A6F" w:rsidRDefault="00557A6F" w:rsidP="00557A6F">
            <w:pPr>
              <w:pStyle w:val="Tabellnavn"/>
              <w:jc w:val="right"/>
            </w:pPr>
          </w:p>
        </w:tc>
        <w:tc>
          <w:tcPr>
            <w:tcW w:w="1140" w:type="dxa"/>
          </w:tcPr>
          <w:p w:rsidR="00557A6F" w:rsidRDefault="00557A6F" w:rsidP="00557A6F">
            <w:pPr>
              <w:jc w:val="right"/>
            </w:pPr>
            <w:r>
              <w:t>(i 1 000 kr)</w:t>
            </w:r>
          </w:p>
        </w:tc>
      </w:tr>
      <w:tr w:rsidR="00557A6F" w:rsidTr="00557A6F">
        <w:trPr>
          <w:trHeight w:val="600"/>
        </w:trPr>
        <w:tc>
          <w:tcPr>
            <w:tcW w:w="1140" w:type="dxa"/>
          </w:tcPr>
          <w:p w:rsidR="00557A6F" w:rsidRDefault="00557A6F" w:rsidP="00557A6F">
            <w:r>
              <w:t>Post</w:t>
            </w:r>
          </w:p>
        </w:tc>
        <w:tc>
          <w:tcPr>
            <w:tcW w:w="4560" w:type="dxa"/>
          </w:tcPr>
          <w:p w:rsidR="00557A6F" w:rsidRDefault="00557A6F" w:rsidP="00557A6F">
            <w:r>
              <w:t>Betegnelse</w:t>
            </w:r>
          </w:p>
        </w:tc>
        <w:tc>
          <w:tcPr>
            <w:tcW w:w="1140" w:type="dxa"/>
          </w:tcPr>
          <w:p w:rsidR="00557A6F" w:rsidRDefault="00557A6F" w:rsidP="00557A6F">
            <w:pPr>
              <w:jc w:val="right"/>
            </w:pPr>
            <w:r>
              <w:t>Regnskap 2018</w:t>
            </w:r>
          </w:p>
        </w:tc>
        <w:tc>
          <w:tcPr>
            <w:tcW w:w="1140" w:type="dxa"/>
          </w:tcPr>
          <w:p w:rsidR="00557A6F" w:rsidRDefault="00557A6F" w:rsidP="00557A6F">
            <w:pPr>
              <w:jc w:val="right"/>
            </w:pPr>
            <w:r>
              <w:t xml:space="preserve">Saldert </w:t>
            </w:r>
            <w:r>
              <w:br/>
              <w:t>budsjett 2019</w:t>
            </w:r>
          </w:p>
        </w:tc>
        <w:tc>
          <w:tcPr>
            <w:tcW w:w="1140" w:type="dxa"/>
          </w:tcPr>
          <w:p w:rsidR="00557A6F" w:rsidRDefault="00557A6F" w:rsidP="00557A6F">
            <w:pPr>
              <w:jc w:val="right"/>
            </w:pPr>
            <w:r>
              <w:t xml:space="preserve">Forslag </w:t>
            </w:r>
            <w:r>
              <w:br/>
              <w:t>2020</w:t>
            </w:r>
          </w:p>
        </w:tc>
      </w:tr>
      <w:tr w:rsidR="00557A6F" w:rsidTr="00557A6F">
        <w:trPr>
          <w:trHeight w:val="380"/>
        </w:trPr>
        <w:tc>
          <w:tcPr>
            <w:tcW w:w="1140" w:type="dxa"/>
          </w:tcPr>
          <w:p w:rsidR="00557A6F" w:rsidRDefault="00557A6F" w:rsidP="00557A6F">
            <w:r>
              <w:t>61</w:t>
            </w:r>
          </w:p>
        </w:tc>
        <w:tc>
          <w:tcPr>
            <w:tcW w:w="4560" w:type="dxa"/>
          </w:tcPr>
          <w:p w:rsidR="00557A6F" w:rsidRDefault="00557A6F" w:rsidP="00557A6F">
            <w:r>
              <w:t>Byvekstavtaler</w:t>
            </w:r>
            <w:r>
              <w:rPr>
                <w:rStyle w:val="kursiv"/>
                <w:sz w:val="21"/>
                <w:szCs w:val="21"/>
              </w:rPr>
              <w:t xml:space="preserve">, kan overføres </w:t>
            </w:r>
          </w:p>
        </w:tc>
        <w:tc>
          <w:tcPr>
            <w:tcW w:w="1140" w:type="dxa"/>
          </w:tcPr>
          <w:p w:rsidR="00557A6F" w:rsidRDefault="00557A6F" w:rsidP="00557A6F">
            <w:pPr>
              <w:jc w:val="right"/>
            </w:pPr>
            <w:r>
              <w:t>17 515</w:t>
            </w:r>
          </w:p>
        </w:tc>
        <w:tc>
          <w:tcPr>
            <w:tcW w:w="1140" w:type="dxa"/>
          </w:tcPr>
          <w:p w:rsidR="00557A6F" w:rsidRDefault="00557A6F" w:rsidP="00557A6F">
            <w:pPr>
              <w:jc w:val="right"/>
            </w:pPr>
            <w:r>
              <w:t>20 686</w:t>
            </w:r>
          </w:p>
        </w:tc>
        <w:tc>
          <w:tcPr>
            <w:tcW w:w="1140" w:type="dxa"/>
          </w:tcPr>
          <w:p w:rsidR="00557A6F" w:rsidRDefault="00557A6F" w:rsidP="00557A6F">
            <w:pPr>
              <w:jc w:val="right"/>
            </w:pPr>
            <w:r>
              <w:t>21 348</w:t>
            </w:r>
          </w:p>
        </w:tc>
      </w:tr>
      <w:tr w:rsidR="00557A6F" w:rsidTr="00557A6F">
        <w:trPr>
          <w:trHeight w:val="380"/>
        </w:trPr>
        <w:tc>
          <w:tcPr>
            <w:tcW w:w="1140" w:type="dxa"/>
          </w:tcPr>
          <w:p w:rsidR="00557A6F" w:rsidRDefault="00557A6F" w:rsidP="00557A6F">
            <w:r>
              <w:t>65</w:t>
            </w:r>
          </w:p>
        </w:tc>
        <w:tc>
          <w:tcPr>
            <w:tcW w:w="4560" w:type="dxa"/>
          </w:tcPr>
          <w:p w:rsidR="00557A6F" w:rsidRDefault="00557A6F" w:rsidP="00557A6F">
            <w:r>
              <w:t>Områdesatsing i byer</w:t>
            </w:r>
            <w:r>
              <w:rPr>
                <w:rStyle w:val="kursiv"/>
                <w:sz w:val="21"/>
                <w:szCs w:val="21"/>
              </w:rPr>
              <w:t xml:space="preserve">, kan overføres </w:t>
            </w:r>
          </w:p>
        </w:tc>
        <w:tc>
          <w:tcPr>
            <w:tcW w:w="1140" w:type="dxa"/>
          </w:tcPr>
          <w:p w:rsidR="00557A6F" w:rsidRDefault="00557A6F" w:rsidP="00557A6F">
            <w:pPr>
              <w:jc w:val="right"/>
            </w:pPr>
            <w:r>
              <w:t>40 149</w:t>
            </w:r>
          </w:p>
        </w:tc>
        <w:tc>
          <w:tcPr>
            <w:tcW w:w="1140" w:type="dxa"/>
          </w:tcPr>
          <w:p w:rsidR="00557A6F" w:rsidRDefault="00557A6F" w:rsidP="00557A6F">
            <w:pPr>
              <w:jc w:val="right"/>
            </w:pPr>
            <w:r>
              <w:t>61 274</w:t>
            </w:r>
          </w:p>
        </w:tc>
        <w:tc>
          <w:tcPr>
            <w:tcW w:w="1140" w:type="dxa"/>
          </w:tcPr>
          <w:p w:rsidR="00557A6F" w:rsidRDefault="00557A6F" w:rsidP="00557A6F">
            <w:pPr>
              <w:jc w:val="right"/>
            </w:pPr>
            <w:r>
              <w:t>63 235</w:t>
            </w:r>
          </w:p>
        </w:tc>
      </w:tr>
      <w:tr w:rsidR="00557A6F" w:rsidTr="00557A6F">
        <w:trPr>
          <w:trHeight w:val="380"/>
        </w:trPr>
        <w:tc>
          <w:tcPr>
            <w:tcW w:w="1140" w:type="dxa"/>
          </w:tcPr>
          <w:p w:rsidR="00557A6F" w:rsidRDefault="00557A6F" w:rsidP="00557A6F">
            <w:r>
              <w:lastRenderedPageBreak/>
              <w:t>71</w:t>
            </w:r>
          </w:p>
        </w:tc>
        <w:tc>
          <w:tcPr>
            <w:tcW w:w="4560" w:type="dxa"/>
          </w:tcPr>
          <w:p w:rsidR="00557A6F" w:rsidRDefault="00557A6F" w:rsidP="00557A6F">
            <w:r>
              <w:t xml:space="preserve">Internasjonale organisasjoner </w:t>
            </w:r>
          </w:p>
        </w:tc>
        <w:tc>
          <w:tcPr>
            <w:tcW w:w="1140" w:type="dxa"/>
          </w:tcPr>
          <w:p w:rsidR="00557A6F" w:rsidRDefault="00557A6F" w:rsidP="00557A6F">
            <w:pPr>
              <w:jc w:val="right"/>
            </w:pPr>
            <w:r>
              <w:t>840</w:t>
            </w:r>
          </w:p>
        </w:tc>
        <w:tc>
          <w:tcPr>
            <w:tcW w:w="1140" w:type="dxa"/>
          </w:tcPr>
          <w:p w:rsidR="00557A6F" w:rsidRDefault="00557A6F" w:rsidP="00557A6F">
            <w:pPr>
              <w:jc w:val="right"/>
            </w:pPr>
          </w:p>
        </w:tc>
        <w:tc>
          <w:tcPr>
            <w:tcW w:w="1140" w:type="dxa"/>
          </w:tcPr>
          <w:p w:rsidR="00557A6F" w:rsidRDefault="00557A6F" w:rsidP="00557A6F">
            <w:pPr>
              <w:jc w:val="right"/>
            </w:pPr>
          </w:p>
        </w:tc>
      </w:tr>
      <w:tr w:rsidR="00557A6F" w:rsidTr="00557A6F">
        <w:trPr>
          <w:trHeight w:val="380"/>
        </w:trPr>
        <w:tc>
          <w:tcPr>
            <w:tcW w:w="1140" w:type="dxa"/>
          </w:tcPr>
          <w:p w:rsidR="00557A6F" w:rsidRDefault="00557A6F" w:rsidP="00557A6F">
            <w:r>
              <w:t>72</w:t>
            </w:r>
          </w:p>
        </w:tc>
        <w:tc>
          <w:tcPr>
            <w:tcW w:w="4560" w:type="dxa"/>
          </w:tcPr>
          <w:p w:rsidR="00557A6F" w:rsidRDefault="00557A6F" w:rsidP="00557A6F">
            <w:r>
              <w:t>Bolig- og områdeutvikling i byer</w:t>
            </w:r>
            <w:r>
              <w:rPr>
                <w:rStyle w:val="kursiv"/>
                <w:sz w:val="21"/>
                <w:szCs w:val="21"/>
              </w:rPr>
              <w:t xml:space="preserve">, kan overføres </w:t>
            </w:r>
          </w:p>
        </w:tc>
        <w:tc>
          <w:tcPr>
            <w:tcW w:w="1140" w:type="dxa"/>
          </w:tcPr>
          <w:p w:rsidR="00557A6F" w:rsidRDefault="00557A6F" w:rsidP="00557A6F">
            <w:pPr>
              <w:jc w:val="right"/>
            </w:pPr>
            <w:r>
              <w:t>29 136</w:t>
            </w:r>
          </w:p>
        </w:tc>
        <w:tc>
          <w:tcPr>
            <w:tcW w:w="1140" w:type="dxa"/>
          </w:tcPr>
          <w:p w:rsidR="00557A6F" w:rsidRDefault="00557A6F" w:rsidP="00557A6F">
            <w:pPr>
              <w:jc w:val="right"/>
            </w:pPr>
            <w:r>
              <w:t>14 162</w:t>
            </w:r>
          </w:p>
        </w:tc>
        <w:tc>
          <w:tcPr>
            <w:tcW w:w="1140" w:type="dxa"/>
          </w:tcPr>
          <w:p w:rsidR="00557A6F" w:rsidRDefault="00557A6F" w:rsidP="00557A6F">
            <w:pPr>
              <w:jc w:val="right"/>
            </w:pPr>
            <w:r>
              <w:t>20 175</w:t>
            </w:r>
          </w:p>
        </w:tc>
      </w:tr>
      <w:tr w:rsidR="00557A6F" w:rsidTr="00557A6F">
        <w:trPr>
          <w:trHeight w:val="380"/>
        </w:trPr>
        <w:tc>
          <w:tcPr>
            <w:tcW w:w="1140" w:type="dxa"/>
          </w:tcPr>
          <w:p w:rsidR="00557A6F" w:rsidRDefault="00557A6F" w:rsidP="00557A6F">
            <w:r>
              <w:t>81</w:t>
            </w:r>
          </w:p>
        </w:tc>
        <w:tc>
          <w:tcPr>
            <w:tcW w:w="4560" w:type="dxa"/>
          </w:tcPr>
          <w:p w:rsidR="00557A6F" w:rsidRDefault="00557A6F" w:rsidP="00557A6F">
            <w:r>
              <w:t>Kompetansetiltak</w:t>
            </w:r>
            <w:r>
              <w:rPr>
                <w:rStyle w:val="kursiv"/>
                <w:sz w:val="21"/>
                <w:szCs w:val="21"/>
              </w:rPr>
              <w:t xml:space="preserve">, kan overføres </w:t>
            </w:r>
          </w:p>
        </w:tc>
        <w:tc>
          <w:tcPr>
            <w:tcW w:w="1140" w:type="dxa"/>
          </w:tcPr>
          <w:p w:rsidR="00557A6F" w:rsidRDefault="00557A6F" w:rsidP="00557A6F">
            <w:pPr>
              <w:jc w:val="right"/>
            </w:pPr>
            <w:r>
              <w:t>6 750</w:t>
            </w:r>
          </w:p>
        </w:tc>
        <w:tc>
          <w:tcPr>
            <w:tcW w:w="1140" w:type="dxa"/>
          </w:tcPr>
          <w:p w:rsidR="00557A6F" w:rsidRDefault="00557A6F" w:rsidP="00557A6F">
            <w:pPr>
              <w:jc w:val="right"/>
            </w:pPr>
            <w:r>
              <w:t>6 725</w:t>
            </w:r>
          </w:p>
        </w:tc>
        <w:tc>
          <w:tcPr>
            <w:tcW w:w="1140" w:type="dxa"/>
          </w:tcPr>
          <w:p w:rsidR="00557A6F" w:rsidRDefault="00557A6F" w:rsidP="00557A6F">
            <w:pPr>
              <w:jc w:val="right"/>
            </w:pPr>
            <w:r>
              <w:t>6 696</w:t>
            </w:r>
          </w:p>
        </w:tc>
      </w:tr>
      <w:tr w:rsidR="00557A6F" w:rsidTr="00557A6F">
        <w:trPr>
          <w:trHeight w:val="380"/>
        </w:trPr>
        <w:tc>
          <w:tcPr>
            <w:tcW w:w="1140" w:type="dxa"/>
          </w:tcPr>
          <w:p w:rsidR="00557A6F" w:rsidRDefault="00557A6F" w:rsidP="00557A6F"/>
        </w:tc>
        <w:tc>
          <w:tcPr>
            <w:tcW w:w="4560" w:type="dxa"/>
          </w:tcPr>
          <w:p w:rsidR="00557A6F" w:rsidRDefault="00557A6F" w:rsidP="00557A6F">
            <w:r>
              <w:t>Sum kap. 0590</w:t>
            </w:r>
          </w:p>
        </w:tc>
        <w:tc>
          <w:tcPr>
            <w:tcW w:w="1140" w:type="dxa"/>
          </w:tcPr>
          <w:p w:rsidR="00557A6F" w:rsidRDefault="00557A6F" w:rsidP="00557A6F">
            <w:pPr>
              <w:jc w:val="right"/>
            </w:pPr>
            <w:r>
              <w:t>94 390</w:t>
            </w:r>
          </w:p>
        </w:tc>
        <w:tc>
          <w:tcPr>
            <w:tcW w:w="1140" w:type="dxa"/>
          </w:tcPr>
          <w:p w:rsidR="00557A6F" w:rsidRDefault="00557A6F" w:rsidP="00557A6F">
            <w:pPr>
              <w:jc w:val="right"/>
            </w:pPr>
            <w:r>
              <w:t>102 847</w:t>
            </w:r>
          </w:p>
        </w:tc>
        <w:tc>
          <w:tcPr>
            <w:tcW w:w="1140" w:type="dxa"/>
          </w:tcPr>
          <w:p w:rsidR="00557A6F" w:rsidRDefault="00557A6F" w:rsidP="00557A6F">
            <w:pPr>
              <w:jc w:val="right"/>
            </w:pPr>
            <w:r>
              <w:t>111 454</w:t>
            </w:r>
          </w:p>
        </w:tc>
      </w:tr>
    </w:tbl>
    <w:p w:rsidR="00557A6F" w:rsidRDefault="00557A6F" w:rsidP="00557A6F">
      <w:pPr>
        <w:pStyle w:val="b-post"/>
      </w:pPr>
      <w:r>
        <w:t>Post 61 Byvekstavtaler, kan overføres</w:t>
      </w:r>
    </w:p>
    <w:p w:rsidR="00557A6F" w:rsidRDefault="00557A6F" w:rsidP="00557A6F">
      <w:pPr>
        <w:pStyle w:val="avsnitt-tittel"/>
      </w:pPr>
      <w:r>
        <w:t>Mål for ordningen</w:t>
      </w:r>
    </w:p>
    <w:p w:rsidR="00557A6F" w:rsidRDefault="00557A6F" w:rsidP="00557A6F">
      <w:r>
        <w:t>Tilskuddsordningen skal bidra til arbeidet med å utvikle og gjennomføre arealtiltak i byutviklings- og b</w:t>
      </w:r>
      <w:r>
        <w:t>y</w:t>
      </w:r>
      <w:r>
        <w:t xml:space="preserve">vekstavtaler. </w:t>
      </w:r>
    </w:p>
    <w:p w:rsidR="00557A6F" w:rsidRDefault="00557A6F" w:rsidP="00557A6F">
      <w:pPr>
        <w:pStyle w:val="avsnitt-tittel"/>
      </w:pPr>
      <w:r>
        <w:t>Kriterier for måloppnåelse</w:t>
      </w:r>
    </w:p>
    <w:p w:rsidR="00557A6F" w:rsidRDefault="00557A6F" w:rsidP="00557A6F">
      <w:r>
        <w:t>En rekke indikatorer vil være relevante for å vurdere måloppnåelse for tilskuddordningen, blant annet om</w:t>
      </w:r>
    </w:p>
    <w:p w:rsidR="00557A6F" w:rsidRDefault="00557A6F" w:rsidP="00557A6F">
      <w:pPr>
        <w:pStyle w:val="Liste"/>
      </w:pPr>
      <w:r>
        <w:t>det kan sannsynliggjøres at det er gjennomført prosjekter som har bidratt positivt til nul</w:t>
      </w:r>
      <w:r>
        <w:t>l</w:t>
      </w:r>
      <w:r>
        <w:t>vekstmålet for personbiltransport</w:t>
      </w:r>
    </w:p>
    <w:p w:rsidR="00557A6F" w:rsidRDefault="00557A6F" w:rsidP="00557A6F">
      <w:pPr>
        <w:pStyle w:val="Liste"/>
      </w:pPr>
      <w:r>
        <w:t>det kan sannsynliggjøres at oppfølging av regionale og interkommunale planer har bidratt i bærekra</w:t>
      </w:r>
      <w:r>
        <w:t>f</w:t>
      </w:r>
      <w:r>
        <w:t>tig retning</w:t>
      </w:r>
    </w:p>
    <w:p w:rsidR="00557A6F" w:rsidRDefault="00557A6F" w:rsidP="00557A6F">
      <w:pPr>
        <w:pStyle w:val="Liste"/>
      </w:pPr>
      <w:r>
        <w:t>det er etablert nye samarbeidsstrukturer mellom fylkeskommunale, kommunale og statlige aktører</w:t>
      </w:r>
    </w:p>
    <w:p w:rsidR="00557A6F" w:rsidRDefault="00557A6F" w:rsidP="00557A6F">
      <w:pPr>
        <w:pStyle w:val="Liste"/>
      </w:pPr>
      <w:r>
        <w:t>prosjektet fremmer bruk av kollektivtransport, sykkel og gange</w:t>
      </w:r>
    </w:p>
    <w:p w:rsidR="00557A6F" w:rsidRDefault="00557A6F" w:rsidP="00557A6F">
      <w:pPr>
        <w:pStyle w:val="Liste"/>
      </w:pPr>
      <w:r>
        <w:t xml:space="preserve">prosjektet fremmer fortetting med kvalitet ved kollektivknutepunkt </w:t>
      </w:r>
    </w:p>
    <w:p w:rsidR="00557A6F" w:rsidRDefault="00557A6F" w:rsidP="00557A6F">
      <w:pPr>
        <w:pStyle w:val="Liste"/>
      </w:pPr>
      <w:r>
        <w:t>prosjektet bidrar til å utvikle byrom og utearealer som fremmer attraktive bymiljø og fo</w:t>
      </w:r>
      <w:r>
        <w:t>l</w:t>
      </w:r>
      <w:r>
        <w:t>kehelse</w:t>
      </w:r>
    </w:p>
    <w:p w:rsidR="00557A6F" w:rsidRDefault="00557A6F" w:rsidP="00557A6F">
      <w:pPr>
        <w:pStyle w:val="Liste"/>
      </w:pPr>
      <w:r>
        <w:t>prosjektet fremmer bruk av et rikt og variert handels- og tjenestetilbud.</w:t>
      </w:r>
    </w:p>
    <w:p w:rsidR="00557A6F" w:rsidRDefault="00557A6F" w:rsidP="00557A6F">
      <w:pPr>
        <w:pStyle w:val="avsnitt-tittel"/>
      </w:pPr>
      <w:r>
        <w:t>Tildelingskriterier</w:t>
      </w:r>
    </w:p>
    <w:p w:rsidR="00557A6F" w:rsidRDefault="00557A6F" w:rsidP="00557A6F">
      <w:r>
        <w:t xml:space="preserve">I utvelgelsen av prosjekter vil det bli lagt vekt på om </w:t>
      </w:r>
    </w:p>
    <w:p w:rsidR="00557A6F" w:rsidRDefault="00557A6F" w:rsidP="00557A6F">
      <w:pPr>
        <w:pStyle w:val="Liste"/>
      </w:pPr>
      <w:r>
        <w:t>prosjektene bidrar til boligbygging, fortetting og transformasjon ved eksisterende og nye kollektivtran</w:t>
      </w:r>
      <w:r>
        <w:t>s</w:t>
      </w:r>
      <w:r>
        <w:t>porttraséer, og spesielt rundt holdeplasser/stasjoner</w:t>
      </w:r>
    </w:p>
    <w:p w:rsidR="00557A6F" w:rsidRDefault="00557A6F" w:rsidP="00557A6F">
      <w:pPr>
        <w:pStyle w:val="Liste"/>
      </w:pPr>
      <w:r>
        <w:t>prosjektene sikrer høy grad av urbane kvaliteter og har en arealutnyttelse utover det typiske</w:t>
      </w:r>
    </w:p>
    <w:p w:rsidR="00557A6F" w:rsidRDefault="00557A6F" w:rsidP="00557A6F">
      <w:pPr>
        <w:pStyle w:val="Liste"/>
      </w:pPr>
      <w:r>
        <w:t>prosjektene inngår som verktøy for å følge opp og gjennomføre regional eller interko</w:t>
      </w:r>
      <w:r>
        <w:t>m</w:t>
      </w:r>
      <w:r>
        <w:t>munal plan</w:t>
      </w:r>
    </w:p>
    <w:p w:rsidR="00557A6F" w:rsidRDefault="00557A6F" w:rsidP="00557A6F">
      <w:pPr>
        <w:pStyle w:val="Liste"/>
      </w:pPr>
      <w:r>
        <w:t>prosjektene skal kunne brukes som eksempel for andre byer og byregioner (overførbarhet)</w:t>
      </w:r>
    </w:p>
    <w:p w:rsidR="00557A6F" w:rsidRDefault="00557A6F" w:rsidP="00557A6F">
      <w:pPr>
        <w:pStyle w:val="Liste"/>
      </w:pPr>
      <w:r>
        <w:t>prosjektene innebærer samarbeid med næringsliv og andre private aktører, herunder in</w:t>
      </w:r>
      <w:r>
        <w:t>n</w:t>
      </w:r>
      <w:r>
        <w:t>byggere</w:t>
      </w:r>
    </w:p>
    <w:p w:rsidR="00557A6F" w:rsidRDefault="00557A6F" w:rsidP="00557A6F">
      <w:pPr>
        <w:pStyle w:val="Liste"/>
      </w:pPr>
      <w:r>
        <w:t>prosjektene omfatter smart bruk av IKT</w:t>
      </w:r>
    </w:p>
    <w:p w:rsidR="00557A6F" w:rsidRDefault="00557A6F" w:rsidP="00557A6F">
      <w:pPr>
        <w:pStyle w:val="Liste"/>
      </w:pPr>
      <w:proofErr w:type="gramStart"/>
      <w:r>
        <w:t>prosjektene viser hvordan universell utforming kan inngå.</w:t>
      </w:r>
      <w:proofErr w:type="gramEnd"/>
    </w:p>
    <w:p w:rsidR="00557A6F" w:rsidRDefault="00557A6F" w:rsidP="00557A6F">
      <w:r>
        <w:t>Kommuner og fylkeskommuner som omfatter områder som er berørt av arbeidet med byutviklings- og byvekstavtaler, kan søke om midler.</w:t>
      </w:r>
    </w:p>
    <w:p w:rsidR="00557A6F" w:rsidRDefault="00557A6F" w:rsidP="00557A6F">
      <w:pPr>
        <w:pStyle w:val="avsnitt-tittel"/>
      </w:pPr>
      <w:r>
        <w:t>Oppfølging og kontroll</w:t>
      </w:r>
    </w:p>
    <w:p w:rsidR="00557A6F" w:rsidRDefault="00557A6F" w:rsidP="00557A6F">
      <w:r>
        <w:t>Departementet setter vilkår for bruken av midler og krav til rapportering fra mottakerne. Prosje</w:t>
      </w:r>
      <w:r>
        <w:t>k</w:t>
      </w:r>
      <w:r>
        <w:t>tene vil også direkte og indirekte bli fulgt opp gjennom dialogen om byutviklings- og byvekstavt</w:t>
      </w:r>
      <w:r>
        <w:t>a</w:t>
      </w:r>
      <w:r>
        <w:t xml:space="preserve">ler. </w:t>
      </w:r>
    </w:p>
    <w:p w:rsidR="00557A6F" w:rsidRDefault="00557A6F" w:rsidP="00557A6F">
      <w:pPr>
        <w:pStyle w:val="avsnitt-tittel"/>
      </w:pPr>
      <w:r>
        <w:t>Rapport</w:t>
      </w:r>
    </w:p>
    <w:p w:rsidR="00557A6F" w:rsidRDefault="00557A6F" w:rsidP="00557A6F">
      <w:r>
        <w:t>I 2018 og 2019 ble det bevilget henholdsvis 20,1 mill. kroner og 20,7 mill. kroner. Begge årene har det blitt gitt støtte til en rekke prosjekter i alle byområdene som er omfattet av ordningen, og som bygger opp under kriteriene for måloppnåelse. Byområdene arbeider aktivt for å få til gode og b</w:t>
      </w:r>
      <w:r>
        <w:t>æ</w:t>
      </w:r>
      <w:r>
        <w:t>rekraftige løsninger for byutvikling i et regionalt perspektiv, knyttet til nullvekstmålet for perso</w:t>
      </w:r>
      <w:r>
        <w:t>n</w:t>
      </w:r>
      <w:r>
        <w:t>biltransport og med formål å fremme kollektivtransport, sykkel og gange. Mange av prosjektene dreier seg om fortetting og transfo</w:t>
      </w:r>
      <w:r>
        <w:t>r</w:t>
      </w:r>
      <w:r>
        <w:t>masjon i sentrumsområder og ved kollektivknutepunkter. Her legges det vekt på at omformingen skal skje med kvalitet, der viktige parametere for god byutvi</w:t>
      </w:r>
      <w:r>
        <w:t>k</w:t>
      </w:r>
      <w:r>
        <w:t>ling tas hensyn til. Prosjektene varierer fra arbeid med konkrete byutviklingsplaner og tiltak, til metodespørsmål og problemstillinger som er viktige for å følge opp regionale og interkommunale planer. En betydelig andel av prosjektene er samarbeidsprosje</w:t>
      </w:r>
      <w:r>
        <w:t>k</w:t>
      </w:r>
      <w:r>
        <w:t>ter mellom fylkeskommunen og kommuner. I noen prosjekter er også statlige aktører inne, som for eksempel Vegvesenet. Depa</w:t>
      </w:r>
      <w:r>
        <w:t>r</w:t>
      </w:r>
      <w:r>
        <w:t>tementet legger vekt på at prosjektene blir gjort kjent for andre og gjennomf</w:t>
      </w:r>
      <w:r>
        <w:t>ø</w:t>
      </w:r>
      <w:r>
        <w:t xml:space="preserve">rer årlige samlinger for utveksling av kunnskap og erfaringer. </w:t>
      </w:r>
    </w:p>
    <w:p w:rsidR="00557A6F" w:rsidRDefault="00557A6F" w:rsidP="00557A6F">
      <w:r>
        <w:t xml:space="preserve">Et eksempel på et bredt samarbeidsprosjekt er den nylig utgitte veilederen </w:t>
      </w:r>
      <w:r>
        <w:rPr>
          <w:rStyle w:val="kursiv"/>
          <w:sz w:val="21"/>
          <w:szCs w:val="21"/>
        </w:rPr>
        <w:t>Fortetting og transform</w:t>
      </w:r>
      <w:r>
        <w:rPr>
          <w:rStyle w:val="kursiv"/>
          <w:sz w:val="21"/>
          <w:szCs w:val="21"/>
        </w:rPr>
        <w:t>a</w:t>
      </w:r>
      <w:r>
        <w:rPr>
          <w:rStyle w:val="kursiv"/>
          <w:sz w:val="21"/>
          <w:szCs w:val="21"/>
        </w:rPr>
        <w:t>sjon med bykvalitet i bybåndet – Oppfølging av regional plan for areal og transport i Oslo og Akershus</w:t>
      </w:r>
      <w:r>
        <w:t>. Be</w:t>
      </w:r>
      <w:r>
        <w:lastRenderedPageBreak/>
        <w:t>rørte kommuner, fylkeskommune, fylkesmann og relevante transportaktører har samarbeidet om å u</w:t>
      </w:r>
      <w:r>
        <w:t>t</w:t>
      </w:r>
      <w:r>
        <w:t>vikle en veileder som beskriver prosesser og metoder for å få til den ønskede fortettingen. Aktiv involvering av partene, som har gitt erfaringsutveksling og kompetanseutvikling underveis, har bidratt til å gjøre ve</w:t>
      </w:r>
      <w:r>
        <w:t>i</w:t>
      </w:r>
      <w:r>
        <w:t xml:space="preserve">lederen svært relevant. </w:t>
      </w:r>
    </w:p>
    <w:p w:rsidR="00557A6F" w:rsidRDefault="00557A6F" w:rsidP="00557A6F">
      <w:r>
        <w:t xml:space="preserve">Også i de andre byområdene er </w:t>
      </w:r>
      <w:proofErr w:type="gramStart"/>
      <w:r>
        <w:t>det</w:t>
      </w:r>
      <w:proofErr w:type="gramEnd"/>
      <w:r>
        <w:t xml:space="preserve"> flere </w:t>
      </w:r>
      <w:proofErr w:type="gramStart"/>
      <w:r>
        <w:t>eksempler</w:t>
      </w:r>
      <w:proofErr w:type="gramEnd"/>
      <w:r>
        <w:t xml:space="preserve"> på prosjekter med formål å realisere boligby</w:t>
      </w:r>
      <w:r>
        <w:t>g</w:t>
      </w:r>
      <w:r>
        <w:t>ging, fortetting og transformasjon i prioriterte utviklingsområder i tråd med regionale eller inte</w:t>
      </w:r>
      <w:r>
        <w:t>r</w:t>
      </w:r>
      <w:r>
        <w:t>kommunale planer. I Bergensområdet arbeides det med et felles og retningsgivende regionalt b</w:t>
      </w:r>
      <w:r>
        <w:t>o</w:t>
      </w:r>
      <w:r>
        <w:t>ligbyggeprogram. I Trondheimsområdet skal et bredt samarbeidsprosjekt bidra til å utvikle kun</w:t>
      </w:r>
      <w:r>
        <w:t>n</w:t>
      </w:r>
      <w:r>
        <w:t>skap om hvordan kommunene i regionen skal få til fortetting med kvalitet, spesielt rundt jernban</w:t>
      </w:r>
      <w:r>
        <w:t>e</w:t>
      </w:r>
      <w:r>
        <w:t xml:space="preserve">stasjonene. På Nord-Jæren arbeides det med kvalitets- og designkriteria som skal være et verktøy og en ressurs, for å bistå i utviklingen av områder, byggeprosjekter, boliger og byrom i tråd med målene i byvekstavtalen. </w:t>
      </w:r>
    </w:p>
    <w:p w:rsidR="00557A6F" w:rsidRDefault="00557A6F" w:rsidP="00557A6F">
      <w:pPr>
        <w:pStyle w:val="avsnitt-tittel"/>
      </w:pPr>
      <w:r>
        <w:t>Budsjettforslag</w:t>
      </w:r>
    </w:p>
    <w:p w:rsidR="00557A6F" w:rsidRDefault="00557A6F" w:rsidP="00557A6F">
      <w:r>
        <w:t>Det foreslås en bevilgning på 21,3 mill. kroner i 2020. Tilskuddsordningen supplerer Samferdsel</w:t>
      </w:r>
      <w:r>
        <w:t>s</w:t>
      </w:r>
      <w:r>
        <w:t>departementets bevilgninger til byvekstavtaler og belønningsavtaler, jf. omtale i Prop. 1 S (2019–2020) for Sa</w:t>
      </w:r>
      <w:r>
        <w:t>m</w:t>
      </w:r>
      <w:r>
        <w:t>ferdselsdepartementet.</w:t>
      </w:r>
    </w:p>
    <w:p w:rsidR="00557A6F" w:rsidRDefault="00557A6F" w:rsidP="00557A6F">
      <w:pPr>
        <w:pStyle w:val="b-post"/>
      </w:pPr>
      <w:r>
        <w:t>Post 65 Områdesatsing i byer, kan overføres</w:t>
      </w:r>
    </w:p>
    <w:p w:rsidR="00557A6F" w:rsidRDefault="00557A6F" w:rsidP="00557A6F">
      <w:pPr>
        <w:pStyle w:val="avsnitt-tittel"/>
      </w:pPr>
      <w:r>
        <w:t>Mål for ordningen</w:t>
      </w:r>
    </w:p>
    <w:p w:rsidR="00557A6F" w:rsidRDefault="00557A6F" w:rsidP="00557A6F">
      <w:r>
        <w:t>Tilskuddet skal bidra til at flere beboere i områder med særskilte levekårsutfordringer kan bli øk</w:t>
      </w:r>
      <w:r>
        <w:t>o</w:t>
      </w:r>
      <w:r>
        <w:t>nomisk selvstendige gjennom arbeid, og bli aktive deltakere i lokalsamfunn og storsamfunn. Det skal også bidra til varige forbedringer av tjenester og nærmiljøkvaliteter i disse områdene.</w:t>
      </w:r>
    </w:p>
    <w:p w:rsidR="00557A6F" w:rsidRDefault="00557A6F" w:rsidP="00557A6F">
      <w:pPr>
        <w:pStyle w:val="avsnitt-tittel"/>
      </w:pPr>
      <w:r>
        <w:t>Kriterier for måloppnåelse</w:t>
      </w:r>
    </w:p>
    <w:p w:rsidR="00557A6F" w:rsidRDefault="00557A6F" w:rsidP="00557A6F">
      <w:r>
        <w:t xml:space="preserve">En rekke kriterier vil være relevante for å vurdere måloppnåelse for tilskuddsordningen </w:t>
      </w:r>
    </w:p>
    <w:p w:rsidR="00557A6F" w:rsidRDefault="00557A6F" w:rsidP="00557A6F">
      <w:pPr>
        <w:pStyle w:val="Liste"/>
      </w:pPr>
      <w:r>
        <w:t xml:space="preserve">om det har blitt bedre fysiske kvaliteter og økt trygghet, livskvalitet og mangfold </w:t>
      </w:r>
    </w:p>
    <w:p w:rsidR="00557A6F" w:rsidRDefault="00557A6F" w:rsidP="00557A6F">
      <w:pPr>
        <w:pStyle w:val="Liste"/>
      </w:pPr>
      <w:r>
        <w:t>om det er utviklet arbeidsformer og virkemidler som bidrar til omdømmebygging, gode bomiljø, økt frivillighet og bedre offentlige tjenester tilpasset lokale behov i utsatte loka</w:t>
      </w:r>
      <w:r>
        <w:t>l</w:t>
      </w:r>
      <w:r>
        <w:t>områder</w:t>
      </w:r>
    </w:p>
    <w:p w:rsidR="00557A6F" w:rsidRDefault="00557A6F" w:rsidP="00557A6F">
      <w:pPr>
        <w:pStyle w:val="Liste"/>
      </w:pPr>
      <w:proofErr w:type="gramStart"/>
      <w:r>
        <w:t>om det er bedre kopling mellom overordnet byutvikling og nærmiljøarbeidet i områdesa</w:t>
      </w:r>
      <w:r>
        <w:t>t</w:t>
      </w:r>
      <w:r>
        <w:t>singene.</w:t>
      </w:r>
      <w:proofErr w:type="gramEnd"/>
    </w:p>
    <w:p w:rsidR="00557A6F" w:rsidRDefault="00557A6F" w:rsidP="00557A6F">
      <w:pPr>
        <w:pStyle w:val="avsnitt-tittel"/>
      </w:pPr>
      <w:r>
        <w:t>Tildelingskriterier</w:t>
      </w:r>
    </w:p>
    <w:p w:rsidR="00557A6F" w:rsidRDefault="00557A6F" w:rsidP="00557A6F">
      <w:r>
        <w:t>Tilskuddet skal gå til tiltak som bedrer kvalitetene i de fysiske omgivelsene, bidrar til at innby</w:t>
      </w:r>
      <w:r>
        <w:t>g</w:t>
      </w:r>
      <w:r>
        <w:t>gerne blir økonomisk selvstendige og styrker kommunenes arbeid med å forbedre tjenester i omr</w:t>
      </w:r>
      <w:r>
        <w:t>å</w:t>
      </w:r>
      <w:r>
        <w:t>der med store levekårsutfordringer. Kommuner som har byområder som er omfattet av ordningen, kan søke om midler til gjennomføring av en årlig handlingsplan for områdesatsingen. Dette gjelder Oslo, Drammen, Bergen og Stavanger. Kommunenes og statens andel i programmene avklares i de årlige budsjettene. Handlingsplanene skal utarbeides i samarbeid mellom stat og kommune. Han</w:t>
      </w:r>
      <w:r>
        <w:t>d</w:t>
      </w:r>
      <w:r>
        <w:t xml:space="preserve">lingsplanen skal omfatte tiltak som bidrar til </w:t>
      </w:r>
    </w:p>
    <w:p w:rsidR="00557A6F" w:rsidRDefault="00557A6F" w:rsidP="00557A6F">
      <w:pPr>
        <w:pStyle w:val="Liste"/>
      </w:pPr>
      <w:r>
        <w:t>inkludering, trygge og gode bo-, oppvekst -og nærmiljøer</w:t>
      </w:r>
    </w:p>
    <w:p w:rsidR="00557A6F" w:rsidRDefault="00557A6F" w:rsidP="00557A6F">
      <w:pPr>
        <w:pStyle w:val="Liste"/>
      </w:pPr>
      <w:r>
        <w:t>frivillighet i utsatte lokalområder</w:t>
      </w:r>
    </w:p>
    <w:p w:rsidR="00557A6F" w:rsidRDefault="00557A6F" w:rsidP="00557A6F">
      <w:pPr>
        <w:pStyle w:val="Liste"/>
      </w:pPr>
      <w:r>
        <w:t xml:space="preserve">økt kvalitet i de fysiske omgivelsene og attraktive møteplasser </w:t>
      </w:r>
    </w:p>
    <w:p w:rsidR="00557A6F" w:rsidRDefault="00557A6F" w:rsidP="00557A6F">
      <w:pPr>
        <w:pStyle w:val="Liste"/>
      </w:pPr>
      <w:r>
        <w:t xml:space="preserve">å stimulere til sosialt entreprenørskap </w:t>
      </w:r>
    </w:p>
    <w:p w:rsidR="00557A6F" w:rsidRDefault="00557A6F" w:rsidP="00557A6F">
      <w:pPr>
        <w:pStyle w:val="Liste"/>
      </w:pPr>
      <w:r>
        <w:t xml:space="preserve">å forebygge utenforskap og kriminalitet </w:t>
      </w:r>
    </w:p>
    <w:p w:rsidR="00557A6F" w:rsidRDefault="00557A6F" w:rsidP="00557A6F">
      <w:pPr>
        <w:pStyle w:val="Liste"/>
      </w:pPr>
      <w:r>
        <w:t xml:space="preserve">å bedre ulike offentlige tjenester </w:t>
      </w:r>
    </w:p>
    <w:p w:rsidR="00557A6F" w:rsidRDefault="00557A6F" w:rsidP="00557A6F">
      <w:pPr>
        <w:pStyle w:val="Liste"/>
      </w:pPr>
      <w:r>
        <w:t>omdømmebygging og gode bomiljø</w:t>
      </w:r>
    </w:p>
    <w:p w:rsidR="00557A6F" w:rsidRDefault="00557A6F" w:rsidP="00557A6F">
      <w:pPr>
        <w:pStyle w:val="Liste"/>
      </w:pPr>
      <w:proofErr w:type="gramStart"/>
      <w:r>
        <w:t>bedre kopling mellom overordnet byutvikling og det konkrete nærmiljøarbeidet.</w:t>
      </w:r>
      <w:proofErr w:type="gramEnd"/>
    </w:p>
    <w:p w:rsidR="00557A6F" w:rsidRDefault="00557A6F" w:rsidP="00557A6F">
      <w:pPr>
        <w:pStyle w:val="avsnitt-tittel"/>
      </w:pPr>
      <w:r>
        <w:t>Oppfølging og kontroll</w:t>
      </w:r>
    </w:p>
    <w:p w:rsidR="00557A6F" w:rsidRDefault="00557A6F" w:rsidP="00557A6F">
      <w:r>
        <w:t>Departementet forvalter tilskuddet, og koordinerer innsatsen fra de samarbeidende departementene. Igangsatte tiltak blir fulgt opp fortløpende, både faglig og økonomisk. Det mottas årsrapporter og regn</w:t>
      </w:r>
      <w:r>
        <w:t>s</w:t>
      </w:r>
      <w:r>
        <w:t xml:space="preserve">kapsrapporter fra kommunene. </w:t>
      </w:r>
    </w:p>
    <w:p w:rsidR="00557A6F" w:rsidRDefault="00557A6F" w:rsidP="00557A6F">
      <w:r>
        <w:lastRenderedPageBreak/>
        <w:t>Hvert femte år vil befolkningen i områdene bli spurt om de har opplevd forbedring. Det blir også gjennomført evalueringer av områdesatsingene.</w:t>
      </w:r>
    </w:p>
    <w:p w:rsidR="00557A6F" w:rsidRDefault="00557A6F" w:rsidP="00557A6F">
      <w:pPr>
        <w:pStyle w:val="avsnitt-tittel"/>
      </w:pPr>
      <w:r>
        <w:t>Rapport</w:t>
      </w:r>
    </w:p>
    <w:p w:rsidR="00557A6F" w:rsidRDefault="00557A6F" w:rsidP="00557A6F">
      <w:r>
        <w:t>I 2018 ble det bevilget 40,2 mill. kroner på posten. Midlene har gått til tiltak for å få flere i arbeid, ruste opp bo- og nærmiljø, skape møteplasser og kulturaktiviteter, bedre integrering av innvandr</w:t>
      </w:r>
      <w:r>
        <w:t>e</w:t>
      </w:r>
      <w:r>
        <w:t>re, bedre resultat i grunnskolen, redusere frafall i videregående skole, redusere kriminalitet og styrke folkehelsen.</w:t>
      </w:r>
    </w:p>
    <w:p w:rsidR="00557A6F" w:rsidRDefault="00557A6F" w:rsidP="00557A6F">
      <w:r>
        <w:t>Over posten er det i 2019 bevilget 15,7 mill. kroner til Groruddalssatsingen. Midlene har blant a</w:t>
      </w:r>
      <w:r>
        <w:t>n</w:t>
      </w:r>
      <w:r>
        <w:t>net blitt brukt til opprustning av bo- og nærmiljø, møteplasser og kulturaktiviteter.</w:t>
      </w:r>
    </w:p>
    <w:p w:rsidR="00557A6F" w:rsidRDefault="00557A6F" w:rsidP="00557A6F">
      <w:r>
        <w:t>Til områdesatsing i Oslo sør er det bevilget 17,5 mill. kroner i 2019. Regjeringen signerte en pr</w:t>
      </w:r>
      <w:r>
        <w:t>o</w:t>
      </w:r>
      <w:r>
        <w:t>grambeskrivelse med Oslo kommune i 2018 for en fornyet områdesatsing i Oslo sør for perioden 2018–2026. Midlene er nyttet til opprustning av bo- og nærmiljø, festivaler og møteplasser og ulike int</w:t>
      </w:r>
      <w:r>
        <w:t>e</w:t>
      </w:r>
      <w:r>
        <w:t>greringstiltak.</w:t>
      </w:r>
    </w:p>
    <w:p w:rsidR="00557A6F" w:rsidRDefault="00557A6F" w:rsidP="00557A6F">
      <w:r>
        <w:t>Det er bevilget 3,5 mill. kroner til Oslo indre øst i 2019. Midlene har blant annet blitt brukt til støtte til opprettelsen av Tøyen torgforening, utvikling av Tøyen Unlimited, utvikling og drift av aktiv</w:t>
      </w:r>
      <w:r>
        <w:t>i</w:t>
      </w:r>
      <w:r>
        <w:t>tetshuset K1 og opprustning av en rekke parker og plasser på Tøyen og Grønland. Regjeringen u</w:t>
      </w:r>
      <w:r>
        <w:t>n</w:t>
      </w:r>
      <w:r>
        <w:t>dertegnet i november 2018 en intensjonsa</w:t>
      </w:r>
      <w:r>
        <w:t>v</w:t>
      </w:r>
      <w:r>
        <w:t>tale med Oslo kommune om et langsiktig samarbeid om en ny områdesatsing i Oslo indre øst for perioden 2019–2026.</w:t>
      </w:r>
    </w:p>
    <w:p w:rsidR="00557A6F" w:rsidRDefault="00557A6F" w:rsidP="00557A6F">
      <w:r>
        <w:t>Det er bevilget 10,6 mill. kroner i 2019 til Fjell i Drammen. Drammen har blant annet brukt midl</w:t>
      </w:r>
      <w:r>
        <w:t>e</w:t>
      </w:r>
      <w:r>
        <w:t>ne til utvikling av aktivitetsskole, parsellhager, allmenning og hall/aktivitetshus, og ulike sysselse</w:t>
      </w:r>
      <w:r>
        <w:t>t</w:t>
      </w:r>
      <w:r>
        <w:t>tingstiltak. Satsingen skal evalueres når den er avsluttet i 2020. Nye Drammen kommune vil i løpet av 2020 vurdere hvordan arbeidet med levekårsutsatte områder skal innrettes i den nye kommunen. Regjeringen vil i samarbeid med Drammen kommune vurdere om det er behov for en ny felles sa</w:t>
      </w:r>
      <w:r>
        <w:t>t</w:t>
      </w:r>
      <w:r>
        <w:t xml:space="preserve">sing. </w:t>
      </w:r>
    </w:p>
    <w:p w:rsidR="00557A6F" w:rsidRDefault="00557A6F" w:rsidP="00557A6F">
      <w:r>
        <w:t>Det er bevilget 6 mill. kroner til Storhaug i Stavanger i 2019. Stavanger har prioritert tiltak for å få et bedre kunnskapsgrunnlag, blant annet gjennom en null-punktsmåling og barnetråkk. Stavanger har også gjennomført ulike tiltak for å få økt innbyggerinvolvering, blant annet utvikling av et akt</w:t>
      </w:r>
      <w:r>
        <w:t>i</w:t>
      </w:r>
      <w:r>
        <w:t>vitetshus, samt flere bo- og nærmi</w:t>
      </w:r>
      <w:r>
        <w:t>l</w:t>
      </w:r>
      <w:r>
        <w:t>jøtiltak.</w:t>
      </w:r>
    </w:p>
    <w:p w:rsidR="00557A6F" w:rsidRDefault="00557A6F" w:rsidP="00557A6F">
      <w:r>
        <w:t>Det er bevilget 3 mill. kroner til områdesatsing i Bergen i 2019. Staten samarbeider med Bergen kommune om områdesatsing i Loddefjord og Olsvik. Midlene som er bevilget i 2019 har gått til å forbedre nærmiljøer, tiltak som skal få ned frafallet i skolen og styrke utdanningsnivået og mer sosialt rettferdig utvikling når områdene fortettes.</w:t>
      </w:r>
    </w:p>
    <w:p w:rsidR="00557A6F" w:rsidRDefault="00557A6F" w:rsidP="00557A6F">
      <w:r>
        <w:t>I områdesatsingen i Groruddalen har Bydel Bjerke i Oslo bygget opp et tilbud til 80 arbeidstakere fordelt på 36 bedrifter, frivillige foreninger og sosiale entreprenører på nedlagte Voll</w:t>
      </w:r>
      <w:r>
        <w:t>e</w:t>
      </w:r>
      <w:r>
        <w:t>bekk-fabrikker. Tilbudet er både en i</w:t>
      </w:r>
      <w:r>
        <w:t>n</w:t>
      </w:r>
      <w:r>
        <w:t>kubator med nyskapende løsninger på miljøproblemer, et inkluderende nærmiljøhus for lokale foreninger og en arena for arbeidstrening. Dette er spennende aktiviteter til hele befolkningen i nærområdet. Tiltaket er et partnerskap mellom Bydel Bjerke, A</w:t>
      </w:r>
      <w:r>
        <w:t>s</w:t>
      </w:r>
      <w:r>
        <w:t>pelin Ramm, OBOS og Pådriv for å prøve ut en modell for byutvikling ved å bruke tomme lokaler, som på sikt skal rives, til aktiviteter. Dette er et eksempel på hvordan innovative tiltak utvikles i områdesatsingene gjennom samskaping og partnerskap som arbeidsform.</w:t>
      </w:r>
    </w:p>
    <w:p w:rsidR="00557A6F" w:rsidRDefault="00557A6F" w:rsidP="00557A6F">
      <w:pPr>
        <w:pStyle w:val="avsnitt-tittel"/>
      </w:pPr>
      <w:r>
        <w:t>Budsjettforslag</w:t>
      </w:r>
    </w:p>
    <w:p w:rsidR="00557A6F" w:rsidRDefault="00557A6F" w:rsidP="00557A6F">
      <w:r>
        <w:t xml:space="preserve">Det foreslås en bevilgning på 63,2 mill. kroner i 2020. </w:t>
      </w:r>
    </w:p>
    <w:p w:rsidR="00557A6F" w:rsidRDefault="00557A6F" w:rsidP="00557A6F">
      <w:r>
        <w:t>Det foreslås å tildele 14,1 mill. kroner til Groruddalssatsingen, 10 mill. kroner til den nye satsingen Oslo indre øst, 17,5 mill. kroner til Oslo sør, 10,6 mill. kroner til Fjell i Drammen, 6 mill. kroner til Sto</w:t>
      </w:r>
      <w:r>
        <w:t>r</w:t>
      </w:r>
      <w:r>
        <w:t xml:space="preserve">haug i Stavanger og 5 mill. kroner til Bergen. </w:t>
      </w:r>
    </w:p>
    <w:p w:rsidR="00557A6F" w:rsidRDefault="00557A6F" w:rsidP="00557A6F">
      <w:r>
        <w:t>Som en del av Groruddalssatsingen foreslås det å sette av 1,5 mill. kroner til departementets arbeid med koordinering, utredninger, kunnskapsformidling og nettverksarbeid på kap. 500, post 21 Sp</w:t>
      </w:r>
      <w:r>
        <w:t>e</w:t>
      </w:r>
      <w:r>
        <w:t xml:space="preserve">sielle driftsutgifter. </w:t>
      </w:r>
    </w:p>
    <w:p w:rsidR="00557A6F" w:rsidRDefault="00557A6F" w:rsidP="00557A6F">
      <w:r>
        <w:t>Det foreslås også midler til områdesatsingene over andre departementers budsjett. Se tabell 6.26 for oversikt.</w:t>
      </w:r>
    </w:p>
    <w:p w:rsidR="00557A6F" w:rsidRDefault="00557A6F" w:rsidP="00557A6F">
      <w:pPr>
        <w:pStyle w:val="b-post"/>
      </w:pPr>
      <w:r>
        <w:lastRenderedPageBreak/>
        <w:t>Post 71 Internasjonale organisasjoner</w:t>
      </w:r>
    </w:p>
    <w:p w:rsidR="00557A6F" w:rsidRDefault="00557A6F" w:rsidP="00557A6F">
      <w:r>
        <w:t>Tidligere ble Norges kontingent til den Internasjonale Hydrografiske Organisasjon dekket over denne posten. Bevilgning til å dekke kontingenten ble overført til kap. 500, post 21 i 2019.</w:t>
      </w:r>
    </w:p>
    <w:p w:rsidR="00557A6F" w:rsidRDefault="00557A6F" w:rsidP="00557A6F">
      <w:pPr>
        <w:pStyle w:val="b-post"/>
      </w:pPr>
      <w:r>
        <w:t>Post 72 Bolig- og områdeutvikling i byer, kan overføres</w:t>
      </w:r>
    </w:p>
    <w:p w:rsidR="00557A6F" w:rsidRDefault="00557A6F" w:rsidP="00557A6F">
      <w:r>
        <w:t xml:space="preserve">Ordningen skal bidra til </w:t>
      </w:r>
      <w:proofErr w:type="gramStart"/>
      <w:r>
        <w:t>å</w:t>
      </w:r>
      <w:proofErr w:type="gramEnd"/>
      <w:r>
        <w:t xml:space="preserve"> nå mål 4 Vanskeligstilte på boligmarkedet skal kunne skaffe seg og b</w:t>
      </w:r>
      <w:r>
        <w:t>e</w:t>
      </w:r>
      <w:r>
        <w:t>holde en egnet bolig under programkategori 13.80. Det vises også til omtale under mål 2 og post 65 ovenfor.</w:t>
      </w:r>
    </w:p>
    <w:p w:rsidR="00557A6F" w:rsidRDefault="00557A6F" w:rsidP="00557A6F">
      <w:r>
        <w:t>Tilskuddet skal bidra til å forbedre bomiljøet, deriblant å løse lokale utfordringer for innbyggerne i områder med særskilte levekårsutfordringer.</w:t>
      </w:r>
    </w:p>
    <w:p w:rsidR="00557A6F" w:rsidRDefault="00557A6F" w:rsidP="00557A6F">
      <w:r>
        <w:t>Kriterier for måloppnåelse er sammensatt av flere indikatorer som forbedret fysiske kvaliteter ved bomiljøet, økt opplevelse av trygghet og sosial deltakelse i nærmiljøet.</w:t>
      </w:r>
    </w:p>
    <w:p w:rsidR="00557A6F" w:rsidRDefault="00557A6F" w:rsidP="00557A6F">
      <w:r>
        <w:t>Tilskuddet går til kommunenes områderettede innsats i Oslo, Bergen og Trondheim. Tilskudd skal brukes til fysiske tiltak som bidrar til å øke kvaliteten i bygninger og uteområder, og til utvikling av nye bomiljøtiltak, b</w:t>
      </w:r>
      <w:r>
        <w:t>o</w:t>
      </w:r>
      <w:r>
        <w:t>ligkonsepter og lignende som bidrar til å bedre et område fysisk og sosialt. Tilskuddet kan også gis til kun</w:t>
      </w:r>
      <w:r>
        <w:t>n</w:t>
      </w:r>
      <w:r>
        <w:t>skaps-, informasjons- og kompetansetiltak.</w:t>
      </w:r>
    </w:p>
    <w:p w:rsidR="00557A6F" w:rsidRDefault="00557A6F" w:rsidP="00557A6F">
      <w:r>
        <w:t>Husbanken forvalter ordningen. Igangsatte tiltak blir fulgt opp fortløpende faglig og økonomisk. Det mottas ra</w:t>
      </w:r>
      <w:r>
        <w:t>p</w:t>
      </w:r>
      <w:r>
        <w:t>porter på innsatsen fra de involverte kommunene.</w:t>
      </w:r>
    </w:p>
    <w:p w:rsidR="00557A6F" w:rsidRDefault="00557A6F" w:rsidP="00557A6F">
      <w:pPr>
        <w:pStyle w:val="avsnitt-tittel"/>
      </w:pPr>
      <w:r>
        <w:t>Rapport</w:t>
      </w:r>
    </w:p>
    <w:p w:rsidR="00557A6F" w:rsidRDefault="00557A6F" w:rsidP="00557A6F">
      <w:r>
        <w:t>I 2018 ga Husbanken tilsagn om tilskudd til tre prosjekter for i alt 20,2 mill. kroner. Hele tilsagn</w:t>
      </w:r>
      <w:r>
        <w:t>s</w:t>
      </w:r>
      <w:r>
        <w:t xml:space="preserve">rammen ble brukt. Oslo fikk tildelt 9,4 mill. kroner til tiltak i Indre Oslo Øst. Husbankens bidrag er knyttet til samarbeidsavtalen mellom Oslo kommune og Husbanken. </w:t>
      </w:r>
    </w:p>
    <w:p w:rsidR="00557A6F" w:rsidRDefault="00557A6F" w:rsidP="00557A6F">
      <w:r>
        <w:t>Bergen fikk tildelt 7,7 mill. kroner til tiltak i Solheim nord i Årstad bydel, Ytre og Indre Arna, Ol</w:t>
      </w:r>
      <w:r>
        <w:t>s</w:t>
      </w:r>
      <w:r>
        <w:t>vik og Lodd</w:t>
      </w:r>
      <w:r>
        <w:t>e</w:t>
      </w:r>
      <w:r>
        <w:t>fjord. Områdene Loddefjord og Olsvik ble prioritert fra 2018 og det ble gjennomført et forprosjekt for områd</w:t>
      </w:r>
      <w:r>
        <w:t>e</w:t>
      </w:r>
      <w:r>
        <w:t>satsingen i disse områdene. Det er gjennomført en innbyggerundersøkelse for å sikre et bredt kunnskapsgrunnlag om innbyggernes opplevelser i og holdninger til eget næ</w:t>
      </w:r>
      <w:r>
        <w:t>r</w:t>
      </w:r>
      <w:r>
        <w:t xml:space="preserve">miljø. </w:t>
      </w:r>
    </w:p>
    <w:p w:rsidR="00557A6F" w:rsidRDefault="00557A6F" w:rsidP="00557A6F">
      <w:r>
        <w:t>Trondheim kommune fikk tildelt 3,1 mill. kroner til en videreføring av områdesatsing i Sau</w:t>
      </w:r>
      <w:r>
        <w:t>p</w:t>
      </w:r>
      <w:r>
        <w:t>stad-Kolstad. Målet er at barn og unges kompetanse skal styrkes, og at Saupstad-Kolstad skal være en inkluderende bydel med gode møteplasser og muligheter for deltakelse. Trondheim kommune har en prosjektgruppe som arbeider med områdeløft i Saupstad-Kolstad og de inngikk en sama</w:t>
      </w:r>
      <w:r>
        <w:t>r</w:t>
      </w:r>
      <w:r>
        <w:t>beids- og pr</w:t>
      </w:r>
      <w:r>
        <w:t>o</w:t>
      </w:r>
      <w:r>
        <w:t>gramavtale med Husbanken i 2016 for perioden fram til 2020.</w:t>
      </w:r>
    </w:p>
    <w:p w:rsidR="00557A6F" w:rsidRDefault="00557A6F" w:rsidP="00557A6F">
      <w:r>
        <w:t>Oslo har utviklet et eget sett med delmål, knyttet til delprogram Nærmiljø. Det arbeides med et eget måleverktøy og indikatorsett, som vil benyttes fra høsten 2019. Verktøyet har hentet erfaringer og innspill fra tidligere mål, resultat- og effektmålingsverktøy som Husbanken fikk utviklet i Groru</w:t>
      </w:r>
      <w:r>
        <w:t>d</w:t>
      </w:r>
      <w:r>
        <w:t>dalssatsingen 2007–2016. Undersøkelsen ble sist gjennomført i blant annet Oslo, Bergen og Trondheim i 2016/2017. Undersøkelsen viste større tilfredshet ved bomiljø, økt trygghet og økt bruk av sosiale møteplasser (Samfunnsøkonomisk Analyse 2017).</w:t>
      </w:r>
    </w:p>
    <w:p w:rsidR="00557A6F" w:rsidRDefault="00557A6F" w:rsidP="00557A6F">
      <w:pPr>
        <w:pStyle w:val="avsnitt-tittel"/>
      </w:pPr>
      <w:r>
        <w:t>Budsjettforslag</w:t>
      </w:r>
    </w:p>
    <w:p w:rsidR="00557A6F" w:rsidRDefault="00557A6F" w:rsidP="00557A6F">
      <w:r>
        <w:t>Posten budsjetteres med tilsagnsramme, tilsagnsfullmakt og bevilgning. For informasjon om bu</w:t>
      </w:r>
      <w:r>
        <w:t>d</w:t>
      </w:r>
      <w:r>
        <w:t>sjetteringssystemet vises det til boks 6.2 i Prop. 1 S (2017–2018).</w:t>
      </w:r>
    </w:p>
    <w:p w:rsidR="00557A6F" w:rsidRDefault="00557A6F" w:rsidP="00557A6F">
      <w:r>
        <w:t>I statsbudsjettet for 2018 ble utbetalingsprofilen endret fra en to-årig til en tre-årig utbetalingspr</w:t>
      </w:r>
      <w:r>
        <w:t>o</w:t>
      </w:r>
      <w:r>
        <w:t>fil, der 20 pst. utbetales første år, 50 pst. andre år og 30 pst. tredje år. Overgangen øker bevil</w:t>
      </w:r>
      <w:r>
        <w:t>g</w:t>
      </w:r>
      <w:r>
        <w:t>ningsbehovet med 6,1 mill. kroner i 2020. På denne bakgrunn foreslås det å øke bevilgningen med 6,1 mill. kroner til 20,2 mill. kroner.</w:t>
      </w:r>
    </w:p>
    <w:p w:rsidR="00557A6F" w:rsidRDefault="00557A6F" w:rsidP="00557A6F">
      <w:r>
        <w:t>Bevilgningsforslaget innebærer en tilsagnsramme på 20,2 mill. kroner. Av dette skal 9,4 mill. kr</w:t>
      </w:r>
      <w:r>
        <w:t>o</w:t>
      </w:r>
      <w:r>
        <w:t>ner gå til omr</w:t>
      </w:r>
      <w:r>
        <w:t>å</w:t>
      </w:r>
      <w:r>
        <w:t xml:space="preserve">desatsingen i Oslo, 7,7 mill. kroner til Bergen og 3,1 mill. kroner til Trondheim. </w:t>
      </w:r>
    </w:p>
    <w:p w:rsidR="00557A6F" w:rsidRDefault="00557A6F" w:rsidP="00557A6F">
      <w:r>
        <w:t>Det foreslås en tilsagnsfullmakt på 22,3 mill. kroner, jf. forslag til romertallsvedtak.</w:t>
      </w:r>
    </w:p>
    <w:p w:rsidR="00557A6F" w:rsidRDefault="00557A6F" w:rsidP="00557A6F">
      <w:pPr>
        <w:pStyle w:val="b-post"/>
      </w:pPr>
      <w:r>
        <w:lastRenderedPageBreak/>
        <w:t>Post 81 Kompetansetiltak, kan overføres</w:t>
      </w:r>
    </w:p>
    <w:p w:rsidR="00557A6F" w:rsidRDefault="00557A6F" w:rsidP="00557A6F">
      <w:pPr>
        <w:pStyle w:val="avsnitt-tittel"/>
      </w:pPr>
      <w:r>
        <w:t>Mål for ordningen</w:t>
      </w:r>
    </w:p>
    <w:p w:rsidR="00557A6F" w:rsidRDefault="00557A6F" w:rsidP="00557A6F">
      <w:r>
        <w:t>Målet med ordningen er å øke kompetansen innen planlegging, kart og geodata. Dette skal bidra til å øke effektiviteten og kvaliteten på den lokale planleggingen etter plan- og bygningsloven. Ko</w:t>
      </w:r>
      <w:r>
        <w:t>m</w:t>
      </w:r>
      <w:r>
        <w:t>petansetiltak</w:t>
      </w:r>
      <w:r>
        <w:t>e</w:t>
      </w:r>
      <w:r>
        <w:t>ne skal komme aktører i planprosesser etter plan- og bygningsloven til gode, som beslutningstakere, planleggere, organisasjoner, innbyggere og næringsliv.</w:t>
      </w:r>
    </w:p>
    <w:p w:rsidR="00557A6F" w:rsidRDefault="00557A6F" w:rsidP="00557A6F">
      <w:pPr>
        <w:pStyle w:val="avsnitt-tittel"/>
      </w:pPr>
      <w:r>
        <w:t>Kriterier for måloppnåelse</w:t>
      </w:r>
    </w:p>
    <w:p w:rsidR="00557A6F" w:rsidRDefault="00557A6F" w:rsidP="00557A6F">
      <w:r>
        <w:t>De mest sentrale kriteriene er å kunne bidra til:</w:t>
      </w:r>
    </w:p>
    <w:p w:rsidR="00557A6F" w:rsidRDefault="00557A6F" w:rsidP="00557A6F">
      <w:pPr>
        <w:pStyle w:val="Liste"/>
      </w:pPr>
      <w:r>
        <w:t>økt kvalitet og effektivitet i planarbeidet</w:t>
      </w:r>
    </w:p>
    <w:p w:rsidR="00557A6F" w:rsidRDefault="00557A6F" w:rsidP="00557A6F">
      <w:pPr>
        <w:pStyle w:val="Liste"/>
      </w:pPr>
      <w:r>
        <w:t>økt teknisk og juridisk plankompetanse hos målgruppene</w:t>
      </w:r>
    </w:p>
    <w:p w:rsidR="00557A6F" w:rsidRDefault="00557A6F" w:rsidP="00557A6F">
      <w:pPr>
        <w:pStyle w:val="Liste"/>
      </w:pPr>
      <w:r>
        <w:t>utvikling av produkter og tjenester basert på allmenn tilgjengelig kartinformasjon og geodata</w:t>
      </w:r>
    </w:p>
    <w:p w:rsidR="00557A6F" w:rsidRDefault="00557A6F" w:rsidP="00557A6F">
      <w:pPr>
        <w:pStyle w:val="Liste"/>
      </w:pPr>
      <w:r>
        <w:t>bærekraftig utvikling med vekt på det sosiale og miljømessige, med henvisning til FNs b</w:t>
      </w:r>
      <w:r>
        <w:t>æ</w:t>
      </w:r>
      <w:r>
        <w:t>rekraftmål 11</w:t>
      </w:r>
    </w:p>
    <w:p w:rsidR="00557A6F" w:rsidRDefault="00557A6F" w:rsidP="00557A6F">
      <w:pPr>
        <w:pStyle w:val="Liste"/>
      </w:pPr>
      <w:r>
        <w:t>å inspirere og bistå kommuner i deres arbeid med stedsutviklingsprosesser</w:t>
      </w:r>
    </w:p>
    <w:p w:rsidR="00557A6F" w:rsidRDefault="00557A6F" w:rsidP="00557A6F">
      <w:pPr>
        <w:pStyle w:val="avsnitt-tittel"/>
      </w:pPr>
      <w:r>
        <w:t>Tildelingskriterier</w:t>
      </w:r>
    </w:p>
    <w:p w:rsidR="00557A6F" w:rsidRDefault="00557A6F" w:rsidP="00557A6F">
      <w:r>
        <w:t>Aktuelle søkere er organisasjoner, virksomheter, stiftelser og faglige nettverk i privat og frivillig sektor. Tiltaket kan gjerne være i samarbeid med en offentlig aktør. Ved tildeling vil det bli lagt særlig vekt på kompetansehevende tiltak og læring i nettverk og partnerskap, samarbeid på tvers av fagområder, sekt</w:t>
      </w:r>
      <w:r>
        <w:t>o</w:t>
      </w:r>
      <w:r>
        <w:t>rer, forvaltningsnivåer og geografiske grenser, at prosjektene har allmenngyldig verdi og vil kunne bidra til verdiskaping basert på tilgjengelig kartinformasjon og geodata.</w:t>
      </w:r>
    </w:p>
    <w:p w:rsidR="00557A6F" w:rsidRDefault="00557A6F" w:rsidP="00557A6F">
      <w:pPr>
        <w:pStyle w:val="avsnitt-tittel"/>
      </w:pPr>
      <w:r>
        <w:t>Oppfølging og kontroll</w:t>
      </w:r>
    </w:p>
    <w:p w:rsidR="00557A6F" w:rsidRDefault="00557A6F" w:rsidP="00557A6F">
      <w:r>
        <w:t>Departementet tar utgangspunkt i innsendte rapporter fra tilskuddsmottaker og vurderer dokume</w:t>
      </w:r>
      <w:r>
        <w:t>n</w:t>
      </w:r>
      <w:r>
        <w:t xml:space="preserve">terte resultater opp mot tildelingskriteriene. Videre har departementet løpende, faglig kontakt med søkerne underveis og i etterkant av gjennomføringen. </w:t>
      </w:r>
    </w:p>
    <w:p w:rsidR="00557A6F" w:rsidRDefault="00557A6F" w:rsidP="00557A6F">
      <w:pPr>
        <w:pStyle w:val="avsnitt-tittel"/>
      </w:pPr>
      <w:r>
        <w:t>Rapport</w:t>
      </w:r>
    </w:p>
    <w:p w:rsidR="00557A6F" w:rsidRDefault="00557A6F" w:rsidP="00557A6F">
      <w:r>
        <w:t>I 2018 ble det bevilget 6,8 mill. kroner, hvorav 1 mill. kroner var øremerket drift av Sekretariatet for etter- og videreutdanning i samfunnsplanlegging (SEVS), og 2 mill. kroner var øremerket til oppstart av et b</w:t>
      </w:r>
      <w:r>
        <w:t>y</w:t>
      </w:r>
      <w:r>
        <w:t xml:space="preserve">livsenter i regi av Norske arkitekters landsforbund (NAL). SEVS har gjennomført flere kurs og samlinger, blant annet det årlige </w:t>
      </w:r>
      <w:r>
        <w:rPr>
          <w:spacing w:val="-2"/>
        </w:rPr>
        <w:t>etter- og videreutdanningstilbudet innen samfunn</w:t>
      </w:r>
      <w:r>
        <w:rPr>
          <w:spacing w:val="-2"/>
        </w:rPr>
        <w:t>s</w:t>
      </w:r>
      <w:r>
        <w:t>planlegging (SAMPLAN), SAMPLAN for rådmenn og kurs i utbyggingsavtaler og regulering</w:t>
      </w:r>
      <w:r>
        <w:t>s</w:t>
      </w:r>
      <w:r>
        <w:t>planer. BYLIVsenteret har gjennomført kompetansetiltak og bistått en rekke kommuner med sted</w:t>
      </w:r>
      <w:r>
        <w:t>s</w:t>
      </w:r>
      <w:r>
        <w:t xml:space="preserve">utvikling. </w:t>
      </w:r>
    </w:p>
    <w:p w:rsidR="00557A6F" w:rsidRDefault="00557A6F" w:rsidP="00557A6F">
      <w:r>
        <w:t>Det ble tildelt 3,8 mill. kroner til om lag 30 ulike kompetanseprosjekter innen planlegging, miljø, kart og geodata, herunder universell utforming. Rapportene og dokumentasjonen fra prosjektene indikerer at tiltakene har bidratt til økt plankompetanse hos søkerne og deres målgrupper. I tillegg har erfaringer og resultater fra tiltakene blitt lagt til grunn for politikkutvikling, og blitt formidlet til aktuelle målgrupper gjennom departementets utviklings- og kompetansearbeid.</w:t>
      </w:r>
    </w:p>
    <w:p w:rsidR="00557A6F" w:rsidRDefault="00557A6F" w:rsidP="00557A6F">
      <w:pPr>
        <w:pStyle w:val="avsnitt-tittel"/>
      </w:pPr>
      <w:r>
        <w:t>Budsjettforslag</w:t>
      </w:r>
    </w:p>
    <w:p w:rsidR="00557A6F" w:rsidRDefault="00557A6F" w:rsidP="00557A6F">
      <w:r>
        <w:t xml:space="preserve">Det foreslås en bevilgning på 6,7 mill. kroner i 2020. Innenfor denne bevilgningen foreslås det at SEVS får 1 mill. kroner og at BYLIVsenteret får 2 mill. kroner i tilskudd til drift i 2020. </w:t>
      </w:r>
    </w:p>
    <w:p w:rsidR="00557A6F" w:rsidRDefault="00557A6F" w:rsidP="00557A6F">
      <w:pPr>
        <w:pStyle w:val="b-budkaptit"/>
      </w:pPr>
      <w:r>
        <w:t>Kap. 595 Statens kartverk</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7A6F" w:rsidTr="00557A6F">
        <w:trPr>
          <w:trHeight w:val="640"/>
        </w:trPr>
        <w:tc>
          <w:tcPr>
            <w:tcW w:w="1140" w:type="dxa"/>
            <w:shd w:val="clear" w:color="auto" w:fill="FFFFFF"/>
          </w:tcPr>
          <w:p w:rsidR="00557A6F" w:rsidRDefault="00557A6F" w:rsidP="00557A6F">
            <w:pPr>
              <w:pStyle w:val="Tabellnavn"/>
            </w:pPr>
            <w:r>
              <w:t>KPAL</w:t>
            </w:r>
          </w:p>
        </w:tc>
        <w:tc>
          <w:tcPr>
            <w:tcW w:w="4560" w:type="dxa"/>
          </w:tcPr>
          <w:p w:rsidR="00557A6F" w:rsidRDefault="00557A6F" w:rsidP="00557A6F"/>
        </w:tc>
        <w:tc>
          <w:tcPr>
            <w:tcW w:w="1140" w:type="dxa"/>
          </w:tcPr>
          <w:p w:rsidR="00557A6F" w:rsidRDefault="00557A6F" w:rsidP="00557A6F">
            <w:pPr>
              <w:pStyle w:val="Tabellnavn"/>
              <w:jc w:val="right"/>
            </w:pPr>
          </w:p>
        </w:tc>
        <w:tc>
          <w:tcPr>
            <w:tcW w:w="1140" w:type="dxa"/>
          </w:tcPr>
          <w:p w:rsidR="00557A6F" w:rsidRDefault="00557A6F" w:rsidP="00557A6F">
            <w:pPr>
              <w:pStyle w:val="Tabellnavn"/>
              <w:jc w:val="right"/>
            </w:pPr>
          </w:p>
        </w:tc>
        <w:tc>
          <w:tcPr>
            <w:tcW w:w="1140" w:type="dxa"/>
          </w:tcPr>
          <w:p w:rsidR="00557A6F" w:rsidRDefault="00557A6F" w:rsidP="00557A6F">
            <w:pPr>
              <w:jc w:val="right"/>
            </w:pPr>
            <w:r>
              <w:t>(i 1 000 kr)</w:t>
            </w:r>
          </w:p>
        </w:tc>
      </w:tr>
      <w:tr w:rsidR="00557A6F" w:rsidTr="00557A6F">
        <w:trPr>
          <w:trHeight w:val="600"/>
        </w:trPr>
        <w:tc>
          <w:tcPr>
            <w:tcW w:w="1140" w:type="dxa"/>
          </w:tcPr>
          <w:p w:rsidR="00557A6F" w:rsidRDefault="00557A6F" w:rsidP="00557A6F">
            <w:r>
              <w:lastRenderedPageBreak/>
              <w:t>Post</w:t>
            </w:r>
          </w:p>
        </w:tc>
        <w:tc>
          <w:tcPr>
            <w:tcW w:w="4560" w:type="dxa"/>
          </w:tcPr>
          <w:p w:rsidR="00557A6F" w:rsidRDefault="00557A6F" w:rsidP="00557A6F">
            <w:r>
              <w:t>Betegnelse</w:t>
            </w:r>
          </w:p>
        </w:tc>
        <w:tc>
          <w:tcPr>
            <w:tcW w:w="1140" w:type="dxa"/>
          </w:tcPr>
          <w:p w:rsidR="00557A6F" w:rsidRDefault="00557A6F" w:rsidP="00557A6F">
            <w:pPr>
              <w:jc w:val="right"/>
            </w:pPr>
            <w:r>
              <w:t>Regnskap 2018</w:t>
            </w:r>
          </w:p>
        </w:tc>
        <w:tc>
          <w:tcPr>
            <w:tcW w:w="1140" w:type="dxa"/>
          </w:tcPr>
          <w:p w:rsidR="00557A6F" w:rsidRDefault="00557A6F" w:rsidP="00557A6F">
            <w:pPr>
              <w:jc w:val="right"/>
            </w:pPr>
            <w:r>
              <w:t xml:space="preserve">Saldert </w:t>
            </w:r>
            <w:r>
              <w:br/>
              <w:t>budsjett 2019</w:t>
            </w:r>
          </w:p>
        </w:tc>
        <w:tc>
          <w:tcPr>
            <w:tcW w:w="1140" w:type="dxa"/>
          </w:tcPr>
          <w:p w:rsidR="00557A6F" w:rsidRDefault="00557A6F" w:rsidP="00557A6F">
            <w:pPr>
              <w:jc w:val="right"/>
            </w:pPr>
            <w:r>
              <w:t xml:space="preserve">Forslag </w:t>
            </w:r>
            <w:r>
              <w:br/>
              <w:t>2020</w:t>
            </w:r>
          </w:p>
        </w:tc>
      </w:tr>
      <w:tr w:rsidR="00557A6F" w:rsidTr="00557A6F">
        <w:trPr>
          <w:trHeight w:val="380"/>
        </w:trPr>
        <w:tc>
          <w:tcPr>
            <w:tcW w:w="1140" w:type="dxa"/>
          </w:tcPr>
          <w:p w:rsidR="00557A6F" w:rsidRDefault="00557A6F" w:rsidP="00557A6F">
            <w:r>
              <w:t>01</w:t>
            </w:r>
          </w:p>
        </w:tc>
        <w:tc>
          <w:tcPr>
            <w:tcW w:w="4560" w:type="dxa"/>
          </w:tcPr>
          <w:p w:rsidR="00557A6F" w:rsidRDefault="00557A6F" w:rsidP="00557A6F">
            <w:r>
              <w:t>Driftsutgifter</w:t>
            </w:r>
            <w:r>
              <w:rPr>
                <w:rStyle w:val="kursiv"/>
                <w:sz w:val="21"/>
                <w:szCs w:val="21"/>
              </w:rPr>
              <w:t xml:space="preserve">, kan nyttes under post 21 og 45 </w:t>
            </w:r>
          </w:p>
        </w:tc>
        <w:tc>
          <w:tcPr>
            <w:tcW w:w="1140" w:type="dxa"/>
          </w:tcPr>
          <w:p w:rsidR="00557A6F" w:rsidRDefault="00557A6F" w:rsidP="00557A6F">
            <w:pPr>
              <w:jc w:val="right"/>
            </w:pPr>
            <w:r>
              <w:t>841 380</w:t>
            </w:r>
          </w:p>
        </w:tc>
        <w:tc>
          <w:tcPr>
            <w:tcW w:w="1140" w:type="dxa"/>
          </w:tcPr>
          <w:p w:rsidR="00557A6F" w:rsidRDefault="00557A6F" w:rsidP="00557A6F">
            <w:pPr>
              <w:jc w:val="right"/>
            </w:pPr>
            <w:r>
              <w:t>899 021</w:t>
            </w:r>
          </w:p>
        </w:tc>
        <w:tc>
          <w:tcPr>
            <w:tcW w:w="1140" w:type="dxa"/>
          </w:tcPr>
          <w:p w:rsidR="00557A6F" w:rsidRDefault="00557A6F" w:rsidP="00557A6F">
            <w:pPr>
              <w:jc w:val="right"/>
            </w:pPr>
            <w:r>
              <w:t>913 380</w:t>
            </w:r>
          </w:p>
        </w:tc>
      </w:tr>
      <w:tr w:rsidR="00557A6F" w:rsidTr="00557A6F">
        <w:trPr>
          <w:trHeight w:val="640"/>
        </w:trPr>
        <w:tc>
          <w:tcPr>
            <w:tcW w:w="1140" w:type="dxa"/>
          </w:tcPr>
          <w:p w:rsidR="00557A6F" w:rsidRDefault="00557A6F" w:rsidP="00557A6F">
            <w:r>
              <w:t>21</w:t>
            </w:r>
          </w:p>
        </w:tc>
        <w:tc>
          <w:tcPr>
            <w:tcW w:w="4560" w:type="dxa"/>
          </w:tcPr>
          <w:p w:rsidR="00557A6F" w:rsidRDefault="00557A6F" w:rsidP="00557A6F">
            <w:r>
              <w:t>Spesielle driftsutgifter</w:t>
            </w:r>
            <w:r>
              <w:rPr>
                <w:rStyle w:val="kursiv"/>
                <w:sz w:val="21"/>
                <w:szCs w:val="21"/>
              </w:rPr>
              <w:t xml:space="preserve">, kan overføres, kan nyttes under post 01 og 45 </w:t>
            </w:r>
          </w:p>
        </w:tc>
        <w:tc>
          <w:tcPr>
            <w:tcW w:w="1140" w:type="dxa"/>
          </w:tcPr>
          <w:p w:rsidR="00557A6F" w:rsidRDefault="00557A6F" w:rsidP="00557A6F">
            <w:pPr>
              <w:jc w:val="right"/>
            </w:pPr>
            <w:r>
              <w:t>394 557</w:t>
            </w:r>
          </w:p>
        </w:tc>
        <w:tc>
          <w:tcPr>
            <w:tcW w:w="1140" w:type="dxa"/>
          </w:tcPr>
          <w:p w:rsidR="00557A6F" w:rsidRDefault="00557A6F" w:rsidP="00557A6F">
            <w:pPr>
              <w:jc w:val="right"/>
            </w:pPr>
            <w:r>
              <w:t>217 920</w:t>
            </w:r>
          </w:p>
        </w:tc>
        <w:tc>
          <w:tcPr>
            <w:tcW w:w="1140" w:type="dxa"/>
          </w:tcPr>
          <w:p w:rsidR="00557A6F" w:rsidRDefault="00557A6F" w:rsidP="00557A6F">
            <w:pPr>
              <w:jc w:val="right"/>
            </w:pPr>
            <w:r>
              <w:t>293 827</w:t>
            </w:r>
          </w:p>
        </w:tc>
      </w:tr>
      <w:tr w:rsidR="00557A6F" w:rsidTr="00557A6F">
        <w:trPr>
          <w:trHeight w:val="380"/>
        </w:trPr>
        <w:tc>
          <w:tcPr>
            <w:tcW w:w="1140" w:type="dxa"/>
          </w:tcPr>
          <w:p w:rsidR="00557A6F" w:rsidRDefault="00557A6F" w:rsidP="00557A6F">
            <w:r>
              <w:t>30</w:t>
            </w:r>
          </w:p>
        </w:tc>
        <w:tc>
          <w:tcPr>
            <w:tcW w:w="4560" w:type="dxa"/>
          </w:tcPr>
          <w:p w:rsidR="00557A6F" w:rsidRDefault="00557A6F" w:rsidP="00557A6F">
            <w:r>
              <w:t>Geodesiobservatoriet</w:t>
            </w:r>
            <w:r>
              <w:rPr>
                <w:rStyle w:val="kursiv"/>
                <w:sz w:val="21"/>
                <w:szCs w:val="21"/>
              </w:rPr>
              <w:t xml:space="preserve">, kan overføres </w:t>
            </w:r>
          </w:p>
        </w:tc>
        <w:tc>
          <w:tcPr>
            <w:tcW w:w="1140" w:type="dxa"/>
          </w:tcPr>
          <w:p w:rsidR="00557A6F" w:rsidRDefault="00557A6F" w:rsidP="00557A6F">
            <w:pPr>
              <w:jc w:val="right"/>
            </w:pPr>
            <w:r>
              <w:t>9 234</w:t>
            </w:r>
          </w:p>
        </w:tc>
        <w:tc>
          <w:tcPr>
            <w:tcW w:w="1140" w:type="dxa"/>
          </w:tcPr>
          <w:p w:rsidR="00557A6F" w:rsidRDefault="00557A6F" w:rsidP="00557A6F">
            <w:pPr>
              <w:jc w:val="right"/>
            </w:pPr>
            <w:r>
              <w:t>5 600</w:t>
            </w:r>
          </w:p>
        </w:tc>
        <w:tc>
          <w:tcPr>
            <w:tcW w:w="1140" w:type="dxa"/>
          </w:tcPr>
          <w:p w:rsidR="00557A6F" w:rsidRDefault="00557A6F" w:rsidP="00557A6F">
            <w:pPr>
              <w:jc w:val="right"/>
            </w:pPr>
            <w:r>
              <w:t>7 636</w:t>
            </w:r>
          </w:p>
        </w:tc>
      </w:tr>
      <w:tr w:rsidR="00557A6F" w:rsidTr="00557A6F">
        <w:trPr>
          <w:trHeight w:val="380"/>
        </w:trPr>
        <w:tc>
          <w:tcPr>
            <w:tcW w:w="1140" w:type="dxa"/>
          </w:tcPr>
          <w:p w:rsidR="00557A6F" w:rsidRDefault="00557A6F" w:rsidP="00557A6F"/>
        </w:tc>
        <w:tc>
          <w:tcPr>
            <w:tcW w:w="4560" w:type="dxa"/>
          </w:tcPr>
          <w:p w:rsidR="00557A6F" w:rsidRDefault="00557A6F" w:rsidP="00557A6F">
            <w:r>
              <w:t>Sum kap. 0595</w:t>
            </w:r>
          </w:p>
        </w:tc>
        <w:tc>
          <w:tcPr>
            <w:tcW w:w="1140" w:type="dxa"/>
          </w:tcPr>
          <w:p w:rsidR="00557A6F" w:rsidRDefault="00557A6F" w:rsidP="00557A6F">
            <w:pPr>
              <w:jc w:val="right"/>
            </w:pPr>
            <w:r>
              <w:t>1 245 171</w:t>
            </w:r>
          </w:p>
        </w:tc>
        <w:tc>
          <w:tcPr>
            <w:tcW w:w="1140" w:type="dxa"/>
          </w:tcPr>
          <w:p w:rsidR="00557A6F" w:rsidRDefault="00557A6F" w:rsidP="00557A6F">
            <w:pPr>
              <w:jc w:val="right"/>
            </w:pPr>
            <w:r>
              <w:t>1 122 541</w:t>
            </w:r>
          </w:p>
        </w:tc>
        <w:tc>
          <w:tcPr>
            <w:tcW w:w="1140" w:type="dxa"/>
          </w:tcPr>
          <w:p w:rsidR="00557A6F" w:rsidRDefault="00557A6F" w:rsidP="00557A6F">
            <w:pPr>
              <w:jc w:val="right"/>
            </w:pPr>
            <w:r>
              <w:t>1 214 843</w:t>
            </w:r>
          </w:p>
        </w:tc>
      </w:tr>
    </w:tbl>
    <w:p w:rsidR="00557A6F" w:rsidRDefault="00557A6F" w:rsidP="00557A6F">
      <w:pPr>
        <w:pStyle w:val="tabell-noter"/>
      </w:pPr>
      <w:r>
        <w:t>Vedrørende 2019: Ved Stortingets vedtak av 21. juni 2019 ble post 01 redusert med 100 mill. kroner til 799 mill. kr</w:t>
      </w:r>
      <w:r>
        <w:t>o</w:t>
      </w:r>
      <w:r>
        <w:t xml:space="preserve">ner og post 21 økt med 140,5 mill. kroner til 358,4 mill. kroner, jf. Prop. 114 S og Innst. 391 S (2018–2019). </w:t>
      </w:r>
    </w:p>
    <w:p w:rsidR="00557A6F" w:rsidRDefault="00557A6F" w:rsidP="00557A6F">
      <w:pPr>
        <w:pStyle w:val="b-post"/>
      </w:pPr>
      <w:r>
        <w:t>Post 01 Driftsutgifter, kan nyttes under post 21 og 45</w:t>
      </w:r>
    </w:p>
    <w:p w:rsidR="00557A6F" w:rsidRDefault="00557A6F" w:rsidP="00557A6F">
      <w:r>
        <w:t>Bevilgningen skal dekke Kartverkets utgifter til lønn, pensjon, husleie, IKT og andre faste driftsu</w:t>
      </w:r>
      <w:r>
        <w:t>t</w:t>
      </w:r>
      <w:r>
        <w:t>gifter. Utgiftene er knyttet til hele Kartverkets ansvarsområde, blant annet drift av matrikkel og tinglysning, den geografiske infrastrukturen i Norge og sjømåling.</w:t>
      </w:r>
    </w:p>
    <w:p w:rsidR="00557A6F" w:rsidRDefault="00557A6F" w:rsidP="00557A6F">
      <w:r>
        <w:t>Deler av utgiftene på posten, blant annet utgifter knyttet til geodataarbeidet og koordinering av samfinansiering</w:t>
      </w:r>
      <w:r>
        <w:t>s</w:t>
      </w:r>
      <w:r>
        <w:t>prosjekter, finansieres av inntekter fra salg og abonnement og fra samfinansiering, jf. omtale under kap. 3595, post 02 og 03.</w:t>
      </w:r>
    </w:p>
    <w:p w:rsidR="00557A6F" w:rsidRDefault="00557A6F" w:rsidP="00557A6F">
      <w:pPr>
        <w:pStyle w:val="avsnitt-tittel"/>
      </w:pPr>
      <w:r>
        <w:t>Budsjettforslag</w:t>
      </w:r>
    </w:p>
    <w:p w:rsidR="00557A6F" w:rsidRDefault="00557A6F" w:rsidP="00557A6F">
      <w:r>
        <w:t>I 2018 ble bevilgningen økt med 15 mill. kroner til videreutvikling av matrikkelen. Regjeringen foreslår en ytterligere økning på 30 mill. kroner i 2020. Det skal settes i gang et langsiktig arbeid med oppgrad</w:t>
      </w:r>
      <w:r>
        <w:t>e</w:t>
      </w:r>
      <w:r>
        <w:t>ring av matrikkelen, både med hensyn til kvalitet og fullstendighet. I første omgang handler dette om å få matrikkelen på et teknologisk nivå som lettere kan samhandle med andre IKT-systemer. Dette vil på sikt bane vei for at flere offentlige tjenester kan utføres automatisk, noe som blant annet vil komme kommuner, nødetater, utbyggere og innbyggere til gode. Mange offen</w:t>
      </w:r>
      <w:r>
        <w:t>t</w:t>
      </w:r>
      <w:r>
        <w:t>lige etater vil kunne fatte sine beslutninger med mindre ressursbruk og høyere grad av sikkerhet. I 2020 skal det arbeides med å heve det teknol</w:t>
      </w:r>
      <w:r>
        <w:t>o</w:t>
      </w:r>
      <w:r>
        <w:t>giske nivået og gjøre det enklere for kommunene selv å overføre informasjon til og fra sine sakssystemer. Det skal gjøres nødvendige systemen</w:t>
      </w:r>
      <w:r>
        <w:t>d</w:t>
      </w:r>
      <w:r>
        <w:t>ringer som følge av ny strategi for bygningsregisteret, systemti</w:t>
      </w:r>
      <w:r>
        <w:t>l</w:t>
      </w:r>
      <w:r>
        <w:t>pasning til ny autorisasjonsordning for landmålere og annen oppfølging som følge av endringer i matrikkellova. Det vil også bli utvi</w:t>
      </w:r>
      <w:r>
        <w:t>k</w:t>
      </w:r>
      <w:r>
        <w:t>let en løsning for rettighetshaver til å legge inn aktuell informasjon gjennom «min matrikkelside». Videreutviklingen av matrikkelen foreslås finansiert med en tilsvarende økning i tinglysingsgeb</w:t>
      </w:r>
      <w:r>
        <w:t>y</w:t>
      </w:r>
      <w:r>
        <w:t>rene, jf. kap. 3595, post 01.</w:t>
      </w:r>
    </w:p>
    <w:p w:rsidR="00557A6F" w:rsidRDefault="00557A6F" w:rsidP="00557A6F">
      <w:r>
        <w:t>Det foreslås at det overføres 1 mill. kroner fra Samferdselsdepartementets kap. 1380, post 70. Mi</w:t>
      </w:r>
      <w:r>
        <w:t>d</w:t>
      </w:r>
      <w:r>
        <w:t xml:space="preserve">lene er knyttet til arbeid med tilpasning av nye krav til Nasjonalt register for luftfartshinder som ble startet opp i 2019. </w:t>
      </w:r>
    </w:p>
    <w:p w:rsidR="00557A6F" w:rsidRDefault="00557A6F" w:rsidP="00557A6F">
      <w:r>
        <w:t>Etter omlegging av tilknytningsform fra forvaltningsbedrift til ordinært bruttobudsjettert forval</w:t>
      </w:r>
      <w:r>
        <w:t>t</w:t>
      </w:r>
      <w:r>
        <w:t>ningsorgan fra 1. januar 2017, har det vist seg at en noe større del av bevilgningene til drift enn tidligere forutsatt er knyttet til kjøp av varer og tjenester til prosjekter som finansieres med samf</w:t>
      </w:r>
      <w:r>
        <w:t>i</w:t>
      </w:r>
      <w:r>
        <w:t>nansiering og andre eksterne inntekter. Det foreslås derfor å redusere bevilgningen med 50 mill. kroner mot en tilsvarende økning under post 21.</w:t>
      </w:r>
    </w:p>
    <w:p w:rsidR="00557A6F" w:rsidRDefault="00557A6F" w:rsidP="00557A6F">
      <w:r>
        <w:t>2 mill. kroner som har vært disponert direkte av Kommunal- og moderniseringsdepartementet til tinglysingsrel</w:t>
      </w:r>
      <w:r>
        <w:t>a</w:t>
      </w:r>
      <w:r>
        <w:t xml:space="preserve">tert arbeid foreslås overført til kap. 500, post 01. </w:t>
      </w:r>
    </w:p>
    <w:p w:rsidR="00557A6F" w:rsidRDefault="00557A6F" w:rsidP="00557A6F">
      <w:r>
        <w:t>Det foreslås en økning i bevilgningen på 5,6 mill. kroner som følge av forventet økt aktivitet i pr</w:t>
      </w:r>
      <w:r>
        <w:t>o</w:t>
      </w:r>
      <w:r>
        <w:t>sjekter som finansieres ved inntekter fra samfinansiering og fra salg og abonnement, jf. omtale u</w:t>
      </w:r>
      <w:r>
        <w:t>n</w:t>
      </w:r>
      <w:r>
        <w:t xml:space="preserve">der kap. 3595, post 02 og 03. </w:t>
      </w:r>
    </w:p>
    <w:p w:rsidR="00557A6F" w:rsidRDefault="00557A6F" w:rsidP="00557A6F">
      <w:r>
        <w:lastRenderedPageBreak/>
        <w:t>Som følge av endret regnskapsmessig praksis for føring av pensjonspremie i Statens pensjonskasse vil Kartverket få en ekstra utgift i overgangsåret 2020 tilsvarende virksomhetens pensjonspremie for 6. te</w:t>
      </w:r>
      <w:r>
        <w:t>r</w:t>
      </w:r>
      <w:r>
        <w:t>min. På bakgrunn av dette foreslås det en økning i bevilgningen på 12,8 mill. kroner.</w:t>
      </w:r>
    </w:p>
    <w:p w:rsidR="00557A6F" w:rsidRDefault="00557A6F" w:rsidP="00557A6F">
      <w:r>
        <w:t>Lønns- og prisjustering og uttak av gevinster knyttet til avbyråkratiserings- og effektiviseringsr</w:t>
      </w:r>
      <w:r>
        <w:t>e</w:t>
      </w:r>
      <w:r>
        <w:t>formen utgjør til sammen 17 mill. kroner.</w:t>
      </w:r>
    </w:p>
    <w:p w:rsidR="00557A6F" w:rsidRDefault="00557A6F" w:rsidP="00557A6F">
      <w:r>
        <w:t xml:space="preserve">Samlet foreslås bevilgningen på posten økt med 14,4 mill. kroner til 913,4 mill. kroner. </w:t>
      </w:r>
    </w:p>
    <w:p w:rsidR="00557A6F" w:rsidRDefault="00557A6F" w:rsidP="00557A6F">
      <w:r>
        <w:t xml:space="preserve">Det foreslås at bevilgningen kan overskrides mot tilsvarende merinntekter under kap. 3595, post 02 og 03, jf. forslag til romertallsvedtak. </w:t>
      </w:r>
    </w:p>
    <w:p w:rsidR="00557A6F" w:rsidRDefault="00557A6F" w:rsidP="00557A6F">
      <w:pPr>
        <w:pStyle w:val="b-post"/>
      </w:pPr>
      <w:r>
        <w:t>Post 21 Spesielle driftsutgifter, kan overføres, kan nyttes under post 01 og 45</w:t>
      </w:r>
    </w:p>
    <w:p w:rsidR="00557A6F" w:rsidRDefault="00557A6F" w:rsidP="00557A6F">
      <w:r>
        <w:t>Bevilgningen skal i hovedsak dekke tidsavgrensede prosjekter og kjøp av tjenester fra private lev</w:t>
      </w:r>
      <w:r>
        <w:t>e</w:t>
      </w:r>
      <w:r>
        <w:t>randører. Dette gjelder blant annet fotografering og laserskanning fra fly, men også bearbeidelse av data og andre tjenester fra geodatabransjen.</w:t>
      </w:r>
    </w:p>
    <w:p w:rsidR="00557A6F" w:rsidRDefault="00557A6F" w:rsidP="00557A6F">
      <w:r>
        <w:t>Kartverket har ansvaret for mange samfinansierte kartleggingsprogram over hele Norge. Dette gjelder en rekke lokale og regionale initiativ hvor Kartverket organiserer kartlegging av områder der flere interessenter har samme</w:t>
      </w:r>
      <w:r>
        <w:t>n</w:t>
      </w:r>
      <w:r>
        <w:t>fallende behov for oppdaterte data. Dette skjer med grunnlag i flerårige regionale geodataplaner og et formalisert samarbeid kalt Geovekst. Inntektene fra de sa</w:t>
      </w:r>
      <w:r>
        <w:t>m</w:t>
      </w:r>
      <w:r>
        <w:t xml:space="preserve">arbeidende partene føres på kap. 3595, post 03. </w:t>
      </w:r>
    </w:p>
    <w:p w:rsidR="00557A6F" w:rsidRDefault="00557A6F" w:rsidP="00557A6F">
      <w:r>
        <w:t>Deler av utgiftene på posten dekkes også med inntekter fra salg og abonnement over kap. 3595, post 02. Det gjelder blant annet abonnement til posisjonstjenester og salg av geodata.</w:t>
      </w:r>
    </w:p>
    <w:p w:rsidR="00557A6F" w:rsidRDefault="00557A6F" w:rsidP="00557A6F">
      <w:r>
        <w:t>Inntektene som Kartverket mottar til samfinansierte prosjekter og fra salg og abonnementer går i all hovedsak til kjøp av varer, utstyr og eksterne tjenester. Kartverkets bidrag i prosjektene er ressu</w:t>
      </w:r>
      <w:r>
        <w:t>r</w:t>
      </w:r>
      <w:r>
        <w:t>ser/prosjektledere i form av årsverk som finansieres på post 01. Kartverket har i forbindelse med revidert nasjonalbudsjett for 2019 og statsbudsjettet for 2020 hatt en gjennomgang av disse utgi</w:t>
      </w:r>
      <w:r>
        <w:t>f</w:t>
      </w:r>
      <w:r>
        <w:t>tene, som viser at en større del av utgiftene bør budsjetteres på post 21.</w:t>
      </w:r>
    </w:p>
    <w:p w:rsidR="00557A6F" w:rsidRDefault="00557A6F" w:rsidP="00557A6F">
      <w:r>
        <w:t>I 2016 satte regjeringen i gang arbeid med en nasjonal detaljert høydemodell som skal gi hele la</w:t>
      </w:r>
      <w:r>
        <w:t>n</w:t>
      </w:r>
      <w:r>
        <w:t>det bedre hø</w:t>
      </w:r>
      <w:r>
        <w:t>y</w:t>
      </w:r>
      <w:r>
        <w:t>dedata. Prosjektet er en viktig oppgave i samarbeid mellom flere departementer. Mer presise og konsistente hø</w:t>
      </w:r>
      <w:r>
        <w:t>y</w:t>
      </w:r>
      <w:r>
        <w:t>dedata vil gi bedre grunnlag for beslutninger i både offentlig og privat sektor, og gi store besparelser knyttet til temakartlegging, klimatilpasning, beredskap, planarbeid og infrastrukturutbygging. Siden 2016 har det årlig blitt bevilget 36 mill. kroner til prosjektet på post 21. På grunn av gode værforhold, og tilleggsbevilgninger i forbi</w:t>
      </w:r>
      <w:r>
        <w:t>n</w:t>
      </w:r>
      <w:r>
        <w:t>delse med både nysaldering for 2018 og revidert nasjonalbudsjett for 2019 på til sammen 32 mill. kroner, ligger prosjektet godt foran fremdriftsplanen. Sommeren 2019 var 64 pst. av totalt areal for prosjektet skannet og dat</w:t>
      </w:r>
      <w:r>
        <w:t>a</w:t>
      </w:r>
      <w:r>
        <w:t xml:space="preserve">ene publisert. Prosjektet skal etter planen avsluttes i 2022. </w:t>
      </w:r>
    </w:p>
    <w:p w:rsidR="00557A6F" w:rsidRDefault="00557A6F" w:rsidP="00557A6F">
      <w:pPr>
        <w:pStyle w:val="avsnitt-tittel"/>
      </w:pPr>
      <w:r>
        <w:t>Budsjettforslag</w:t>
      </w:r>
    </w:p>
    <w:p w:rsidR="00557A6F" w:rsidRDefault="00557A6F" w:rsidP="00557A6F">
      <w:r>
        <w:t>Det foreslås en økning på 6,3 mill. kroner i 2020 som følge av forventet økt aktivitet i samfinans</w:t>
      </w:r>
      <w:r>
        <w:t>i</w:t>
      </w:r>
      <w:r>
        <w:t xml:space="preserve">erte prosjekter. </w:t>
      </w:r>
    </w:p>
    <w:p w:rsidR="00557A6F" w:rsidRDefault="00557A6F" w:rsidP="00557A6F">
      <w:r>
        <w:t xml:space="preserve">Det foreslås å øke bevilgningen med 50 mill. kroner mot en tilsvarende reduksjon under post 01, jf. omtale under post 01. </w:t>
      </w:r>
    </w:p>
    <w:p w:rsidR="00557A6F" w:rsidRDefault="00557A6F" w:rsidP="00557A6F">
      <w:r>
        <w:t xml:space="preserve">Videre foreslås det å øke bevilgningen med 13,8 mill. kroner for å starte opp et treårig </w:t>
      </w:r>
      <w:proofErr w:type="gramStart"/>
      <w:r>
        <w:t>pilotpr</w:t>
      </w:r>
      <w:r>
        <w:t>o</w:t>
      </w:r>
      <w:r>
        <w:t>sjektet</w:t>
      </w:r>
      <w:proofErr w:type="gramEnd"/>
      <w:r>
        <w:t xml:space="preserve"> for utvi</w:t>
      </w:r>
      <w:r>
        <w:t>k</w:t>
      </w:r>
      <w:r>
        <w:t>ling av metode og kartlegging for marine grunnkart i kystsonen. I samarbeid med Norges geologiske undersøkelser, Havforskningsinstituttet og relevante kommuner og fylkesko</w:t>
      </w:r>
      <w:r>
        <w:t>m</w:t>
      </w:r>
      <w:r>
        <w:t>muner skal det samles inn data om bunnforhold, biologi og geologi i utvalgte områder. Pilotpr</w:t>
      </w:r>
      <w:r>
        <w:t>o</w:t>
      </w:r>
      <w:r>
        <w:t>sjektet skal gi bedre data om forholdene i de utvalgte omr</w:t>
      </w:r>
      <w:r>
        <w:t>å</w:t>
      </w:r>
      <w:r>
        <w:t>dene, Nye Stavanger, Nordre Sunnmøre og Kvænangen/Skjervøy. Bedre data vil gi bedre felles beslutning</w:t>
      </w:r>
      <w:r>
        <w:t>s</w:t>
      </w:r>
      <w:r>
        <w:t>grunnlag i en rekke saker, og forventes blant annet å bidra til bedre plassering av nye oppdrettsanlegg og mindre konflikter l</w:t>
      </w:r>
      <w:r>
        <w:t>o</w:t>
      </w:r>
      <w:r>
        <w:t>kalt. Det vil kunne gi nye arbeidsplasser og økte eksportinntekter, noe som gjør at pilotprosjektet forventes å være samfunnsøkonomisk lønnsomt. På lengre sikt vil prosjektet etablere en felles a</w:t>
      </w:r>
      <w:r>
        <w:t>r</w:t>
      </w:r>
      <w:r>
        <w:t>beidsmåte for videre kartlegging av kysten og teste ut nye metoder, standarder og teknologi for innsamling av data, for ekse</w:t>
      </w:r>
      <w:r>
        <w:t>m</w:t>
      </w:r>
      <w:r>
        <w:t>pel ubemannede sensorer.</w:t>
      </w:r>
    </w:p>
    <w:p w:rsidR="00557A6F" w:rsidRDefault="00557A6F" w:rsidP="00557A6F">
      <w:r>
        <w:t>Prisjustering og uttak av gevinster knyttet til avbyråkratiserings- og effektiviseringsreformen utgjør til sammen 5,8 mill. kroner.</w:t>
      </w:r>
    </w:p>
    <w:p w:rsidR="00557A6F" w:rsidRDefault="00557A6F" w:rsidP="00557A6F">
      <w:r>
        <w:t>Samlet foreslås det å øke bevilgningen med 75,9 mill. kroner til 293,8 mill. kroner.</w:t>
      </w:r>
    </w:p>
    <w:p w:rsidR="00557A6F" w:rsidRDefault="00557A6F" w:rsidP="00557A6F">
      <w:r>
        <w:lastRenderedPageBreak/>
        <w:t>Den største enkeltutgiften vil også i 2020 være knyttet til etablering av ny nasjonal detaljert hø</w:t>
      </w:r>
      <w:r>
        <w:t>y</w:t>
      </w:r>
      <w:r>
        <w:t>demodell.</w:t>
      </w:r>
    </w:p>
    <w:p w:rsidR="00557A6F" w:rsidRDefault="00557A6F" w:rsidP="00557A6F">
      <w:r>
        <w:t xml:space="preserve">Det foreslås at bevilgningen kan overskrides mot tilsvarende merinntekter under kap. 3595, post 02 og 03, jf. forslag til romertallsvedtak. </w:t>
      </w:r>
    </w:p>
    <w:p w:rsidR="00557A6F" w:rsidRDefault="00557A6F" w:rsidP="00557A6F">
      <w:r>
        <w:t>Det foreslås at Kartverket kan sette i gang samfinansierte prosjekter før finansieringen i sin helhet er innbetalt, forutsatt at det er inngått en bindende avtale med betryggende sikkerhet om innbet</w:t>
      </w:r>
      <w:r>
        <w:t>a</w:t>
      </w:r>
      <w:r>
        <w:t xml:space="preserve">ling mellom partene og for inntil 90 mill. kroner, jf. forslag til romertallsvedtak. </w:t>
      </w:r>
    </w:p>
    <w:p w:rsidR="00557A6F" w:rsidRDefault="00557A6F" w:rsidP="00557A6F">
      <w:r>
        <w:t>Det foreslås også en fullmakt på inntil 120 mill. kroner til å bestille kartgrunnlag og kartlegging</w:t>
      </w:r>
      <w:r>
        <w:t>s</w:t>
      </w:r>
      <w:r>
        <w:t>tjenester og inngå avtaler om kartleggingsarbeid som går over flere år, jf. forslag til romertallsve</w:t>
      </w:r>
      <w:r>
        <w:t>d</w:t>
      </w:r>
      <w:r>
        <w:t>tak. Det er i hovedsak n</w:t>
      </w:r>
      <w:r>
        <w:t>a</w:t>
      </w:r>
      <w:r>
        <w:t>sjonal detaljert høydemodell som skaper behov for en slik fullmakt.</w:t>
      </w:r>
    </w:p>
    <w:p w:rsidR="00557A6F" w:rsidRDefault="00557A6F" w:rsidP="00557A6F">
      <w:pPr>
        <w:pStyle w:val="b-post"/>
      </w:pPr>
      <w:r>
        <w:t>Post 30 Geodesiobservatoriet, kan overføres</w:t>
      </w:r>
    </w:p>
    <w:p w:rsidR="00557A6F" w:rsidRDefault="00557A6F" w:rsidP="00557A6F">
      <w:r>
        <w:t>Posten dekker utbygging av observatoriet til Kartverket i Ny-Ålesund på Svalbard. Observatoriet bidrar til å finne jordens nøyaktige plassering i verdensrommet. Observatoriet er av avgjørende betydning for presis jordobservasjon og klimaovervåking i nordområdene. Ny teknologi og ko</w:t>
      </w:r>
      <w:r>
        <w:t>m</w:t>
      </w:r>
      <w:r>
        <w:t>binasjon av flere måleteknikker vil gi bedre nøyaktighet på målingene som inngår i et verdenso</w:t>
      </w:r>
      <w:r>
        <w:t>m</w:t>
      </w:r>
      <w:r>
        <w:t xml:space="preserve">spennende observasjons- og forskningsnettverk. </w:t>
      </w:r>
    </w:p>
    <w:p w:rsidR="00557A6F" w:rsidRDefault="00557A6F" w:rsidP="00557A6F">
      <w:r>
        <w:t>Det nye observatoriet ble åpnet i juni 2018. På grunn av en del vanskeligheter med å få på plass de tekniske løsningene i Ny-Ålesund, kan prosjektet bli skjøvet noe ut i tid. Etter en periode med samkjøring, kan det gamle anlegget rives i 2023. Prosjektet har en samlet kostnadsramme på 355 mill. kroner.</w:t>
      </w:r>
    </w:p>
    <w:p w:rsidR="00557A6F" w:rsidRDefault="00557A6F" w:rsidP="00557A6F">
      <w:pPr>
        <w:pStyle w:val="avsnitt-tittel"/>
      </w:pPr>
      <w:r>
        <w:t>Budsjettforslag</w:t>
      </w:r>
    </w:p>
    <w:p w:rsidR="00557A6F" w:rsidRDefault="00557A6F" w:rsidP="00557A6F">
      <w:r>
        <w:t>Det foreslås en bevilgning på 7,6 mill. kroner i 2020, som i hovedsak skal dekke utgifter til utvi</w:t>
      </w:r>
      <w:r>
        <w:t>k</w:t>
      </w:r>
      <w:r>
        <w:t xml:space="preserve">lingsarbeidet for laseravstandsmåler for satellitter (SLR). </w:t>
      </w:r>
    </w:p>
    <w:p w:rsidR="00557A6F" w:rsidRDefault="00557A6F" w:rsidP="00557A6F">
      <w:pPr>
        <w:pStyle w:val="b-post"/>
      </w:pPr>
      <w:r>
        <w:t>Post 45 Større utstyrsanskaffelser og vedlikehold, kan overføres</w:t>
      </w:r>
    </w:p>
    <w:p w:rsidR="00557A6F" w:rsidRDefault="00557A6F" w:rsidP="00557A6F">
      <w:r>
        <w:t>Posten dekker anskaffelser av planlagte store anleggsmidler. For 2020 er det ikke planlagt anska</w:t>
      </w:r>
      <w:r>
        <w:t>f</w:t>
      </w:r>
      <w:r>
        <w:t>felser av store anleggsmidler. Det foreslås derfor ikke bevilgning i 2020.</w:t>
      </w:r>
    </w:p>
    <w:p w:rsidR="00557A6F" w:rsidRDefault="00557A6F" w:rsidP="00557A6F">
      <w:r>
        <w:t>Det foreslås at posten kan overskrides mot tilsvarende merinntekter under kap. 3595, post 04, jf. forslag til r</w:t>
      </w:r>
      <w:r>
        <w:t>o</w:t>
      </w:r>
      <w:r>
        <w:t xml:space="preserve">mertallsvedtak. </w:t>
      </w:r>
    </w:p>
    <w:p w:rsidR="00557A6F" w:rsidRDefault="00557A6F" w:rsidP="00557A6F">
      <w:pPr>
        <w:pStyle w:val="b-budkaptit"/>
      </w:pPr>
      <w:r>
        <w:t>Kap. 3595 Statens kartverk</w:t>
      </w:r>
    </w:p>
    <w:p w:rsidR="00557A6F" w:rsidRDefault="00557A6F" w:rsidP="00557A6F"/>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57A6F" w:rsidTr="00557A6F">
        <w:trPr>
          <w:trHeight w:val="640"/>
        </w:trPr>
        <w:tc>
          <w:tcPr>
            <w:tcW w:w="1140" w:type="dxa"/>
            <w:shd w:val="clear" w:color="auto" w:fill="FFFFFF"/>
          </w:tcPr>
          <w:p w:rsidR="00557A6F" w:rsidRDefault="00557A6F" w:rsidP="00557A6F">
            <w:pPr>
              <w:pStyle w:val="Tabellnavn"/>
            </w:pPr>
            <w:r>
              <w:t>KPAL</w:t>
            </w:r>
          </w:p>
        </w:tc>
        <w:tc>
          <w:tcPr>
            <w:tcW w:w="4560" w:type="dxa"/>
          </w:tcPr>
          <w:p w:rsidR="00557A6F" w:rsidRDefault="00557A6F" w:rsidP="00557A6F"/>
        </w:tc>
        <w:tc>
          <w:tcPr>
            <w:tcW w:w="1140" w:type="dxa"/>
          </w:tcPr>
          <w:p w:rsidR="00557A6F" w:rsidRDefault="00557A6F" w:rsidP="00557A6F">
            <w:pPr>
              <w:pStyle w:val="Tabellnavn"/>
              <w:jc w:val="right"/>
            </w:pPr>
          </w:p>
        </w:tc>
        <w:tc>
          <w:tcPr>
            <w:tcW w:w="1140" w:type="dxa"/>
          </w:tcPr>
          <w:p w:rsidR="00557A6F" w:rsidRDefault="00557A6F" w:rsidP="00557A6F">
            <w:pPr>
              <w:pStyle w:val="Tabellnavn"/>
              <w:jc w:val="right"/>
            </w:pPr>
          </w:p>
        </w:tc>
        <w:tc>
          <w:tcPr>
            <w:tcW w:w="1140" w:type="dxa"/>
          </w:tcPr>
          <w:p w:rsidR="00557A6F" w:rsidRDefault="00557A6F" w:rsidP="00557A6F">
            <w:pPr>
              <w:jc w:val="right"/>
            </w:pPr>
            <w:r>
              <w:t>(i 1 000 kr)</w:t>
            </w:r>
          </w:p>
        </w:tc>
      </w:tr>
      <w:tr w:rsidR="00557A6F" w:rsidTr="00557A6F">
        <w:trPr>
          <w:trHeight w:val="600"/>
        </w:trPr>
        <w:tc>
          <w:tcPr>
            <w:tcW w:w="1140" w:type="dxa"/>
          </w:tcPr>
          <w:p w:rsidR="00557A6F" w:rsidRDefault="00557A6F" w:rsidP="00557A6F">
            <w:r>
              <w:t>Post</w:t>
            </w:r>
          </w:p>
        </w:tc>
        <w:tc>
          <w:tcPr>
            <w:tcW w:w="4560" w:type="dxa"/>
          </w:tcPr>
          <w:p w:rsidR="00557A6F" w:rsidRDefault="00557A6F" w:rsidP="00557A6F">
            <w:r>
              <w:t>Betegnelse</w:t>
            </w:r>
          </w:p>
        </w:tc>
        <w:tc>
          <w:tcPr>
            <w:tcW w:w="1140" w:type="dxa"/>
          </w:tcPr>
          <w:p w:rsidR="00557A6F" w:rsidRDefault="00557A6F" w:rsidP="00557A6F">
            <w:pPr>
              <w:jc w:val="right"/>
            </w:pPr>
            <w:r>
              <w:t>Regnskap 2018</w:t>
            </w:r>
          </w:p>
        </w:tc>
        <w:tc>
          <w:tcPr>
            <w:tcW w:w="1140" w:type="dxa"/>
          </w:tcPr>
          <w:p w:rsidR="00557A6F" w:rsidRDefault="00557A6F" w:rsidP="00557A6F">
            <w:pPr>
              <w:jc w:val="right"/>
            </w:pPr>
            <w:r>
              <w:t xml:space="preserve">Saldert </w:t>
            </w:r>
            <w:r>
              <w:br/>
              <w:t>budsjett 2019</w:t>
            </w:r>
          </w:p>
        </w:tc>
        <w:tc>
          <w:tcPr>
            <w:tcW w:w="1140" w:type="dxa"/>
          </w:tcPr>
          <w:p w:rsidR="00557A6F" w:rsidRDefault="00557A6F" w:rsidP="00557A6F">
            <w:pPr>
              <w:jc w:val="right"/>
            </w:pPr>
            <w:r>
              <w:t xml:space="preserve">Forslag </w:t>
            </w:r>
            <w:r>
              <w:br/>
              <w:t>2020</w:t>
            </w:r>
          </w:p>
        </w:tc>
      </w:tr>
      <w:tr w:rsidR="00557A6F" w:rsidTr="00557A6F">
        <w:trPr>
          <w:trHeight w:val="380"/>
        </w:trPr>
        <w:tc>
          <w:tcPr>
            <w:tcW w:w="1140" w:type="dxa"/>
          </w:tcPr>
          <w:p w:rsidR="00557A6F" w:rsidRDefault="00557A6F" w:rsidP="00557A6F">
            <w:r>
              <w:t>01</w:t>
            </w:r>
          </w:p>
        </w:tc>
        <w:tc>
          <w:tcPr>
            <w:tcW w:w="4560" w:type="dxa"/>
          </w:tcPr>
          <w:p w:rsidR="00557A6F" w:rsidRDefault="00557A6F" w:rsidP="00557A6F">
            <w:r>
              <w:t xml:space="preserve">Gebyrinntekter tinglysing </w:t>
            </w:r>
          </w:p>
        </w:tc>
        <w:tc>
          <w:tcPr>
            <w:tcW w:w="1140" w:type="dxa"/>
          </w:tcPr>
          <w:p w:rsidR="00557A6F" w:rsidRDefault="00557A6F" w:rsidP="00557A6F">
            <w:pPr>
              <w:jc w:val="right"/>
            </w:pPr>
            <w:r>
              <w:t>419 545</w:t>
            </w:r>
          </w:p>
        </w:tc>
        <w:tc>
          <w:tcPr>
            <w:tcW w:w="1140" w:type="dxa"/>
          </w:tcPr>
          <w:p w:rsidR="00557A6F" w:rsidRDefault="00557A6F" w:rsidP="00557A6F">
            <w:pPr>
              <w:jc w:val="right"/>
            </w:pPr>
            <w:r>
              <w:t>416 447</w:t>
            </w:r>
          </w:p>
        </w:tc>
        <w:tc>
          <w:tcPr>
            <w:tcW w:w="1140" w:type="dxa"/>
          </w:tcPr>
          <w:p w:rsidR="00557A6F" w:rsidRDefault="00557A6F" w:rsidP="00557A6F">
            <w:pPr>
              <w:jc w:val="right"/>
            </w:pPr>
            <w:r>
              <w:t>450 000</w:t>
            </w:r>
          </w:p>
        </w:tc>
      </w:tr>
      <w:tr w:rsidR="00557A6F" w:rsidTr="00557A6F">
        <w:trPr>
          <w:trHeight w:val="380"/>
        </w:trPr>
        <w:tc>
          <w:tcPr>
            <w:tcW w:w="1140" w:type="dxa"/>
          </w:tcPr>
          <w:p w:rsidR="00557A6F" w:rsidRDefault="00557A6F" w:rsidP="00557A6F">
            <w:r>
              <w:t>02</w:t>
            </w:r>
          </w:p>
        </w:tc>
        <w:tc>
          <w:tcPr>
            <w:tcW w:w="4560" w:type="dxa"/>
          </w:tcPr>
          <w:p w:rsidR="00557A6F" w:rsidRDefault="00557A6F" w:rsidP="00557A6F">
            <w:r>
              <w:t xml:space="preserve">Salg og abonnement m.m. </w:t>
            </w:r>
          </w:p>
        </w:tc>
        <w:tc>
          <w:tcPr>
            <w:tcW w:w="1140" w:type="dxa"/>
          </w:tcPr>
          <w:p w:rsidR="00557A6F" w:rsidRDefault="00557A6F" w:rsidP="00557A6F">
            <w:pPr>
              <w:jc w:val="right"/>
            </w:pPr>
            <w:r>
              <w:t>126 592</w:t>
            </w:r>
          </w:p>
        </w:tc>
        <w:tc>
          <w:tcPr>
            <w:tcW w:w="1140" w:type="dxa"/>
          </w:tcPr>
          <w:p w:rsidR="00557A6F" w:rsidRDefault="00557A6F" w:rsidP="00557A6F">
            <w:pPr>
              <w:jc w:val="right"/>
            </w:pPr>
            <w:r>
              <w:t>134 668</w:t>
            </w:r>
          </w:p>
        </w:tc>
        <w:tc>
          <w:tcPr>
            <w:tcW w:w="1140" w:type="dxa"/>
          </w:tcPr>
          <w:p w:rsidR="00557A6F" w:rsidRDefault="00557A6F" w:rsidP="00557A6F">
            <w:pPr>
              <w:jc w:val="right"/>
            </w:pPr>
            <w:r>
              <w:t>149 207</w:t>
            </w:r>
          </w:p>
        </w:tc>
      </w:tr>
      <w:tr w:rsidR="00557A6F" w:rsidTr="00557A6F">
        <w:trPr>
          <w:trHeight w:val="380"/>
        </w:trPr>
        <w:tc>
          <w:tcPr>
            <w:tcW w:w="1140" w:type="dxa"/>
          </w:tcPr>
          <w:p w:rsidR="00557A6F" w:rsidRDefault="00557A6F" w:rsidP="00557A6F">
            <w:r>
              <w:t>03</w:t>
            </w:r>
          </w:p>
        </w:tc>
        <w:tc>
          <w:tcPr>
            <w:tcW w:w="4560" w:type="dxa"/>
          </w:tcPr>
          <w:p w:rsidR="00557A6F" w:rsidRDefault="00557A6F" w:rsidP="00557A6F">
            <w:r>
              <w:t xml:space="preserve">Samfinansiering </w:t>
            </w:r>
          </w:p>
        </w:tc>
        <w:tc>
          <w:tcPr>
            <w:tcW w:w="1140" w:type="dxa"/>
          </w:tcPr>
          <w:p w:rsidR="00557A6F" w:rsidRDefault="00557A6F" w:rsidP="00557A6F">
            <w:pPr>
              <w:jc w:val="right"/>
            </w:pPr>
            <w:r>
              <w:t>306 398</w:t>
            </w:r>
          </w:p>
        </w:tc>
        <w:tc>
          <w:tcPr>
            <w:tcW w:w="1140" w:type="dxa"/>
          </w:tcPr>
          <w:p w:rsidR="00557A6F" w:rsidRDefault="00557A6F" w:rsidP="00557A6F">
            <w:pPr>
              <w:jc w:val="right"/>
            </w:pPr>
            <w:r>
              <w:t>203 966</w:t>
            </w:r>
          </w:p>
        </w:tc>
        <w:tc>
          <w:tcPr>
            <w:tcW w:w="1140" w:type="dxa"/>
          </w:tcPr>
          <w:p w:rsidR="00557A6F" w:rsidRDefault="00557A6F" w:rsidP="00557A6F">
            <w:pPr>
              <w:jc w:val="right"/>
            </w:pPr>
            <w:r>
              <w:t>210 324</w:t>
            </w:r>
          </w:p>
        </w:tc>
      </w:tr>
      <w:tr w:rsidR="00557A6F" w:rsidTr="00557A6F">
        <w:trPr>
          <w:trHeight w:val="380"/>
        </w:trPr>
        <w:tc>
          <w:tcPr>
            <w:tcW w:w="1140" w:type="dxa"/>
          </w:tcPr>
          <w:p w:rsidR="00557A6F" w:rsidRDefault="00557A6F" w:rsidP="00557A6F"/>
        </w:tc>
        <w:tc>
          <w:tcPr>
            <w:tcW w:w="4560" w:type="dxa"/>
          </w:tcPr>
          <w:p w:rsidR="00557A6F" w:rsidRDefault="00557A6F" w:rsidP="00557A6F">
            <w:r>
              <w:t>Sum kap. 3595</w:t>
            </w:r>
          </w:p>
        </w:tc>
        <w:tc>
          <w:tcPr>
            <w:tcW w:w="1140" w:type="dxa"/>
          </w:tcPr>
          <w:p w:rsidR="00557A6F" w:rsidRDefault="00557A6F" w:rsidP="00557A6F">
            <w:pPr>
              <w:jc w:val="right"/>
            </w:pPr>
            <w:r>
              <w:t>852 535</w:t>
            </w:r>
          </w:p>
        </w:tc>
        <w:tc>
          <w:tcPr>
            <w:tcW w:w="1140" w:type="dxa"/>
          </w:tcPr>
          <w:p w:rsidR="00557A6F" w:rsidRDefault="00557A6F" w:rsidP="00557A6F">
            <w:pPr>
              <w:jc w:val="right"/>
            </w:pPr>
            <w:r>
              <w:t>755 081</w:t>
            </w:r>
          </w:p>
        </w:tc>
        <w:tc>
          <w:tcPr>
            <w:tcW w:w="1140" w:type="dxa"/>
          </w:tcPr>
          <w:p w:rsidR="00557A6F" w:rsidRDefault="00557A6F" w:rsidP="00557A6F">
            <w:pPr>
              <w:jc w:val="right"/>
            </w:pPr>
            <w:r>
              <w:t>809 531</w:t>
            </w:r>
          </w:p>
        </w:tc>
      </w:tr>
    </w:tbl>
    <w:p w:rsidR="00557A6F" w:rsidRDefault="00557A6F" w:rsidP="00557A6F">
      <w:pPr>
        <w:pStyle w:val="tabell-noter"/>
      </w:pPr>
      <w:r>
        <w:t xml:space="preserve">Vedrørende 2019: Ved Stortingets vedtak av 21. juni 2019 ble post 02 økt med 9,2 mill. kroner til 143,9 mill. kroner, jf. Prop. 114 S og Innst. 391 S (2018–2019). </w:t>
      </w:r>
    </w:p>
    <w:p w:rsidR="00557A6F" w:rsidRDefault="00557A6F" w:rsidP="00557A6F">
      <w:pPr>
        <w:pStyle w:val="b-post"/>
      </w:pPr>
      <w:r>
        <w:lastRenderedPageBreak/>
        <w:t>Post 01 Gebyrinntekter tinglysing</w:t>
      </w:r>
    </w:p>
    <w:p w:rsidR="00557A6F" w:rsidRDefault="00557A6F" w:rsidP="00557A6F">
      <w:r>
        <w:t>På posten føres inntekter knyttet til gebyr for rettsregistrering av boretter og tinglysing i fast eie</w:t>
      </w:r>
      <w:r>
        <w:t>n</w:t>
      </w:r>
      <w:r>
        <w:t xml:space="preserve">dom. Gebyrene er fastsatt i forskrift. </w:t>
      </w:r>
    </w:p>
    <w:p w:rsidR="00557A6F" w:rsidRDefault="00557A6F" w:rsidP="00557A6F">
      <w:r>
        <w:t>For å dekke økte kostnader til videreutvikling av matrikkelen, foreslås det å øke gebyrinntektene med 30 mill. kroner i 2020, jf. kap. 595, post 01. På bakgrunn av dette økes gebyrene på tinglysing av fast eiendom og tingl</w:t>
      </w:r>
      <w:r>
        <w:t>y</w:t>
      </w:r>
      <w:r>
        <w:t xml:space="preserve">sing av andel i borettslag i 2020. </w:t>
      </w:r>
    </w:p>
    <w:p w:rsidR="00557A6F" w:rsidRDefault="00557A6F" w:rsidP="00557A6F">
      <w:r>
        <w:t>For å stimulere til økt digitalisering foreslås det samtidig en differensiering mellom digitalt og m</w:t>
      </w:r>
      <w:r>
        <w:t>a</w:t>
      </w:r>
      <w:r>
        <w:t>nuelt leverte tinglysinger, jf. tabell nedenfor. I 2019 er gebyrene på tinglysing av fast eiendom og for tinglysing av andeler i borettslag henholdsvis 525 kroner og 430 kroner. I 2020 økes gebyret for tinglysing av eiendom til 585 kroner for tinglysing som leveres manuelt og 540 kroner for tingl</w:t>
      </w:r>
      <w:r>
        <w:t>y</w:t>
      </w:r>
      <w:r>
        <w:t>sing som leveres elektr</w:t>
      </w:r>
      <w:r>
        <w:t>o</w:t>
      </w:r>
      <w:r>
        <w:t>nisk. Gebyret for tinglysing av andel i borettslag øker til 480 kroner for manuelt leverte tinglysing og 440 kroner for elektronisk levert tingl</w:t>
      </w:r>
      <w:r>
        <w:t>y</w:t>
      </w:r>
      <w:r>
        <w:t xml:space="preserve">sing. Øvrige gebyrer og priser videreføres på samme nivå som i 2019. </w:t>
      </w:r>
    </w:p>
    <w:p w:rsidR="00557A6F" w:rsidRDefault="00557A6F" w:rsidP="00557A6F">
      <w:r>
        <w:t>I tillegg foreslås det en økning på 5,6 mill. kroner som følge av økt omsetning.</w:t>
      </w:r>
    </w:p>
    <w:p w:rsidR="00557A6F" w:rsidRDefault="00557A6F" w:rsidP="00557A6F">
      <w:r>
        <w:t>Det foreslås en bevilgning på 450 mill. kroner i 2020.</w:t>
      </w:r>
    </w:p>
    <w:p w:rsidR="00557A6F" w:rsidRDefault="00557A6F" w:rsidP="00557A6F">
      <w:pPr>
        <w:pStyle w:val="avsnitt-undertittel"/>
      </w:pPr>
      <w:r>
        <w:t>Gebyr på tinglysing av fast eiendom og andel i borettslag i 2020:</w:t>
      </w:r>
    </w:p>
    <w:p w:rsidR="00557A6F" w:rsidRDefault="00557A6F" w:rsidP="00557A6F">
      <w:pPr>
        <w:pStyle w:val="Tabellnavn"/>
      </w:pPr>
      <w:r>
        <w:t>03N2xt2</w:t>
      </w:r>
    </w:p>
    <w:tbl>
      <w:tblPr>
        <w:tblStyle w:val="StandardTabell"/>
        <w:tblW w:w="0" w:type="auto"/>
        <w:tblLayout w:type="fixed"/>
        <w:tblLook w:val="04A0" w:firstRow="1" w:lastRow="0" w:firstColumn="1" w:lastColumn="0" w:noHBand="0" w:noVBand="1"/>
      </w:tblPr>
      <w:tblGrid>
        <w:gridCol w:w="6740"/>
        <w:gridCol w:w="1400"/>
        <w:gridCol w:w="1400"/>
      </w:tblGrid>
      <w:tr w:rsidR="00557A6F" w:rsidTr="009017E2">
        <w:trPr>
          <w:trHeight w:val="360"/>
        </w:trPr>
        <w:tc>
          <w:tcPr>
            <w:tcW w:w="6740" w:type="dxa"/>
            <w:shd w:val="clear" w:color="auto" w:fill="FFFFFF"/>
          </w:tcPr>
          <w:p w:rsidR="00557A6F" w:rsidRDefault="00557A6F" w:rsidP="00557A6F"/>
        </w:tc>
        <w:tc>
          <w:tcPr>
            <w:tcW w:w="2800" w:type="dxa"/>
            <w:gridSpan w:val="2"/>
          </w:tcPr>
          <w:p w:rsidR="00557A6F" w:rsidRDefault="00557A6F" w:rsidP="009017E2">
            <w:pPr>
              <w:jc w:val="right"/>
            </w:pPr>
            <w:r>
              <w:t>Pris</w:t>
            </w:r>
          </w:p>
        </w:tc>
      </w:tr>
      <w:tr w:rsidR="00557A6F" w:rsidTr="009017E2">
        <w:trPr>
          <w:trHeight w:val="360"/>
        </w:trPr>
        <w:tc>
          <w:tcPr>
            <w:tcW w:w="6740" w:type="dxa"/>
          </w:tcPr>
          <w:p w:rsidR="00557A6F" w:rsidRDefault="00557A6F" w:rsidP="00557A6F">
            <w:r>
              <w:rPr>
                <w:rStyle w:val="halvfet0"/>
                <w:sz w:val="19"/>
                <w:szCs w:val="19"/>
              </w:rPr>
              <w:t>Gebyr</w:t>
            </w:r>
          </w:p>
        </w:tc>
        <w:tc>
          <w:tcPr>
            <w:tcW w:w="1400" w:type="dxa"/>
          </w:tcPr>
          <w:p w:rsidR="00557A6F" w:rsidRDefault="00557A6F" w:rsidP="009017E2">
            <w:pPr>
              <w:jc w:val="right"/>
            </w:pPr>
            <w:r>
              <w:t>Manuell</w:t>
            </w:r>
          </w:p>
        </w:tc>
        <w:tc>
          <w:tcPr>
            <w:tcW w:w="1400" w:type="dxa"/>
          </w:tcPr>
          <w:p w:rsidR="00557A6F" w:rsidRDefault="00557A6F" w:rsidP="009017E2">
            <w:pPr>
              <w:jc w:val="right"/>
            </w:pPr>
            <w:r>
              <w:t>Elektronisk</w:t>
            </w:r>
          </w:p>
        </w:tc>
      </w:tr>
      <w:tr w:rsidR="00557A6F" w:rsidTr="009017E2">
        <w:trPr>
          <w:trHeight w:val="380"/>
        </w:trPr>
        <w:tc>
          <w:tcPr>
            <w:tcW w:w="6740" w:type="dxa"/>
          </w:tcPr>
          <w:p w:rsidR="00557A6F" w:rsidRDefault="00557A6F" w:rsidP="00557A6F">
            <w:r>
              <w:t>Tinglysing av fast eiendom</w:t>
            </w:r>
          </w:p>
        </w:tc>
        <w:tc>
          <w:tcPr>
            <w:tcW w:w="1400" w:type="dxa"/>
          </w:tcPr>
          <w:p w:rsidR="00557A6F" w:rsidRDefault="00557A6F" w:rsidP="009017E2">
            <w:pPr>
              <w:jc w:val="right"/>
            </w:pPr>
            <w:r>
              <w:t>585</w:t>
            </w:r>
          </w:p>
        </w:tc>
        <w:tc>
          <w:tcPr>
            <w:tcW w:w="1400" w:type="dxa"/>
          </w:tcPr>
          <w:p w:rsidR="00557A6F" w:rsidRDefault="00557A6F" w:rsidP="009017E2">
            <w:pPr>
              <w:jc w:val="right"/>
            </w:pPr>
            <w:r>
              <w:t>540</w:t>
            </w:r>
          </w:p>
        </w:tc>
      </w:tr>
      <w:tr w:rsidR="00557A6F" w:rsidTr="009017E2">
        <w:trPr>
          <w:trHeight w:val="380"/>
        </w:trPr>
        <w:tc>
          <w:tcPr>
            <w:tcW w:w="6740" w:type="dxa"/>
          </w:tcPr>
          <w:p w:rsidR="00557A6F" w:rsidRDefault="00557A6F" w:rsidP="00557A6F">
            <w:r>
              <w:t>Tinglysing av andel i borettslag</w:t>
            </w:r>
          </w:p>
        </w:tc>
        <w:tc>
          <w:tcPr>
            <w:tcW w:w="1400" w:type="dxa"/>
          </w:tcPr>
          <w:p w:rsidR="00557A6F" w:rsidRDefault="00557A6F" w:rsidP="009017E2">
            <w:pPr>
              <w:jc w:val="right"/>
            </w:pPr>
            <w:r>
              <w:t>480</w:t>
            </w:r>
          </w:p>
        </w:tc>
        <w:tc>
          <w:tcPr>
            <w:tcW w:w="1400" w:type="dxa"/>
          </w:tcPr>
          <w:p w:rsidR="00557A6F" w:rsidRDefault="00557A6F" w:rsidP="009017E2">
            <w:pPr>
              <w:jc w:val="right"/>
            </w:pPr>
            <w:r>
              <w:t>440</w:t>
            </w:r>
          </w:p>
        </w:tc>
      </w:tr>
    </w:tbl>
    <w:p w:rsidR="00557A6F" w:rsidRDefault="00557A6F" w:rsidP="00557A6F">
      <w:pPr>
        <w:pStyle w:val="avsnitt-undertittel"/>
      </w:pPr>
      <w:r>
        <w:t>Andre gebyrer og priser i 2020:</w:t>
      </w:r>
    </w:p>
    <w:p w:rsidR="00557A6F" w:rsidRDefault="00557A6F" w:rsidP="00557A6F">
      <w:pPr>
        <w:pStyle w:val="Tabellnavn"/>
      </w:pPr>
      <w:r>
        <w:t>02N1xt2</w:t>
      </w:r>
    </w:p>
    <w:tbl>
      <w:tblPr>
        <w:tblStyle w:val="StandardTabell"/>
        <w:tblW w:w="0" w:type="auto"/>
        <w:tblLayout w:type="fixed"/>
        <w:tblLook w:val="04A0" w:firstRow="1" w:lastRow="0" w:firstColumn="1" w:lastColumn="0" w:noHBand="0" w:noVBand="1"/>
      </w:tblPr>
      <w:tblGrid>
        <w:gridCol w:w="7360"/>
        <w:gridCol w:w="1840"/>
      </w:tblGrid>
      <w:tr w:rsidR="00557A6F" w:rsidTr="00557A6F">
        <w:trPr>
          <w:trHeight w:val="360"/>
        </w:trPr>
        <w:tc>
          <w:tcPr>
            <w:tcW w:w="7360" w:type="dxa"/>
            <w:shd w:val="clear" w:color="auto" w:fill="FFFFFF"/>
          </w:tcPr>
          <w:p w:rsidR="00557A6F" w:rsidRDefault="00557A6F" w:rsidP="00557A6F">
            <w:r>
              <w:rPr>
                <w:rStyle w:val="halvfet0"/>
                <w:sz w:val="19"/>
                <w:szCs w:val="19"/>
              </w:rPr>
              <w:t>Gebyr</w:t>
            </w:r>
          </w:p>
        </w:tc>
        <w:tc>
          <w:tcPr>
            <w:tcW w:w="1840" w:type="dxa"/>
          </w:tcPr>
          <w:p w:rsidR="00557A6F" w:rsidRDefault="00557A6F" w:rsidP="00557A6F">
            <w:pPr>
              <w:jc w:val="right"/>
            </w:pPr>
            <w:r>
              <w:t>Pris</w:t>
            </w:r>
          </w:p>
        </w:tc>
      </w:tr>
      <w:tr w:rsidR="00557A6F" w:rsidTr="00557A6F">
        <w:trPr>
          <w:trHeight w:val="380"/>
        </w:trPr>
        <w:tc>
          <w:tcPr>
            <w:tcW w:w="7360" w:type="dxa"/>
          </w:tcPr>
          <w:p w:rsidR="00557A6F" w:rsidRDefault="00557A6F" w:rsidP="00557A6F">
            <w:r>
              <w:t xml:space="preserve">Refinansiering av lån </w:t>
            </w:r>
          </w:p>
        </w:tc>
        <w:tc>
          <w:tcPr>
            <w:tcW w:w="1840" w:type="dxa"/>
          </w:tcPr>
          <w:p w:rsidR="00557A6F" w:rsidRDefault="00557A6F" w:rsidP="00557A6F">
            <w:pPr>
              <w:jc w:val="right"/>
            </w:pPr>
            <w:r>
              <w:t>200</w:t>
            </w:r>
          </w:p>
        </w:tc>
      </w:tr>
      <w:tr w:rsidR="00557A6F" w:rsidTr="00557A6F">
        <w:trPr>
          <w:trHeight w:val="640"/>
        </w:trPr>
        <w:tc>
          <w:tcPr>
            <w:tcW w:w="7360" w:type="dxa"/>
          </w:tcPr>
          <w:p w:rsidR="00557A6F" w:rsidRDefault="00557A6F" w:rsidP="00557A6F">
            <w:r>
              <w:t>Sletting av dokumenter, pantefrafall, nedkvittering, hjemmelserklæring ved uskifte, utleggsforretning og andre tvangsforretninger, sammenslåing av eie</w:t>
            </w:r>
            <w:r>
              <w:t>n</w:t>
            </w:r>
            <w:r>
              <w:t>dommer mv.</w:t>
            </w:r>
          </w:p>
        </w:tc>
        <w:tc>
          <w:tcPr>
            <w:tcW w:w="1840" w:type="dxa"/>
          </w:tcPr>
          <w:p w:rsidR="00557A6F" w:rsidRDefault="00557A6F" w:rsidP="00557A6F">
            <w:pPr>
              <w:jc w:val="right"/>
            </w:pPr>
            <w:r>
              <w:t>0</w:t>
            </w:r>
          </w:p>
        </w:tc>
      </w:tr>
      <w:tr w:rsidR="00557A6F" w:rsidTr="00557A6F">
        <w:trPr>
          <w:trHeight w:val="380"/>
        </w:trPr>
        <w:tc>
          <w:tcPr>
            <w:tcW w:w="7360" w:type="dxa"/>
          </w:tcPr>
          <w:p w:rsidR="00557A6F" w:rsidRDefault="00557A6F" w:rsidP="00557A6F">
            <w:r>
              <w:t>Tinglysing av nytt borettslag</w:t>
            </w:r>
          </w:p>
        </w:tc>
        <w:tc>
          <w:tcPr>
            <w:tcW w:w="1840" w:type="dxa"/>
          </w:tcPr>
          <w:p w:rsidR="00557A6F" w:rsidRDefault="00557A6F" w:rsidP="00557A6F">
            <w:pPr>
              <w:jc w:val="right"/>
            </w:pPr>
            <w:r>
              <w:t>4 300</w:t>
            </w:r>
          </w:p>
        </w:tc>
      </w:tr>
      <w:tr w:rsidR="00557A6F" w:rsidTr="00557A6F">
        <w:trPr>
          <w:trHeight w:val="380"/>
        </w:trPr>
        <w:tc>
          <w:tcPr>
            <w:tcW w:w="7360" w:type="dxa"/>
          </w:tcPr>
          <w:p w:rsidR="00557A6F" w:rsidRDefault="00557A6F" w:rsidP="00557A6F">
            <w:r>
              <w:t>Etterfølgende tinglysing av nye andeler i et borettslag og deling av borett</w:t>
            </w:r>
            <w:r>
              <w:t>s</w:t>
            </w:r>
            <w:r>
              <w:t>lagsandeler</w:t>
            </w:r>
          </w:p>
        </w:tc>
        <w:tc>
          <w:tcPr>
            <w:tcW w:w="1840" w:type="dxa"/>
          </w:tcPr>
          <w:p w:rsidR="00557A6F" w:rsidRDefault="00557A6F" w:rsidP="00557A6F">
            <w:pPr>
              <w:jc w:val="right"/>
            </w:pPr>
            <w:r>
              <w:t>430</w:t>
            </w:r>
          </w:p>
        </w:tc>
      </w:tr>
      <w:tr w:rsidR="00557A6F" w:rsidTr="00557A6F">
        <w:trPr>
          <w:trHeight w:val="380"/>
        </w:trPr>
        <w:tc>
          <w:tcPr>
            <w:tcW w:w="7360" w:type="dxa"/>
          </w:tcPr>
          <w:p w:rsidR="00557A6F" w:rsidRDefault="00557A6F" w:rsidP="00557A6F">
            <w:r>
              <w:t>Anke over tinglysingsvedtak, f. eks ved nekting eller retting av grunnboken</w:t>
            </w:r>
          </w:p>
        </w:tc>
        <w:tc>
          <w:tcPr>
            <w:tcW w:w="1840" w:type="dxa"/>
          </w:tcPr>
          <w:p w:rsidR="00557A6F" w:rsidRDefault="00557A6F" w:rsidP="00557A6F">
            <w:pPr>
              <w:jc w:val="right"/>
            </w:pPr>
            <w:r>
              <w:t>6 900</w:t>
            </w:r>
          </w:p>
        </w:tc>
      </w:tr>
      <w:tr w:rsidR="00557A6F" w:rsidTr="00557A6F">
        <w:trPr>
          <w:trHeight w:val="640"/>
        </w:trPr>
        <w:tc>
          <w:tcPr>
            <w:tcW w:w="7360" w:type="dxa"/>
          </w:tcPr>
          <w:p w:rsidR="00557A6F" w:rsidRDefault="00557A6F" w:rsidP="00557A6F">
            <w:r>
              <w:t>Sletting av dokumenter, pantefrafall, nedkvittering, hjemmelserklæring ved uskifte, utleggsforretning og andre tvangsforretninger, sammenslåing av borett</w:t>
            </w:r>
            <w:r>
              <w:t>s</w:t>
            </w:r>
            <w:r>
              <w:t>lagsandeler mv.</w:t>
            </w:r>
          </w:p>
        </w:tc>
        <w:tc>
          <w:tcPr>
            <w:tcW w:w="1840" w:type="dxa"/>
          </w:tcPr>
          <w:p w:rsidR="00557A6F" w:rsidRDefault="00557A6F" w:rsidP="00557A6F">
            <w:pPr>
              <w:jc w:val="right"/>
            </w:pPr>
            <w:r>
              <w:t>0</w:t>
            </w:r>
          </w:p>
        </w:tc>
      </w:tr>
      <w:tr w:rsidR="00557A6F" w:rsidTr="00557A6F">
        <w:trPr>
          <w:trHeight w:val="380"/>
        </w:trPr>
        <w:tc>
          <w:tcPr>
            <w:tcW w:w="7360" w:type="dxa"/>
          </w:tcPr>
          <w:p w:rsidR="00557A6F" w:rsidRDefault="00557A6F" w:rsidP="00557A6F">
            <w:r>
              <w:t>Bekreftet grunnboksutskrift, fast eiendom eller borettslagsandel</w:t>
            </w:r>
          </w:p>
        </w:tc>
        <w:tc>
          <w:tcPr>
            <w:tcW w:w="1840" w:type="dxa"/>
          </w:tcPr>
          <w:p w:rsidR="00557A6F" w:rsidRDefault="00557A6F" w:rsidP="00557A6F">
            <w:pPr>
              <w:jc w:val="right"/>
            </w:pPr>
            <w:r>
              <w:t>172</w:t>
            </w:r>
          </w:p>
        </w:tc>
      </w:tr>
      <w:tr w:rsidR="00557A6F" w:rsidTr="00557A6F">
        <w:trPr>
          <w:trHeight w:val="380"/>
        </w:trPr>
        <w:tc>
          <w:tcPr>
            <w:tcW w:w="7360" w:type="dxa"/>
          </w:tcPr>
          <w:p w:rsidR="00557A6F" w:rsidRDefault="00557A6F" w:rsidP="00557A6F">
            <w:r>
              <w:t>Historisk grunnboksutskrift, fast eiendom eller borettslagsandel</w:t>
            </w:r>
          </w:p>
        </w:tc>
        <w:tc>
          <w:tcPr>
            <w:tcW w:w="1840" w:type="dxa"/>
          </w:tcPr>
          <w:p w:rsidR="00557A6F" w:rsidRDefault="00557A6F" w:rsidP="00557A6F">
            <w:pPr>
              <w:jc w:val="right"/>
            </w:pPr>
            <w:r>
              <w:t>40</w:t>
            </w:r>
          </w:p>
        </w:tc>
      </w:tr>
      <w:tr w:rsidR="00557A6F" w:rsidTr="00557A6F">
        <w:trPr>
          <w:trHeight w:val="380"/>
        </w:trPr>
        <w:tc>
          <w:tcPr>
            <w:tcW w:w="7360" w:type="dxa"/>
          </w:tcPr>
          <w:p w:rsidR="00557A6F" w:rsidRDefault="00557A6F" w:rsidP="00557A6F">
            <w:r>
              <w:t>Kopi av tinglyst dokument, fast eiendom eller borettslagsandel</w:t>
            </w:r>
          </w:p>
        </w:tc>
        <w:tc>
          <w:tcPr>
            <w:tcW w:w="1840" w:type="dxa"/>
          </w:tcPr>
          <w:p w:rsidR="00557A6F" w:rsidRDefault="00557A6F" w:rsidP="00557A6F">
            <w:pPr>
              <w:jc w:val="right"/>
            </w:pPr>
            <w:r>
              <w:t>172</w:t>
            </w:r>
          </w:p>
        </w:tc>
      </w:tr>
      <w:tr w:rsidR="00557A6F" w:rsidTr="00557A6F">
        <w:trPr>
          <w:trHeight w:val="380"/>
        </w:trPr>
        <w:tc>
          <w:tcPr>
            <w:tcW w:w="7360" w:type="dxa"/>
          </w:tcPr>
          <w:p w:rsidR="00557A6F" w:rsidRDefault="00557A6F" w:rsidP="00557A6F">
            <w:r>
              <w:lastRenderedPageBreak/>
              <w:t>Kopi av grunnboksblad fra gammel manuell grunnbok, fast eiendom</w:t>
            </w:r>
          </w:p>
        </w:tc>
        <w:tc>
          <w:tcPr>
            <w:tcW w:w="1840" w:type="dxa"/>
          </w:tcPr>
          <w:p w:rsidR="00557A6F" w:rsidRDefault="00557A6F" w:rsidP="00557A6F">
            <w:pPr>
              <w:jc w:val="right"/>
            </w:pPr>
            <w:r>
              <w:t>172</w:t>
            </w:r>
          </w:p>
        </w:tc>
      </w:tr>
    </w:tbl>
    <w:p w:rsidR="00557A6F" w:rsidRDefault="00557A6F" w:rsidP="00557A6F">
      <w:pPr>
        <w:pStyle w:val="b-post"/>
      </w:pPr>
      <w:r>
        <w:t>Post 02 Salg og abonnement m.m.</w:t>
      </w:r>
    </w:p>
    <w:p w:rsidR="00557A6F" w:rsidRDefault="00557A6F" w:rsidP="00557A6F">
      <w:r>
        <w:t>På posten føres inntekter fra ulike salg og abonnement i Kartverket. Inntektene er i hovedsak kny</w:t>
      </w:r>
      <w:r>
        <w:t>t</w:t>
      </w:r>
      <w:r>
        <w:t>tet til salg av posisjonstjenester, blant annet CPOS, og salg av geodata. I tillegg kommer inntekter knyttet til internasjonalt arbeid, betaling for deler av Kartverkets arbeid med formidling av elektr</w:t>
      </w:r>
      <w:r>
        <w:t>o</w:t>
      </w:r>
      <w:r>
        <w:t>niske sjøkart (PRIMAR) og diverse andre sjøprodukter.</w:t>
      </w:r>
    </w:p>
    <w:p w:rsidR="00557A6F" w:rsidRDefault="00557A6F" w:rsidP="00557A6F">
      <w:pPr>
        <w:pStyle w:val="avsnitt-tittel"/>
      </w:pPr>
      <w:r>
        <w:t>Budsjettforslag</w:t>
      </w:r>
    </w:p>
    <w:p w:rsidR="00557A6F" w:rsidRDefault="00557A6F" w:rsidP="00557A6F">
      <w:r>
        <w:t xml:space="preserve">Det forventes en økning i salgsinntektene på 10,9 mill. kroner i 2020. </w:t>
      </w:r>
    </w:p>
    <w:p w:rsidR="00557A6F" w:rsidRDefault="00557A6F" w:rsidP="00557A6F">
      <w:r>
        <w:t>Samlet foreslås det å øke bevilgningen med 14,5 mill. kroner til 149,2 mill. kroner, inkludert pri</w:t>
      </w:r>
      <w:r>
        <w:t>s</w:t>
      </w:r>
      <w:r>
        <w:t xml:space="preserve">justering og uttak av gevinster knyttet til avbyråkratiserings- og effektiviseringsreformen. </w:t>
      </w:r>
    </w:p>
    <w:p w:rsidR="00557A6F" w:rsidRDefault="00557A6F" w:rsidP="00557A6F">
      <w:pPr>
        <w:pStyle w:val="b-post"/>
      </w:pPr>
      <w:r>
        <w:lastRenderedPageBreak/>
        <w:t>Post 03 Samfinansiering</w:t>
      </w:r>
    </w:p>
    <w:p w:rsidR="00557A6F" w:rsidRDefault="00557A6F" w:rsidP="00557A6F">
      <w:r>
        <w:t>På posten føres inntekter knyttet til tidsavgrensede prosjekter som skal samfinansieres. Inntektene fra samfinansiering kommer fra statsetater, kommuner og private aktører. Dette er hovedsakelig kartle</w:t>
      </w:r>
      <w:r>
        <w:t>g</w:t>
      </w:r>
      <w:r>
        <w:t>gingsprosjekter, der Kartverket leder arbeidet og i noen tilfeller også utfører arbeidet selv. Inntektene er blant annet knyttet til Geovekst, vedlikehold av Felles kartdatabase (FKB), bidrag til nasjonal detaljert høydemodell og omløpsfotografering.</w:t>
      </w:r>
    </w:p>
    <w:p w:rsidR="00557A6F" w:rsidRDefault="00557A6F" w:rsidP="00557A6F">
      <w:pPr>
        <w:pStyle w:val="avsnitt-tittel"/>
      </w:pPr>
      <w:r>
        <w:t>Budsjettforslag</w:t>
      </w:r>
    </w:p>
    <w:p w:rsidR="00557A6F" w:rsidRDefault="00557A6F" w:rsidP="00557A6F">
      <w:r>
        <w:t xml:space="preserve">Det forventes en økning i inntektene knyttet til samfinansierte prosjekter på 0,9 mill. kroner. </w:t>
      </w:r>
    </w:p>
    <w:p w:rsidR="00557A6F" w:rsidRDefault="00557A6F" w:rsidP="00557A6F">
      <w:r>
        <w:t>Samlet foreslås det å øke bevilgningen med 6,4 mill. kroner til 210,3 mill. kroner, inkludert pri</w:t>
      </w:r>
      <w:r>
        <w:t>s</w:t>
      </w:r>
      <w:r>
        <w:t xml:space="preserve">justering og uttak av gevinster knyttet til avbyråkratiserings- og effektiviseringsreformen. </w:t>
      </w:r>
    </w:p>
    <w:p w:rsidR="00557A6F" w:rsidRDefault="00557A6F" w:rsidP="00557A6F">
      <w:r>
        <w:t>Det foreslås at Kartverket kan plassere innbetalinger fra samfinansierte prosjekter på mellomv</w:t>
      </w:r>
      <w:r>
        <w:t>æ</w:t>
      </w:r>
      <w:r>
        <w:t>rende med stat</w:t>
      </w:r>
      <w:r>
        <w:t>s</w:t>
      </w:r>
      <w:r>
        <w:t>kassen. Inntektene vil bli rapportert til statsregnskapet på det tidspunkt utgiftene i de samfina</w:t>
      </w:r>
      <w:r>
        <w:t>n</w:t>
      </w:r>
      <w:r>
        <w:t>sierte prosjektene kommer til utbetaling og rapporteres til statsregnskapet, jf. forslag til romertallsvedtak.</w:t>
      </w:r>
    </w:p>
    <w:p w:rsidR="00557A6F" w:rsidRDefault="009017E2" w:rsidP="00557A6F">
      <w:pPr>
        <w:pStyle w:val="del-nr"/>
      </w:pPr>
      <w:r>
        <w:lastRenderedPageBreak/>
        <w:t>Del III</w:t>
      </w:r>
    </w:p>
    <w:p w:rsidR="00557A6F" w:rsidRDefault="00557A6F" w:rsidP="00557A6F">
      <w:pPr>
        <w:pStyle w:val="del-tittel"/>
        <w:rPr>
          <w:w w:val="100"/>
        </w:rPr>
      </w:pPr>
      <w:r>
        <w:rPr>
          <w:w w:val="100"/>
        </w:rPr>
        <w:t>Omtale av særlige temaer</w:t>
      </w:r>
    </w:p>
    <w:p w:rsidR="00557A6F" w:rsidRDefault="00557A6F" w:rsidP="00557A6F">
      <w:pPr>
        <w:pStyle w:val="Overskrift1"/>
      </w:pPr>
      <w:r>
        <w:lastRenderedPageBreak/>
        <w:t>Omtale av særlige temaer</w:t>
      </w:r>
    </w:p>
    <w:p w:rsidR="00557A6F" w:rsidRDefault="00557A6F" w:rsidP="00557A6F">
      <w:pPr>
        <w:pStyle w:val="Overskrift2"/>
      </w:pPr>
      <w:r>
        <w:t>Samfunnssikkerhet og beredskap</w:t>
      </w:r>
    </w:p>
    <w:p w:rsidR="00557A6F" w:rsidRDefault="00557A6F" w:rsidP="00557A6F">
      <w:pPr>
        <w:pStyle w:val="avsnitt-undertittel"/>
      </w:pPr>
      <w:r>
        <w:t>Gjennomføring av ny sikkerhetslov, inkludert overgangsperiode og gjennomføringsfrister</w:t>
      </w:r>
    </w:p>
    <w:p w:rsidR="00557A6F" w:rsidRDefault="00557A6F" w:rsidP="00557A6F">
      <w:r>
        <w:t>Ny lov om nasjonal sikkerhet (sikkerhetsloven) trådte i kraft 1. januar 2019. Hovedformålet med loven er å trygge våre nasjonale sikkerhetsinteresser og å forebygge, avdekke og motvirke sikke</w:t>
      </w:r>
      <w:r>
        <w:t>r</w:t>
      </w:r>
      <w:r>
        <w:t>hetstruende virksomhet. De nasjonale sikkerhetsinteressene ivaretas gjennom å beskytte grunnle</w:t>
      </w:r>
      <w:r>
        <w:t>g</w:t>
      </w:r>
      <w:r>
        <w:t>gende nasjonale funksjoner (GNF). Slike funksjoner er tjenester, produksjon og andre former for virksomhet der et helt eller delvis bortfall av funksjonen vil få konsekvenser for statens evne til å ivareta nasjonale sikkerhetsi</w:t>
      </w:r>
      <w:r>
        <w:t>n</w:t>
      </w:r>
      <w:r>
        <w:t>teresser.</w:t>
      </w:r>
    </w:p>
    <w:p w:rsidR="00557A6F" w:rsidRDefault="00557A6F" w:rsidP="00557A6F">
      <w:r>
        <w:t>For å trygge de nasjonale sikkerhetsinteressene, legger regelverket opp til at vi skal beskytte ve</w:t>
      </w:r>
      <w:r>
        <w:t>r</w:t>
      </w:r>
      <w:r>
        <w:t>dier i form av informasjon, informasjonssystemer, objekt og infrastruktur (skjermingsverdige ve</w:t>
      </w:r>
      <w:r>
        <w:t>r</w:t>
      </w:r>
      <w:r>
        <w:t>dier) som er vesentlig for å opprettholde de nasjonale sikkerhetsinteressene. Departementene skal i samsvar med sikkerhetsloven § 2-1 ide</w:t>
      </w:r>
      <w:r>
        <w:t>n</w:t>
      </w:r>
      <w:r>
        <w:t>tifisere GNF og fatte vedtak overfor virksomheter som har avgjørende betydning for GNF. I tråd med kgl. res. 20. desember 2018 skal dette gjøres innen r</w:t>
      </w:r>
      <w:r>
        <w:t>i</w:t>
      </w:r>
      <w:r>
        <w:t>melig tid. Hva som er «rimelig tid», avhenger blant annet av størrelsen på den aktuelle samfunn</w:t>
      </w:r>
      <w:r>
        <w:t>s</w:t>
      </w:r>
      <w:r>
        <w:t>sektoren, omfanget av skjermingsverdige verdier, kompleksiteten på verdikjedene, og den sikke</w:t>
      </w:r>
      <w:r>
        <w:t>r</w:t>
      </w:r>
      <w:r>
        <w:t>hetsfaglige kompetansen i depart</w:t>
      </w:r>
      <w:r>
        <w:t>e</w:t>
      </w:r>
      <w:r>
        <w:t>mentet.</w:t>
      </w:r>
    </w:p>
    <w:p w:rsidR="00557A6F" w:rsidRDefault="00557A6F" w:rsidP="00557A6F">
      <w:r>
        <w:t>Kommunal- og moderniseringsdepartementet fastsatte GNF i egen sektor våren 2019. I lys av dette vil departementet identifisere virksomheter som er av vesentlig eller avgjørende betydning for GNF og de</w:t>
      </w:r>
      <w:r>
        <w:t>r</w:t>
      </w:r>
      <w:r>
        <w:t>etter fatte vedtak om at loven skal gjelde for bestemte virksomheter der det er nødvendig. Virksomheter som er eller blir omfattet av loven skal utarbeide skadevurderinger med bakgrunn i de identifiserte GNF. Skadevurderingene vil danne grunnlaget for departementets utpeking og klassifisering av eventuelle skjermingsverdige objekt og infrastruktur i sektoren, samt fastsettelse av frister for gjennomføring av nødvendige sikringstiltak. Kommunal- og moderniseringsdepart</w:t>
      </w:r>
      <w:r>
        <w:t>e</w:t>
      </w:r>
      <w:r>
        <w:t>mentet har gjennomført en ikke ubet</w:t>
      </w:r>
      <w:r>
        <w:t>y</w:t>
      </w:r>
      <w:r>
        <w:t>delig del av arbeidet i 2019.</w:t>
      </w:r>
    </w:p>
    <w:p w:rsidR="00557A6F" w:rsidRDefault="00557A6F" w:rsidP="00557A6F">
      <w:r>
        <w:t>Inntil det er fattet vedtak etter ny lov, gjelder alle vedtak fattet etter den gamle loven. Dette betyr blant annet at objekter klassifisert etter gammel sikkerhetslov også er klassifiserte etter ny lov, jf. kgl. res. 20. desember 2018.</w:t>
      </w:r>
    </w:p>
    <w:p w:rsidR="00557A6F" w:rsidRDefault="00557A6F" w:rsidP="00557A6F">
      <w:pPr>
        <w:pStyle w:val="avsnitt-undertittel"/>
      </w:pPr>
      <w:r>
        <w:t>Generell omtale av samfunnssikkerhet og beredskap</w:t>
      </w:r>
    </w:p>
    <w:p w:rsidR="00557A6F" w:rsidRDefault="00557A6F" w:rsidP="00557A6F">
      <w:r>
        <w:t>Regjeringen arbeider helhetlig med samfunnssikkerhet og beredskap. Det er avgjørende å ha ti</w:t>
      </w:r>
      <w:r>
        <w:t>l</w:t>
      </w:r>
      <w:r>
        <w:t>strekkelig kunnskap og oversikt over risiko og sårbarheter, drive effektiv og målrettet forebygging, ha tilstrekkelig beredskap og krisehåndteringsevne, kunne gjenopprette funksjoner ved ødelegge</w:t>
      </w:r>
      <w:r>
        <w:t>l</w:t>
      </w:r>
      <w:r>
        <w:t>ser eller feil, samt lære av erfaringer fra øvelser og hendelser. Fagområdet er kjennetegnet av at alle aktørene ivaretar ulike deler av beredskapen.</w:t>
      </w:r>
    </w:p>
    <w:p w:rsidR="00557A6F" w:rsidRDefault="00557A6F" w:rsidP="00557A6F">
      <w:r>
        <w:t>Endringer i teknologi, bruksmønstre og internasjonalisering av tjenesteproduksjon har skapt et b</w:t>
      </w:r>
      <w:r>
        <w:t>e</w:t>
      </w:r>
      <w:r>
        <w:t>hov for økt sikkerhet og beredskap knyttet til nett og tjenester, både nasjonalt og for tilknytning internasjonalt. Et viktig mål er å sikre robuste elektroniske kommunikasjonstjenester og -nett. Samfunnet blir stadig mer avhengig av elektr</w:t>
      </w:r>
      <w:r>
        <w:t>o</w:t>
      </w:r>
      <w:r>
        <w:t>nisk kommunikasjon. Bortfall av ekomtjenester som følge av blant annet ekstremvær, sabotasje og teknisk eller menneskelig svikt, kan få store kons</w:t>
      </w:r>
      <w:r>
        <w:t>e</w:t>
      </w:r>
      <w:r>
        <w:t xml:space="preserve">kvenser for samfunnet. </w:t>
      </w:r>
    </w:p>
    <w:p w:rsidR="00557A6F" w:rsidRDefault="00557A6F" w:rsidP="00557A6F">
      <w:r>
        <w:t>For å sikre raskere beredskap ved for eksempel ekstremvær, vil myndighetene i samarbeid med private tilbydere vurdere ny teknologi, som for eksempel droner med mobildekning, for å gjenop</w:t>
      </w:r>
      <w:r>
        <w:t>p</w:t>
      </w:r>
      <w:r>
        <w:t xml:space="preserve">rette dekning. </w:t>
      </w:r>
    </w:p>
    <w:p w:rsidR="00557A6F" w:rsidRDefault="00557A6F" w:rsidP="00557A6F">
      <w:r>
        <w:t>Norge ligger langt fremme innenfor digitalisering, noe som gjør at vi som samfunn tidlig møter sårbarhetsutfor</w:t>
      </w:r>
      <w:r>
        <w:t>d</w:t>
      </w:r>
      <w:r>
        <w:t>ringene. Trusselsituasjonen er skjerpet, og elektronisk kommunikasjon er en kritisk innsatsfaktor for alle sa</w:t>
      </w:r>
      <w:r>
        <w:t>m</w:t>
      </w:r>
      <w:r>
        <w:t>funnsfunksjoner.</w:t>
      </w:r>
    </w:p>
    <w:p w:rsidR="00557A6F" w:rsidRDefault="00557A6F" w:rsidP="00557A6F">
      <w:r>
        <w:lastRenderedPageBreak/>
        <w:t>Departementet har ansvar for ID-porten og Altinn, som med økende tjenestevolum må regnes som kritisk infrastruktur. Det er foreløpig ikke avklart hvorvidt dette skal vurderes som samfunnskriti</w:t>
      </w:r>
      <w:r>
        <w:t>s</w:t>
      </w:r>
      <w:r>
        <w:t>ke tjenster.</w:t>
      </w:r>
    </w:p>
    <w:p w:rsidR="00557A6F" w:rsidRDefault="00557A6F" w:rsidP="00557A6F">
      <w:r>
        <w:t>Departementet har ansvaret for forebyggende informasjonssikkerhet i statsforvaltningen. Direkt</w:t>
      </w:r>
      <w:r>
        <w:t>o</w:t>
      </w:r>
      <w:r>
        <w:t>ratet for forvaltning og IKT (Difi) har utarbeidet veiledningsmateriell for utarbeidelse, impleme</w:t>
      </w:r>
      <w:r>
        <w:t>n</w:t>
      </w:r>
      <w:r>
        <w:t>tering og oppfølging av styringssystem for informasjonssikkerhet for statsforvaltningen. Depart</w:t>
      </w:r>
      <w:r>
        <w:t>e</w:t>
      </w:r>
      <w:r>
        <w:t>mentet har etablert et styringssystem for informasjonssikkerhet, basert på ISO 27001.</w:t>
      </w:r>
    </w:p>
    <w:p w:rsidR="00557A6F" w:rsidRDefault="00557A6F" w:rsidP="00557A6F">
      <w:r>
        <w:t>Departementet har objekteieransvar for skjermingsverdige objekter, herunder departementsby</w:t>
      </w:r>
      <w:r>
        <w:t>g</w:t>
      </w:r>
      <w:r>
        <w:t>ningene og regjeringens representasjonsanlegg. Videre har de underliggende virksomhetene D</w:t>
      </w:r>
      <w:r>
        <w:t>e</w:t>
      </w:r>
      <w:r>
        <w:t>partementenes sikkerhets- og se</w:t>
      </w:r>
      <w:r>
        <w:t>r</w:t>
      </w:r>
      <w:r>
        <w:t>viceorganisasjon (DSS) og Kartverket objekteieransvar for egne skjerming</w:t>
      </w:r>
      <w:r>
        <w:t>s</w:t>
      </w:r>
      <w:r>
        <w:t xml:space="preserve">verdige objekter. Departementet og Nasjonal kommunikasjonsmyndighet følger opp kommersielle leverandører i ekomsektoren som råder over skjermingsverdige objekter. </w:t>
      </w:r>
    </w:p>
    <w:p w:rsidR="00557A6F" w:rsidRDefault="00557A6F" w:rsidP="00557A6F">
      <w:r>
        <w:t>Departementet har ansvar for sikringsstrategi og for fastsettelse av sikringsnivå for egne skjer</w:t>
      </w:r>
      <w:r>
        <w:t>m</w:t>
      </w:r>
      <w:r>
        <w:t>ingsverdige objekter. Etablering av bygningsmessige tiltak og vaktoperative sikringstjenester iv</w:t>
      </w:r>
      <w:r>
        <w:t>a</w:t>
      </w:r>
      <w:r>
        <w:t>retas gjennom Statsbygg og DSS. Departementets ansvar for departementsbygningene omfatter utearealer, felles bygningsmasse, fellesomr</w:t>
      </w:r>
      <w:r>
        <w:t>å</w:t>
      </w:r>
      <w:r>
        <w:t>der og felles teknisk infrastruktur. Sikringsformålet er opprettholdelse av d</w:t>
      </w:r>
      <w:r>
        <w:t>e</w:t>
      </w:r>
      <w:r>
        <w:t>partementenes drift.</w:t>
      </w:r>
    </w:p>
    <w:p w:rsidR="00557A6F" w:rsidRDefault="00557A6F" w:rsidP="00557A6F">
      <w:r>
        <w:t>Etter ny sikkerhetslov har departementet identifisert GNF innenfor sine sektorer. Departementet har fattet enkeltvedtak overfor enkelte kommersielle leverandører i ekomsektoren om at de er o</w:t>
      </w:r>
      <w:r>
        <w:t>m</w:t>
      </w:r>
      <w:r>
        <w:t>fattet av sikkerhetsloven, med de forpliktelser til skadevurderinger og sikringstiltak som følger av loven.</w:t>
      </w:r>
    </w:p>
    <w:p w:rsidR="00557A6F" w:rsidRDefault="00557A6F" w:rsidP="00557A6F">
      <w:r>
        <w:t>Statsbygg skal, som byggherre i statlig sivil sektor, gi råd om sikkerhet og sørge for at ferdige bygg overleveres brukerne med nødvendige og avtalte sikkerhetsløsninger.</w:t>
      </w:r>
    </w:p>
    <w:p w:rsidR="00557A6F" w:rsidRDefault="00557A6F" w:rsidP="00557A6F">
      <w:r>
        <w:t>Departementet har ansvaret for plan- og bygningsloven. I gjeldende plan- og bygningslov er det lagt økt vekt på samfunnssikkerhet. I loven er det blant annet krav om å gjennomføre risiko- og sårbarhetsanalyse ved uta</w:t>
      </w:r>
      <w:r>
        <w:t>r</w:t>
      </w:r>
      <w:r>
        <w:t>beiding av planer for utbygging i fareområder. Beredskapshensyn blir ivaretatt gjennom revisjoner av rege</w:t>
      </w:r>
      <w:r>
        <w:t>l</w:t>
      </w:r>
      <w:r>
        <w:t>verket på bakgrunn av identifiserte sårbarheter, og/eller etter hendelser som avdekker revisjonsbehov.</w:t>
      </w:r>
    </w:p>
    <w:p w:rsidR="00557A6F" w:rsidRDefault="00557A6F" w:rsidP="00557A6F">
      <w:r>
        <w:t>Planlegging og gjennomføring av valg inkluderer kriseøvelser i forkant, samt løpende overvåkning av valggje</w:t>
      </w:r>
      <w:r>
        <w:t>n</w:t>
      </w:r>
      <w:r>
        <w:t>nomføringen. Departementet har en egen beredskapsplan for valg.</w:t>
      </w:r>
    </w:p>
    <w:p w:rsidR="00557A6F" w:rsidRDefault="00557A6F" w:rsidP="00557A6F">
      <w:r>
        <w:t>Fylkesmannen har en sentral rolle innen samfunnssikkerhet og beredskap som regional samordner, og som bi</w:t>
      </w:r>
      <w:r>
        <w:t>n</w:t>
      </w:r>
      <w:r>
        <w:t>deledd mellom sentralt og lokalt nivå. Innen dette området rapporterer fylkesmannen til Justis- og beredskapsdepartementet. Kommunal- og moderniseringsdepartementets oppfølgingsa</w:t>
      </w:r>
      <w:r>
        <w:t>n</w:t>
      </w:r>
      <w:r>
        <w:t>svar overfor fylkesmannen på samfunnssikkerhets- og beredskapsområdet er begrenset til embet</w:t>
      </w:r>
      <w:r>
        <w:t>e</w:t>
      </w:r>
      <w:r>
        <w:t>nes interne adm</w:t>
      </w:r>
      <w:r>
        <w:t>i</w:t>
      </w:r>
      <w:r>
        <w:t>nistrative sikkerhet og beredskap.</w:t>
      </w:r>
    </w:p>
    <w:p w:rsidR="00557A6F" w:rsidRDefault="00557A6F" w:rsidP="00557A6F">
      <w:r>
        <w:t>Departementet vurderer løpende deltakelse i de større, sentrale nasjonale øvelsene. Sikkerhet og b</w:t>
      </w:r>
      <w:r>
        <w:t>e</w:t>
      </w:r>
      <w:r>
        <w:t>redskap er særskilt omtalt i virksomhets- og økonomiinstruksene til underliggende virksomheter, og er gjenstand for rappo</w:t>
      </w:r>
      <w:r>
        <w:t>r</w:t>
      </w:r>
      <w:r>
        <w:t>tering. Departementets krisehåndteringsplan revideres årlig på bakgrunn av erfaringer fra interne beredskap</w:t>
      </w:r>
      <w:r>
        <w:t>s</w:t>
      </w:r>
      <w:r>
        <w:t>øvelser, ledelsens årlige gjennomgang, konkrete hendelser og etter innspill fra tilsyn.</w:t>
      </w:r>
    </w:p>
    <w:p w:rsidR="00557A6F" w:rsidRDefault="00557A6F" w:rsidP="00557A6F">
      <w:pPr>
        <w:pStyle w:val="avsnitt-undertittel"/>
      </w:pPr>
      <w:r>
        <w:t>Delmål og tiltak for departementets arbeid med samfunnssikkerhet og beredskap</w:t>
      </w:r>
    </w:p>
    <w:p w:rsidR="00557A6F" w:rsidRDefault="00557A6F" w:rsidP="00557A6F">
      <w:r>
        <w:t>Målet er et samfunnssikkerhets- og beredskapsarbeid som bidrar til å styrke samfunnets evne til å forebygge kriser og styrke evnen til å håndtere kriser som oppstår. For å bidra til dette har depa</w:t>
      </w:r>
      <w:r>
        <w:t>r</w:t>
      </w:r>
      <w:r>
        <w:t>tementet følgende delmål og tiltak:</w:t>
      </w:r>
    </w:p>
    <w:p w:rsidR="00557A6F" w:rsidRDefault="00557A6F" w:rsidP="00557A6F">
      <w:pPr>
        <w:pStyle w:val="avsnitt-under-undertittel"/>
      </w:pPr>
      <w:r>
        <w:t>Departementet skal styrke og bevare sin kompetanse og lederevne under kriser</w:t>
      </w:r>
    </w:p>
    <w:p w:rsidR="00557A6F" w:rsidRDefault="00557A6F" w:rsidP="00557A6F">
      <w:r>
        <w:t>Tiltak:</w:t>
      </w:r>
    </w:p>
    <w:p w:rsidR="00557A6F" w:rsidRDefault="00557A6F" w:rsidP="00557A6F">
      <w:pPr>
        <w:pStyle w:val="Liste"/>
      </w:pPr>
      <w:r>
        <w:t>Styrke departementet og sektorens evne til krisehåndtering gjennom utvikling og vedlik</w:t>
      </w:r>
      <w:r>
        <w:t>e</w:t>
      </w:r>
      <w:r>
        <w:t>hold av pla</w:t>
      </w:r>
      <w:r>
        <w:t>n</w:t>
      </w:r>
      <w:r>
        <w:t>verk, samt kompetanseheving og deltakelse i øvelser.</w:t>
      </w:r>
    </w:p>
    <w:p w:rsidR="00557A6F" w:rsidRDefault="00557A6F" w:rsidP="00557A6F">
      <w:pPr>
        <w:pStyle w:val="Liste"/>
      </w:pPr>
      <w:r>
        <w:t>Styrke samhandlingen med andre departementer under krisehåndtering.</w:t>
      </w:r>
    </w:p>
    <w:p w:rsidR="00557A6F" w:rsidRDefault="00557A6F" w:rsidP="00557A6F">
      <w:pPr>
        <w:pStyle w:val="Liste"/>
      </w:pPr>
      <w:r>
        <w:t>Være forberedt på å være lederdepartement i Kriserådet.</w:t>
      </w:r>
    </w:p>
    <w:p w:rsidR="00557A6F" w:rsidRDefault="00557A6F" w:rsidP="00557A6F">
      <w:r>
        <w:lastRenderedPageBreak/>
        <w:t>Rapport for 2018/2019:</w:t>
      </w:r>
    </w:p>
    <w:p w:rsidR="00557A6F" w:rsidRDefault="00557A6F" w:rsidP="00557A6F">
      <w:r>
        <w:t>Departementet vedlikeholder årlig sitt planverk på området, og har deltatt i øvelser. Ledelsen i d</w:t>
      </w:r>
      <w:r>
        <w:t>e</w:t>
      </w:r>
      <w:r>
        <w:t>partementet gjennomfører årlig flere samlinger med sikkerhet og beredskap som tema, herunder kompetanseheving for å kunne ivareta rollen som lederdepartement, i tråd med rutiner og maler fra Justis- og beredskapsdepartementet.</w:t>
      </w:r>
    </w:p>
    <w:p w:rsidR="00557A6F" w:rsidRDefault="00557A6F" w:rsidP="00557A6F">
      <w:pPr>
        <w:pStyle w:val="avsnitt-under-undertittel"/>
      </w:pPr>
      <w:r>
        <w:t>Departementet skal redusere sårbarheter i sektoren</w:t>
      </w:r>
    </w:p>
    <w:p w:rsidR="00557A6F" w:rsidRDefault="00557A6F" w:rsidP="00557A6F">
      <w:r>
        <w:t>Tiltak:</w:t>
      </w:r>
    </w:p>
    <w:p w:rsidR="00557A6F" w:rsidRDefault="00557A6F" w:rsidP="00557A6F">
      <w:pPr>
        <w:pStyle w:val="Liste"/>
      </w:pPr>
      <w:r>
        <w:t>Følge opp ny sikkerhetslov, herunder identifisering, utpeking, skadevurdering og sikring av GNF.</w:t>
      </w:r>
    </w:p>
    <w:p w:rsidR="00557A6F" w:rsidRDefault="00557A6F" w:rsidP="00557A6F">
      <w:pPr>
        <w:pStyle w:val="Liste"/>
      </w:pPr>
      <w:r>
        <w:t>Målrettet oppfølging av funn fra tilsyn i departementet og sektoren.</w:t>
      </w:r>
    </w:p>
    <w:p w:rsidR="00557A6F" w:rsidRDefault="00557A6F" w:rsidP="00557A6F">
      <w:pPr>
        <w:pStyle w:val="Liste"/>
      </w:pPr>
      <w:r>
        <w:t>Målrettet og systematisk arbeid med å synliggjøre risikoer og sårbarheter.</w:t>
      </w:r>
    </w:p>
    <w:p w:rsidR="00557A6F" w:rsidRDefault="00557A6F" w:rsidP="00557A6F">
      <w:pPr>
        <w:pStyle w:val="Liste"/>
      </w:pPr>
      <w:r>
        <w:t>Målrettet og systematisk arbeid med å redusere risiko for og konsekvenser av uønskede hendelser.</w:t>
      </w:r>
    </w:p>
    <w:p w:rsidR="00557A6F" w:rsidRDefault="00557A6F" w:rsidP="00557A6F">
      <w:r>
        <w:t>Rapport for 2018/2019:</w:t>
      </w:r>
    </w:p>
    <w:p w:rsidR="00557A6F" w:rsidRDefault="00557A6F" w:rsidP="00557A6F">
      <w:r>
        <w:t>Departementets risiko- og sårbarhetsvurderinger (ROS) og arbeidet med GNF er grunnlaget for å redusere sårbarheter. Kompetansen heves gjennom relevante kurs for ansatte. Virksomhetene i sektorene rapporterer om sikkerhetstilstanden, og er pålagt å gjennomføre risikovurderinger. D</w:t>
      </w:r>
      <w:r>
        <w:t>e</w:t>
      </w:r>
      <w:r>
        <w:t>partementet har i 2018 gjennomført si</w:t>
      </w:r>
      <w:r>
        <w:t>k</w:t>
      </w:r>
      <w:r>
        <w:t>kerhetsinspeksjoner av de etater og virksomheter som er mest berørt av si</w:t>
      </w:r>
      <w:r>
        <w:t>k</w:t>
      </w:r>
      <w:r>
        <w:t xml:space="preserve">kerhetsloven, og som har størst betydning for samfunnssikkerheten. </w:t>
      </w:r>
    </w:p>
    <w:p w:rsidR="00557A6F" w:rsidRDefault="00557A6F" w:rsidP="00557A6F">
      <w:pPr>
        <w:pStyle w:val="avsnitt-under-undertittel"/>
      </w:pPr>
      <w:r>
        <w:t>Departementet vil bedre evnen til å håndtere sikkerhetstruende hendelser på IKT-området</w:t>
      </w:r>
    </w:p>
    <w:p w:rsidR="00557A6F" w:rsidRDefault="00557A6F" w:rsidP="00557A6F">
      <w:r>
        <w:t>Tiltak:</w:t>
      </w:r>
    </w:p>
    <w:p w:rsidR="00557A6F" w:rsidRDefault="00557A6F" w:rsidP="00557A6F">
      <w:pPr>
        <w:pStyle w:val="Liste"/>
      </w:pPr>
      <w:r>
        <w:t xml:space="preserve">Se til at DSS’ beredskapsordning for IKT videreføres. </w:t>
      </w:r>
    </w:p>
    <w:p w:rsidR="00557A6F" w:rsidRDefault="00557A6F" w:rsidP="00557A6F">
      <w:pPr>
        <w:pStyle w:val="Liste"/>
      </w:pPr>
      <w:r>
        <w:t>Sikre videreutvikling og drift av DSS-CERT for hendelseshåndtering innen IKT.</w:t>
      </w:r>
    </w:p>
    <w:p w:rsidR="00557A6F" w:rsidRDefault="00557A6F" w:rsidP="00557A6F">
      <w:pPr>
        <w:pStyle w:val="Liste"/>
      </w:pPr>
      <w:r>
        <w:t>Sikre videreutvikling av kompetanse- og veiledningsmateriell i Difi knyttet til styrket i</w:t>
      </w:r>
      <w:r>
        <w:t>n</w:t>
      </w:r>
      <w:r>
        <w:t>formasjonssi</w:t>
      </w:r>
      <w:r>
        <w:t>k</w:t>
      </w:r>
      <w:r>
        <w:t>kerhet i statsforvaltningen.</w:t>
      </w:r>
    </w:p>
    <w:p w:rsidR="00557A6F" w:rsidRDefault="00557A6F" w:rsidP="00557A6F">
      <w:pPr>
        <w:pStyle w:val="Liste"/>
      </w:pPr>
      <w:r>
        <w:t>Kartverket arbeider med å etablere sikkerhetsnivå 4 etter NIST-standarden (the National Institue of Standards and Technology) for sine systemer.</w:t>
      </w:r>
    </w:p>
    <w:p w:rsidR="00557A6F" w:rsidRDefault="00557A6F" w:rsidP="00557A6F">
      <w:r>
        <w:t>Rapport for 2018/2019:</w:t>
      </w:r>
    </w:p>
    <w:p w:rsidR="00557A6F" w:rsidRDefault="00557A6F" w:rsidP="00557A6F">
      <w:r>
        <w:t>Beredskapsordning for IKT i DSS er opprettet fra 2016. Departementet har etablert info-Cert for sin sektor. Videreutvikling av kompetanse- og veiledningsmateriell knyttet til styrket inform</w:t>
      </w:r>
      <w:r>
        <w:t>a</w:t>
      </w:r>
      <w:r>
        <w:t>sjonssikkerhet er et løpende arbeid for departementet og Difi. Etableringen av Fylkesmennenes fellesadministr</w:t>
      </w:r>
      <w:r>
        <w:t>a</w:t>
      </w:r>
      <w:r>
        <w:t>sjon er et viktig bidrag til å styrke IKT-sikkerheten i fylkesmannsembetene.</w:t>
      </w:r>
    </w:p>
    <w:p w:rsidR="00557A6F" w:rsidRDefault="00557A6F" w:rsidP="00557A6F">
      <w:pPr>
        <w:pStyle w:val="avsnitt-under-undertittel"/>
      </w:pPr>
      <w:r>
        <w:t>Departementet vil forbedre gjennomføringen av sikre, demokratiske valg</w:t>
      </w:r>
    </w:p>
    <w:p w:rsidR="00557A6F" w:rsidRDefault="00557A6F" w:rsidP="00557A6F">
      <w:r>
        <w:t>Tiltak:</w:t>
      </w:r>
    </w:p>
    <w:p w:rsidR="00557A6F" w:rsidRDefault="00557A6F" w:rsidP="00557A6F">
      <w:pPr>
        <w:pStyle w:val="Liste"/>
      </w:pPr>
      <w:r>
        <w:t>Videreutvikle og drifte det valgadministrative systemet (EVA). Oppgaven gjennomføres av Valgdire</w:t>
      </w:r>
      <w:r>
        <w:t>k</w:t>
      </w:r>
      <w:r>
        <w:t>toratet.</w:t>
      </w:r>
    </w:p>
    <w:p w:rsidR="00557A6F" w:rsidRDefault="00557A6F" w:rsidP="00557A6F">
      <w:r>
        <w:t>Rapport for 2018/2019:</w:t>
      </w:r>
    </w:p>
    <w:p w:rsidR="00557A6F" w:rsidRDefault="00557A6F" w:rsidP="00557A6F">
      <w:r>
        <w:t>Departementet og Valgdirektoratet gjennomførte i 2019 rutinemessige beredskaps- og kriseøvelser i forkant av lokalvalget 2019. Det er gjennomført risikovurderinger av EVA, og tiltak for å gjøre systemet mer robust. Valgområdet er utpekt som en GNF. Alle sider ved området vil bli skadevu</w:t>
      </w:r>
      <w:r>
        <w:t>r</w:t>
      </w:r>
      <w:r>
        <w:t>dert som grun</w:t>
      </w:r>
      <w:r>
        <w:t>n</w:t>
      </w:r>
      <w:r>
        <w:t xml:space="preserve">lag for sikringstiltak. Tiltak for </w:t>
      </w:r>
      <w:proofErr w:type="gramStart"/>
      <w:r>
        <w:t>å</w:t>
      </w:r>
      <w:proofErr w:type="gramEnd"/>
      <w:r>
        <w:t xml:space="preserve"> kontinuerlig forbedre sikkerheten og robustheten i systemene vurderes ut fra løpende endringer i sårbarhets- og trusselbildet.</w:t>
      </w:r>
    </w:p>
    <w:p w:rsidR="00557A6F" w:rsidRDefault="00557A6F" w:rsidP="00557A6F">
      <w:pPr>
        <w:pStyle w:val="avsnitt-under-undertittel"/>
      </w:pPr>
      <w:r>
        <w:t>Departementet vil sørge for sikre, robuste og pålitelige elektroniske kommunikasjonsnett og -tjenester</w:t>
      </w:r>
    </w:p>
    <w:p w:rsidR="00557A6F" w:rsidRDefault="00557A6F" w:rsidP="00557A6F">
      <w:r>
        <w:t xml:space="preserve">Tiltak: </w:t>
      </w:r>
    </w:p>
    <w:p w:rsidR="00557A6F" w:rsidRDefault="00557A6F" w:rsidP="00557A6F">
      <w:pPr>
        <w:pStyle w:val="Liste"/>
      </w:pPr>
      <w:r>
        <w:lastRenderedPageBreak/>
        <w:t>Videreføre programmet Forsterket ekom som innebærer økt reservestrømskapasitet og r</w:t>
      </w:r>
      <w:r>
        <w:t>e</w:t>
      </w:r>
      <w:r>
        <w:t xml:space="preserve">dundans i ekomnettene i kommunene. </w:t>
      </w:r>
    </w:p>
    <w:p w:rsidR="00557A6F" w:rsidRDefault="00557A6F" w:rsidP="00557A6F">
      <w:pPr>
        <w:pStyle w:val="Liste"/>
      </w:pPr>
      <w:r>
        <w:t xml:space="preserve">Videreføre en pilot for alternativt kjernenett for å sikre mer uavhengighet til Telenors nett. </w:t>
      </w:r>
    </w:p>
    <w:p w:rsidR="00557A6F" w:rsidRDefault="00557A6F" w:rsidP="00557A6F">
      <w:pPr>
        <w:pStyle w:val="Liste"/>
      </w:pPr>
      <w:r>
        <w:t xml:space="preserve">Legge til rette for nye fiberkabler til utlandet for å gjøre norsk ekomtrafikk til utlandet mindre sårbar og mindre avhengig av traseen via Sverige. </w:t>
      </w:r>
    </w:p>
    <w:p w:rsidR="00557A6F" w:rsidRDefault="00557A6F" w:rsidP="00557A6F">
      <w:pPr>
        <w:pStyle w:val="Liste"/>
      </w:pPr>
      <w:r>
        <w:t xml:space="preserve">Sikre at ny teknologi for raskere gjenopprettelse av mobildekning vurderes og om mulig innføres som verktøy for beredskap ved for eksempel ekstremvær. Et eksempel på slikt verktøy kan være droner med midlertidig mobildekning. </w:t>
      </w:r>
    </w:p>
    <w:p w:rsidR="00557A6F" w:rsidRDefault="00557A6F" w:rsidP="00557A6F">
      <w:pPr>
        <w:pStyle w:val="Liste"/>
      </w:pPr>
      <w:r>
        <w:t xml:space="preserve">Sikre og gi støtte til at Nasjonal kommunikasjonsmyndighet viderefører og videreutvikler etablerte tilsyn og fora for sikkerhet og beredskap: </w:t>
      </w:r>
    </w:p>
    <w:p w:rsidR="00557A6F" w:rsidRDefault="00557A6F" w:rsidP="00557A6F">
      <w:pPr>
        <w:pStyle w:val="Liste2"/>
      </w:pPr>
      <w:r>
        <w:t>ekomCERT, som sikrer rask kjennskap til utfall i norske ekomnett, og informasjon om hendelse</w:t>
      </w:r>
      <w:r>
        <w:t>s</w:t>
      </w:r>
      <w:r>
        <w:t xml:space="preserve">håndtering mot departementene, og regjeringen ved behov. </w:t>
      </w:r>
    </w:p>
    <w:p w:rsidR="00557A6F" w:rsidRDefault="00557A6F" w:rsidP="00557A6F">
      <w:pPr>
        <w:pStyle w:val="Liste2"/>
      </w:pPr>
      <w:r>
        <w:t>Ekom sikkerhetsforum som er et samarbeidsforum mellom de største tilbyderne, si</w:t>
      </w:r>
      <w:r>
        <w:t>k</w:t>
      </w:r>
      <w:r>
        <w:t>kerhetstjenestene og som er ledet av Nasjonal kommunikasjonsmyndighet.</w:t>
      </w:r>
    </w:p>
    <w:p w:rsidR="00557A6F" w:rsidRDefault="00557A6F" w:rsidP="00557A6F">
      <w:r>
        <w:t xml:space="preserve">Rapport for 2018/2019: </w:t>
      </w:r>
    </w:p>
    <w:p w:rsidR="00557A6F" w:rsidRDefault="00557A6F" w:rsidP="00557A6F">
      <w:pPr>
        <w:rPr>
          <w:spacing w:val="2"/>
        </w:rPr>
      </w:pPr>
      <w:r>
        <w:t>Oversikt over risiko- og sårbarhet og kontinuerlig arbeid med beredskap og håndtering av hende</w:t>
      </w:r>
      <w:r>
        <w:t>l</w:t>
      </w:r>
      <w:r>
        <w:t>ser, er sentralt i arbeidet med å gjøre ekominfrastrukturen mer robust. Nasjonal kommunikasjon</w:t>
      </w:r>
      <w:r>
        <w:t>s</w:t>
      </w:r>
      <w:r>
        <w:t>myndighet gjennomfører derfor hvert år en overordnet risiko- og sårbarhetsanalyse av ekomsekt</w:t>
      </w:r>
      <w:r>
        <w:t>o</w:t>
      </w:r>
      <w:r>
        <w:t xml:space="preserve">ren (EkomROS). Denne analysen vil være med på å avgjøre hvilke sikkerhets- og beredskapstiltak som skal prioriteres fremover. </w:t>
      </w:r>
    </w:p>
    <w:p w:rsidR="00557A6F" w:rsidRDefault="00557A6F" w:rsidP="00557A6F">
      <w:pPr>
        <w:rPr>
          <w:rStyle w:val="kursiv"/>
          <w:sz w:val="21"/>
          <w:szCs w:val="21"/>
        </w:rPr>
      </w:pPr>
      <w:r>
        <w:rPr>
          <w:rStyle w:val="kursiv"/>
          <w:sz w:val="21"/>
          <w:szCs w:val="21"/>
        </w:rPr>
        <w:t>Forsterket ekom:</w:t>
      </w:r>
      <w:r>
        <w:t xml:space="preserve"> Forsterket ekom har forbedret kommunenes evne til å håndtere kriser der strømu</w:t>
      </w:r>
      <w:r>
        <w:t>t</w:t>
      </w:r>
      <w:r>
        <w:t>fall eller fiberbrudd tidligere førte til bortfall av elektronisk kommunikasjon. Nasjonal kommun</w:t>
      </w:r>
      <w:r>
        <w:t>i</w:t>
      </w:r>
      <w:r>
        <w:t>kasjonsmyndighet har i 2018 inngått avtaler med åtte nye kommuner; Bømlo, Dønna, Årdal, Lie</w:t>
      </w:r>
      <w:r>
        <w:t>r</w:t>
      </w:r>
      <w:r>
        <w:t>ne, Aremark, Ga</w:t>
      </w:r>
      <w:r>
        <w:t>m</w:t>
      </w:r>
      <w:r>
        <w:t>vik, Berlevåg og Lebesby. Avtalene omfatter tiltak for 53,1 mill. kroner. Siden 2014 er det gjennomført og avtalt tiltak i til sa</w:t>
      </w:r>
      <w:r>
        <w:t>m</w:t>
      </w:r>
      <w:r>
        <w:t xml:space="preserve">men 35 kommuner. Kommunene er spredt over hele landet, men med særlig vekt på Vestlandet og Nord-Norge. </w:t>
      </w:r>
    </w:p>
    <w:p w:rsidR="00557A6F" w:rsidRDefault="00557A6F" w:rsidP="00557A6F">
      <w:pPr>
        <w:rPr>
          <w:rStyle w:val="kursiv"/>
          <w:sz w:val="21"/>
          <w:szCs w:val="21"/>
        </w:rPr>
      </w:pPr>
      <w:r>
        <w:rPr>
          <w:rStyle w:val="kursiv"/>
          <w:sz w:val="21"/>
          <w:szCs w:val="21"/>
        </w:rPr>
        <w:t>Alternativt kjernenett:</w:t>
      </w:r>
      <w:r>
        <w:t xml:space="preserve"> Nasjonal kommunikasjonsmyndighet har i løpet av 2018 og 2019 hatt dialog med ulike bransjeaktører og konkretisert fem pilotkonsepter. Konseptene definerer tiltak som skal gi tilbyderne mulighet til mer redundans og flere transportalternativer, tiltak som skal øke ette</w:t>
      </w:r>
      <w:r>
        <w:t>r</w:t>
      </w:r>
      <w:r>
        <w:t>spørselsen etter mer redundans, og tiltak som skal øke redundanskravene fra samfunnskritiske myndigheter for deres kommunikasjonsbehov. Det er b</w:t>
      </w:r>
      <w:r>
        <w:t>e</w:t>
      </w:r>
      <w:r>
        <w:t xml:space="preserve">vilget totalt 80 mill kroner til alternativt kjernenett. </w:t>
      </w:r>
    </w:p>
    <w:p w:rsidR="00557A6F" w:rsidRDefault="00557A6F" w:rsidP="00557A6F">
      <w:pPr>
        <w:rPr>
          <w:rStyle w:val="kursiv"/>
          <w:sz w:val="21"/>
          <w:szCs w:val="21"/>
        </w:rPr>
      </w:pPr>
      <w:r>
        <w:rPr>
          <w:rStyle w:val="kursiv"/>
          <w:sz w:val="21"/>
          <w:szCs w:val="21"/>
        </w:rPr>
        <w:t xml:space="preserve">Fiberkabler til utlandet: </w:t>
      </w:r>
      <w:r>
        <w:t>Departementet og Nasjonal kommunikasjonsmyndighet forbereder en utly</w:t>
      </w:r>
      <w:r>
        <w:t>s</w:t>
      </w:r>
      <w:r>
        <w:t>ning av tilskuddsmidler som tar sikte på å tildele tilskudd i løpet av andre halvår 2019. Tilskudd</w:t>
      </w:r>
      <w:r>
        <w:t>s</w:t>
      </w:r>
      <w:r>
        <w:t>midler skal redusere sårbarheten som er avdekket, der det meste av den internasjonale ekomtrafi</w:t>
      </w:r>
      <w:r>
        <w:t>k</w:t>
      </w:r>
      <w:r>
        <w:t>ken til fra Norge rutes via Oslo og v</w:t>
      </w:r>
      <w:r>
        <w:t>i</w:t>
      </w:r>
      <w:r>
        <w:t>dere ut via Sverige. Tilskuddsordning har blant annet vært utredet opp mot statsstøtteregelverket og særlige si</w:t>
      </w:r>
      <w:r>
        <w:t>k</w:t>
      </w:r>
      <w:r>
        <w:t>kerhetskrav.</w:t>
      </w:r>
    </w:p>
    <w:p w:rsidR="00557A6F" w:rsidRDefault="00557A6F" w:rsidP="00557A6F">
      <w:pPr>
        <w:pStyle w:val="avsnitt-under-undertittel"/>
      </w:pPr>
      <w:r>
        <w:t>Departementet vil sørge for sikre og tilgjengelige felles løsninger for autentisering, digital tjene</w:t>
      </w:r>
      <w:r>
        <w:t>s</w:t>
      </w:r>
      <w:r>
        <w:t>teutvikling og drift, samt offentlig digital meldingsutveksling</w:t>
      </w:r>
    </w:p>
    <w:p w:rsidR="00557A6F" w:rsidRDefault="00557A6F" w:rsidP="00557A6F">
      <w:r>
        <w:t>Tiltak:</w:t>
      </w:r>
    </w:p>
    <w:p w:rsidR="00557A6F" w:rsidRDefault="00557A6F" w:rsidP="00557A6F">
      <w:pPr>
        <w:pStyle w:val="Liste"/>
      </w:pPr>
      <w:r>
        <w:t xml:space="preserve">Rutinemessig </w:t>
      </w:r>
      <w:proofErr w:type="gramStart"/>
      <w:r>
        <w:t>gjennomføre</w:t>
      </w:r>
      <w:proofErr w:type="gramEnd"/>
      <w:r>
        <w:t xml:space="preserve"> risikovurdering av ID-porten og Altinn for å gjøre tjenestene robuste og ti</w:t>
      </w:r>
      <w:r>
        <w:t>l</w:t>
      </w:r>
      <w:r>
        <w:t xml:space="preserve">passet gjeldende trusselnivå. </w:t>
      </w:r>
    </w:p>
    <w:p w:rsidR="00557A6F" w:rsidRDefault="00557A6F" w:rsidP="00557A6F">
      <w:r>
        <w:t>Rapport for 2018/2019:</w:t>
      </w:r>
    </w:p>
    <w:p w:rsidR="00557A6F" w:rsidRDefault="00557A6F" w:rsidP="00557A6F">
      <w:r>
        <w:t>Det blir løpende gjort risikovurderinger knyttet til forvaltning av ID-porten. All ny funksjonalitet i ID-porten blir rutinemessig risikovurdert før produksjonssetting. Difi utførte en oppdatert risik</w:t>
      </w:r>
      <w:r>
        <w:t>o</w:t>
      </w:r>
      <w:r>
        <w:t>vurdering for den eksisterende tjenesten vinteren/våren 2017, som revideres høsten 2019. ID-porten og Altinn-tjenestene kartlegges for avhen</w:t>
      </w:r>
      <w:r>
        <w:t>g</w:t>
      </w:r>
      <w:r>
        <w:t>ighet mot kritiske funksjoner og skadevurderes i lys av ny sikke</w:t>
      </w:r>
      <w:r>
        <w:t>r</w:t>
      </w:r>
      <w:r>
        <w:t xml:space="preserve">hetslov. </w:t>
      </w:r>
    </w:p>
    <w:p w:rsidR="00557A6F" w:rsidRDefault="00557A6F" w:rsidP="00557A6F">
      <w:pPr>
        <w:pStyle w:val="avsnitt-under-undertittel"/>
      </w:pPr>
      <w:r>
        <w:lastRenderedPageBreak/>
        <w:t>Departementet skal sikre departementsbygninger i tråd med ny sikkerhetslov</w:t>
      </w:r>
    </w:p>
    <w:p w:rsidR="00557A6F" w:rsidRDefault="00557A6F" w:rsidP="00557A6F">
      <w:r>
        <w:t>Tiltak:</w:t>
      </w:r>
    </w:p>
    <w:p w:rsidR="00557A6F" w:rsidRDefault="00557A6F" w:rsidP="00557A6F">
      <w:pPr>
        <w:pStyle w:val="Liste"/>
      </w:pPr>
      <w:r>
        <w:t>Sikring av departementsbygninger skal være basert på verdi- og skadevurderinger fra det enkelte departement, trusselvurderinger fra norske sikkerhetsmyndigheter, og sårbarhet</w:t>
      </w:r>
      <w:r>
        <w:t>s</w:t>
      </w:r>
      <w:r>
        <w:t>vurderinger fra nasjonale komp</w:t>
      </w:r>
      <w:r>
        <w:t>e</w:t>
      </w:r>
      <w:r>
        <w:t>tansemiljøer.</w:t>
      </w:r>
    </w:p>
    <w:p w:rsidR="00557A6F" w:rsidRDefault="00557A6F" w:rsidP="00557A6F">
      <w:pPr>
        <w:pStyle w:val="Liste"/>
      </w:pPr>
      <w:r>
        <w:t>Departementsbygningene skal ha en grunnsikring som gir et akseptabelt risikobilde. Regj</w:t>
      </w:r>
      <w:r>
        <w:t>e</w:t>
      </w:r>
      <w:r>
        <w:t>ringens sikkerhetsutvalg tar stilling til akseptabel restrisiko. Basert på et etablert konsept for risikohåndtering, skal det være mulig å tilpasse sikringsnivået ved endringer i risik</w:t>
      </w:r>
      <w:r>
        <w:t>o</w:t>
      </w:r>
      <w:r>
        <w:t>bildet.</w:t>
      </w:r>
    </w:p>
    <w:p w:rsidR="00557A6F" w:rsidRDefault="00557A6F" w:rsidP="00557A6F">
      <w:pPr>
        <w:pStyle w:val="Liste"/>
      </w:pPr>
      <w:r>
        <w:t>Sikringstiltakene skal bygge på standardiserte løsninger for å tilrettelegge for risikohåndt</w:t>
      </w:r>
      <w:r>
        <w:t>e</w:t>
      </w:r>
      <w:r>
        <w:t>ring og effektiv administrasjon og ressursutnyttelse, og være koordinert med andre sa</w:t>
      </w:r>
      <w:r>
        <w:t>m</w:t>
      </w:r>
      <w:r>
        <w:t>funnsinteresser.</w:t>
      </w:r>
    </w:p>
    <w:p w:rsidR="00557A6F" w:rsidRDefault="00557A6F" w:rsidP="00557A6F">
      <w:pPr>
        <w:pStyle w:val="Liste"/>
      </w:pPr>
      <w:r>
        <w:t>Basert på råd fra ekspertgruppen for sikring av departementsbygg, etableres tiltak for å oppnå et forsvarlig sikkerhetsnivå mot kriminalitet, sabotasje, etterretningsvirksomhet og terror.</w:t>
      </w:r>
    </w:p>
    <w:p w:rsidR="00557A6F" w:rsidRDefault="00557A6F" w:rsidP="00557A6F">
      <w:r>
        <w:t>Rapport for 2018/2019:</w:t>
      </w:r>
    </w:p>
    <w:p w:rsidR="00557A6F" w:rsidRDefault="00557A6F" w:rsidP="00557A6F">
      <w:r>
        <w:t>Erstatningslokalene, som ble innleid etter 22. juli 2011, er blitt tilpasset departementsdrift og grunnsikret. Bygningene er under normal leieforvaltning og sikkerhetsstyring. Utskifting av kjør</w:t>
      </w:r>
      <w:r>
        <w:t>e</w:t>
      </w:r>
      <w:r>
        <w:t xml:space="preserve">tøyhinder rundt byggene er i hovedsak ferdigstilt, med unntak av tiltak i Tollbugata/Kirkegata. </w:t>
      </w:r>
    </w:p>
    <w:p w:rsidR="00557A6F" w:rsidRDefault="00557A6F" w:rsidP="00557A6F">
      <w:r>
        <w:t xml:space="preserve">Ved regjeringens representasjonsanlegg er arbeidet med forsterkning av grunnsikringen ferdigstilt. </w:t>
      </w:r>
    </w:p>
    <w:p w:rsidR="00557A6F" w:rsidRDefault="00557A6F" w:rsidP="00557A6F">
      <w:r>
        <w:t>I regjeringskvartalet er det ferdigstilt tiltak for forsterkning av grunnsikringen av R6. Langsiktige behov for forsterkning av grunnsikringen i R5 er under utredning, og vurderes mht. planer for mi</w:t>
      </w:r>
      <w:r>
        <w:t>d</w:t>
      </w:r>
      <w:r>
        <w:t xml:space="preserve">lertidig bruk fram til nytt regjeringskvartal ferdigstilles og eventuell framtidig bruk av bygget. </w:t>
      </w:r>
    </w:p>
    <w:p w:rsidR="00557A6F" w:rsidRDefault="00557A6F" w:rsidP="00557A6F">
      <w:pPr>
        <w:pStyle w:val="avsnitt-under-undertittel"/>
      </w:pPr>
      <w:r>
        <w:t>Departementet skal bidra til at samfunnet er rustet til å takle klimaendringene</w:t>
      </w:r>
    </w:p>
    <w:p w:rsidR="00557A6F" w:rsidRDefault="00557A6F" w:rsidP="00557A6F">
      <w:r>
        <w:t>Tiltak:</w:t>
      </w:r>
    </w:p>
    <w:p w:rsidR="00557A6F" w:rsidRDefault="00557A6F" w:rsidP="00557A6F">
      <w:pPr>
        <w:pStyle w:val="Liste"/>
      </w:pPr>
      <w:r>
        <w:t xml:space="preserve">Følge opp forslag fra NOU 2015: 16 </w:t>
      </w:r>
      <w:r>
        <w:rPr>
          <w:rStyle w:val="kursiv"/>
          <w:sz w:val="21"/>
          <w:szCs w:val="21"/>
        </w:rPr>
        <w:t xml:space="preserve">Overvann i byer og tettsteder — Som problem og ressurs </w:t>
      </w:r>
      <w:r>
        <w:t>om en</w:t>
      </w:r>
      <w:r>
        <w:t>d</w:t>
      </w:r>
      <w:r>
        <w:t>ringer i plan- og bygningsloven.</w:t>
      </w:r>
    </w:p>
    <w:p w:rsidR="00557A6F" w:rsidRDefault="00557A6F" w:rsidP="00557A6F">
      <w:pPr>
        <w:pStyle w:val="Liste"/>
      </w:pPr>
      <w:r>
        <w:t>Videreutvikle kunnskap om og bruk av plan- og bygningsloven slik at kommunal og regi</w:t>
      </w:r>
      <w:r>
        <w:t>o</w:t>
      </w:r>
      <w:r>
        <w:t>nal planle</w:t>
      </w:r>
      <w:r>
        <w:t>g</w:t>
      </w:r>
      <w:r>
        <w:t>ging tar høyde for klimaendringer.</w:t>
      </w:r>
    </w:p>
    <w:p w:rsidR="00557A6F" w:rsidRDefault="00557A6F" w:rsidP="00557A6F">
      <w:pPr>
        <w:pStyle w:val="Liste"/>
      </w:pPr>
      <w:r>
        <w:t>Arbeidet med å etablere en landsdekkende nasjonal detaljert høydemodell er sentralt for klimatilpasning. Den vil gi bedre grunnlag for konsekvensutredninger og risiko- og sårba</w:t>
      </w:r>
      <w:r>
        <w:t>r</w:t>
      </w:r>
      <w:r>
        <w:t xml:space="preserve">hetsanalyser knyttet til flom- og rasfare. Modellen vil gi svært viktige data for arbeidet med klimatilpasning. </w:t>
      </w:r>
    </w:p>
    <w:p w:rsidR="00557A6F" w:rsidRDefault="00557A6F" w:rsidP="00557A6F">
      <w:r>
        <w:t>Rapport for 2018/2019:</w:t>
      </w:r>
    </w:p>
    <w:p w:rsidR="00557A6F" w:rsidRDefault="00557A6F" w:rsidP="00557A6F">
      <w:r>
        <w:t>Departementet har veiledet kommuner, fylkeskommuner og statlige sektormyndigheter om bruk av plan- og by</w:t>
      </w:r>
      <w:r>
        <w:t>g</w:t>
      </w:r>
      <w:r>
        <w:t>ningsloven for bedre klimaberedskap. Departementet har gitt ut et nytt rundskriv om samfunnssikkerhet i area</w:t>
      </w:r>
      <w:r>
        <w:t>l</w:t>
      </w:r>
      <w:r>
        <w:t>planlegging og byggesaksbehandling (H-5/18), og er godt i gang med utviklingen av en nasjonal detaljert hø</w:t>
      </w:r>
      <w:r>
        <w:t>y</w:t>
      </w:r>
      <w:r>
        <w:t xml:space="preserve">demodell. Klimatilpasning er ett av temaene i Meld. St. 18 (2016–2017) </w:t>
      </w:r>
      <w:r>
        <w:rPr>
          <w:rStyle w:val="kursiv"/>
          <w:sz w:val="21"/>
          <w:szCs w:val="21"/>
        </w:rPr>
        <w:t>Ber</w:t>
      </w:r>
      <w:r>
        <w:rPr>
          <w:rStyle w:val="kursiv"/>
          <w:sz w:val="21"/>
          <w:szCs w:val="21"/>
        </w:rPr>
        <w:t>e</w:t>
      </w:r>
      <w:r>
        <w:rPr>
          <w:rStyle w:val="kursiv"/>
          <w:sz w:val="21"/>
          <w:szCs w:val="21"/>
        </w:rPr>
        <w:t xml:space="preserve">kraftige byar og sterke distrikt </w:t>
      </w:r>
      <w:r>
        <w:t>og i de nye nasjonale forventninger til regional og kommunal planlegging 2019–2023.</w:t>
      </w:r>
    </w:p>
    <w:p w:rsidR="00557A6F" w:rsidRDefault="00557A6F" w:rsidP="00557A6F">
      <w:r>
        <w:t>Overvannsutvalget har i NOU 2015: 16 foreslått en pakke av virkemidler som sammen vil bidra til å forebygge skader fra overvann. Klima- og miljødepartementet har hovedansvaret, og samarbeider nært med Kommunal- og moderniseringsdepartementet og Olje- og energidepartementet. Stortinget vedtok 18. mars 2019 endringer i plandelen av plan- og bygningsloven for å legge til rette for bedre håndtering av overvann i arealplanleggingen. Kommunene vil med endringene få flere muligheter og en tydeligere hjemmel til å ta i bruk kommuneplaner og reguleringsplaner for å ivareta hensynet til vanndisponering. Målene for overvannshåndtering er å forebygge skade på byggverk, helse og miljø, og å utnytte overvann som ressurs. Endringer som berører lovens byggesak</w:t>
      </w:r>
      <w:r>
        <w:t>s</w:t>
      </w:r>
      <w:r>
        <w:t>del skal etter planen fremmes for Stortinget våren 2020.</w:t>
      </w:r>
    </w:p>
    <w:p w:rsidR="00557A6F" w:rsidRDefault="00557A6F" w:rsidP="00557A6F">
      <w:r>
        <w:t xml:space="preserve">Rundskriv H-5/18 </w:t>
      </w:r>
      <w:r>
        <w:rPr>
          <w:rStyle w:val="kursiv"/>
          <w:sz w:val="21"/>
          <w:szCs w:val="21"/>
        </w:rPr>
        <w:t>Samfunnssikkerhet i planlegging og byggesaksbehandling</w:t>
      </w:r>
      <w:r>
        <w:t xml:space="preserve"> ble gitt ut 17. oktober 2018 og erstatter rundskriv T-5/97. Formålet med rundskrivet er å redegjøre for reglene i plan- og by</w:t>
      </w:r>
      <w:r>
        <w:t>g</w:t>
      </w:r>
      <w:r>
        <w:t>ningsloven som iv</w:t>
      </w:r>
      <w:r>
        <w:t>a</w:t>
      </w:r>
      <w:r>
        <w:t>retar hensynet til samfunnssikkerhet. Rundskrivet gir en overordnet oversikt på området.</w:t>
      </w:r>
    </w:p>
    <w:p w:rsidR="00557A6F" w:rsidRDefault="00557A6F" w:rsidP="00557A6F">
      <w:r>
        <w:lastRenderedPageBreak/>
        <w:t>Regjeringen vedtok 28. september 2018 nye statlige planretningslinjer (SPR) for klima- og energ</w:t>
      </w:r>
      <w:r>
        <w:t>i</w:t>
      </w:r>
      <w:r>
        <w:t>planlegging og klimatilpasning i kommunene. Retningslinjene understreker at klimaendring og klimatilpasning skal ivaretas lokalt i samfunnsplanlegging, planstrategi, planprogram og arealpl</w:t>
      </w:r>
      <w:r>
        <w:t>a</w:t>
      </w:r>
      <w:r>
        <w:t>ner.</w:t>
      </w:r>
    </w:p>
    <w:p w:rsidR="00557A6F" w:rsidRDefault="00557A6F" w:rsidP="00557A6F">
      <w:pPr>
        <w:pStyle w:val="Overskrift2"/>
      </w:pPr>
      <w:r>
        <w:t>Omtale av klima- og miljørelevante saker</w:t>
      </w:r>
    </w:p>
    <w:p w:rsidR="00557A6F" w:rsidRDefault="00557A6F" w:rsidP="00557A6F">
      <w:r>
        <w:t>Regjeringens klima- og miljøpolitikk bygger på at alle samfunnsaktører har et selvstendig ansvar for å legge miljøhensyn til grunn for aktivitetene sine og for å medvirke til at de nasjonale klima- og miljømål</w:t>
      </w:r>
      <w:r>
        <w:t>e</w:t>
      </w:r>
      <w:r>
        <w:t xml:space="preserve">ne kan nås. For en omtale av regjeringens samlede klima- og miljørelevante saker, vises det til Klima- og miljødepartementets fagproposisjon. </w:t>
      </w:r>
    </w:p>
    <w:p w:rsidR="00557A6F" w:rsidRDefault="00557A6F" w:rsidP="00557A6F">
      <w:r>
        <w:t>Kommunal- og moderniseringsdepartementet arbeider for bærekraftig planlegging og byutvikling med utgangspunkt i plan- og bygningsloven. Dette innebærer blant annet å sikre en bærekraftig bystru</w:t>
      </w:r>
      <w:r>
        <w:t>k</w:t>
      </w:r>
      <w:r>
        <w:t xml:space="preserve">tur gjennom effektiv arealbruk, høy kvalitet i byrom og uteareal, og klima- og miljøvennlig transport. </w:t>
      </w:r>
    </w:p>
    <w:p w:rsidR="00557A6F" w:rsidRDefault="00557A6F" w:rsidP="00557A6F">
      <w:r>
        <w:t>Regjeringen utvidet i 2018 statlige planretningslinjer for klima- og energiplanlegging til også å omfatte klimatilpasning. De nye retningslinjene ble fastsatt 28. september 2018. Veiledning til planretningslinjene er under uta</w:t>
      </w:r>
      <w:r>
        <w:t>r</w:t>
      </w:r>
      <w:r>
        <w:t>beidelse.</w:t>
      </w:r>
    </w:p>
    <w:p w:rsidR="00557A6F" w:rsidRDefault="00557A6F" w:rsidP="00557A6F">
      <w:r>
        <w:t>Regjeringen har i 2019 vedtatt nasjonale forventninger til regional og kommunal planlegging. Det stilles forven</w:t>
      </w:r>
      <w:r>
        <w:t>t</w:t>
      </w:r>
      <w:r>
        <w:t>ninger til fylkeskommuner og kommuner om at det planlegges for et trygt samfunn med lave klimagassutslipp, og som er tilpasset klimaendringene. Det skal utarbeides veiledning til de statlige pla</w:t>
      </w:r>
      <w:r>
        <w:t>n</w:t>
      </w:r>
      <w:r>
        <w:t>retningslinjene for klima- og energiplanlegging og klimatilpasning.</w:t>
      </w:r>
    </w:p>
    <w:p w:rsidR="00557A6F" w:rsidRDefault="00557A6F" w:rsidP="00557A6F">
      <w:r>
        <w:t>Arbeidet med nasjonal detaljert høydemodell fortsetter med mål om full dekning i 2022. Høyd</w:t>
      </w:r>
      <w:r>
        <w:t>e</w:t>
      </w:r>
      <w:r>
        <w:t>modellen styrker grunnlaget for klimatilpasning, ressurskartlegging og flom- og skredvern i pla</w:t>
      </w:r>
      <w:r>
        <w:t>n</w:t>
      </w:r>
      <w:r>
        <w:t>arbeidet i kommuner og statlige etater. Det blir også mulig å effektivisere og forbedre arbeidet på en rekke andre områder, fra plassering av vindmøller til kulturminnevern og detaljplanlegging av veger og jernbane.</w:t>
      </w:r>
    </w:p>
    <w:p w:rsidR="00557A6F" w:rsidRDefault="00557A6F" w:rsidP="00557A6F">
      <w:r>
        <w:t>Bygningsregelverket skal sørge for at boliger og bygg er sikre, energieffektive og miljøvennlige. Energieffektivisering i boliger og andre bygg er viktig for å redusere det totale energibehovet. Ul</w:t>
      </w:r>
      <w:r>
        <w:t>i</w:t>
      </w:r>
      <w:r>
        <w:t>ke låne- og tilskuddsordninger i Husbanken medvirker til flere boliger og bygg med kvaliteter u</w:t>
      </w:r>
      <w:r>
        <w:t>t</w:t>
      </w:r>
      <w:r>
        <w:t xml:space="preserve">over kravene i byggteknisk forskrift, blant annet på energi. </w:t>
      </w:r>
    </w:p>
    <w:p w:rsidR="00557A6F" w:rsidRDefault="00557A6F" w:rsidP="00557A6F">
      <w:r>
        <w:t>I 2019 har departementet hatt forslag til ny forskrift om lån fra Husbanken på høring. Forslaget legger opp til at lån til boligkvalitet skal fremme miljø og tilgjengelighet i nye boliger. I eksist</w:t>
      </w:r>
      <w:r>
        <w:t>e</w:t>
      </w:r>
      <w:r>
        <w:t>rende boliger f</w:t>
      </w:r>
      <w:r>
        <w:t>o</w:t>
      </w:r>
      <w:r>
        <w:t xml:space="preserve">reslås det </w:t>
      </w:r>
      <w:proofErr w:type="gramStart"/>
      <w:r>
        <w:t>å</w:t>
      </w:r>
      <w:proofErr w:type="gramEnd"/>
      <w:r>
        <w:t xml:space="preserve"> fortsatt fremme energieffektivisering og tilgjengelighet. Saken er til behandling i depart</w:t>
      </w:r>
      <w:r>
        <w:t>e</w:t>
      </w:r>
      <w:r>
        <w:t>mentet.</w:t>
      </w:r>
    </w:p>
    <w:p w:rsidR="00557A6F" w:rsidRDefault="00557A6F" w:rsidP="00557A6F">
      <w:r>
        <w:t>Energikravene i TEK17 skal skjerpes til nesten nullenerginivå i 2020. Beslutningen om nivå på kravet skal skje på bakgrunn av utredninger av samfunnsøkonomiske og helsemessige konsekve</w:t>
      </w:r>
      <w:r>
        <w:t>n</w:t>
      </w:r>
      <w:r>
        <w:t>ser og ko</w:t>
      </w:r>
      <w:r>
        <w:t>m</w:t>
      </w:r>
      <w:r>
        <w:t xml:space="preserve">petansen i næringen. </w:t>
      </w:r>
    </w:p>
    <w:p w:rsidR="00557A6F" w:rsidRDefault="00557A6F" w:rsidP="00557A6F">
      <w:r>
        <w:t>Byggesektoren står for en stor del av energibruken, ressursbruken og avfallsmengden i Norge. Det er store miljøgevinster å hente i bygge- og eiendomsbransjen. Miljøtiltak i forbindelse med statlige byggeprosjekter kan omhandle redusert energibruk, mindre bruk av fossil energi til oppvarming, redusert lokal forurensing ved sanering, redusert bruk av miljøskadelige materialer, men også lok</w:t>
      </w:r>
      <w:r>
        <w:t>a</w:t>
      </w:r>
      <w:r>
        <w:t>lisering, gjenbruk og godt vedlikehold. Statsbygg skal være et forbilde og bidra til å utvikle bra</w:t>
      </w:r>
      <w:r>
        <w:t>n</w:t>
      </w:r>
      <w:r>
        <w:t>sjen innenfor klima og miljø.</w:t>
      </w:r>
    </w:p>
    <w:p w:rsidR="00557A6F" w:rsidRDefault="00557A6F" w:rsidP="00557A6F">
      <w:r>
        <w:t>Statsbygg har i 2018 gjennomført en rekke klima- og miljøtiltak. Klimakorrigert og driftsnormert kWh per kvm er redusert fra 2017. Dette er oppnådd gjennom betydelig satsing på ENØK, god energiledelse og systematisk oppfølging i eiendomsforvaltningen. Statsbygg har i 2018 installert automatiske måleravlesere på om lag 100 eiendommer. Dette gir et bedre grunnlag for energian</w:t>
      </w:r>
      <w:r>
        <w:t>a</w:t>
      </w:r>
      <w:r>
        <w:t>lyser, og gjør det enklere å prioritere energieffektiviseringstiltak. I juni ble et av landets største solcelleanlegg åpnet ved Universitetet i Sørøst-Norge, Campus Ves</w:t>
      </w:r>
      <w:r>
        <w:t>t</w:t>
      </w:r>
      <w:r>
        <w:t>fold.</w:t>
      </w:r>
    </w:p>
    <w:p w:rsidR="00557A6F" w:rsidRDefault="00557A6F" w:rsidP="00557A6F">
      <w:r>
        <w:t>For miljøet er det ofte bedre å utvikle og tilpasse eksisterende eiendom fremfor å bygge nytt. Statsbygg arbeider derfor med å redusere behovet for nye bygg, blant annet gjennom arealeffekt</w:t>
      </w:r>
      <w:r>
        <w:t>i</w:t>
      </w:r>
      <w:r>
        <w:t>visering og optimalisering av lø</w:t>
      </w:r>
      <w:r>
        <w:t>s</w:t>
      </w:r>
      <w:r>
        <w:t xml:space="preserve">ninger i eksisterende bygningsmasse. </w:t>
      </w:r>
    </w:p>
    <w:p w:rsidR="00557A6F" w:rsidRDefault="00557A6F" w:rsidP="00557A6F">
      <w:r>
        <w:lastRenderedPageBreak/>
        <w:t>Kommunal- og moderniseringsdepartementet, Landbruks- og matdepartementet, Klima- og milj</w:t>
      </w:r>
      <w:r>
        <w:t>ø</w:t>
      </w:r>
      <w:r>
        <w:t>departementet og Nærings- og fiskeridepartemetnet skal utrede hva som er barrierer for økt bruk av lavutslippsmaterialer i byggeprosjekter, samt tiltak som kan redusere barrierene og fremme bruken.</w:t>
      </w:r>
    </w:p>
    <w:p w:rsidR="00557A6F" w:rsidRDefault="00557A6F" w:rsidP="00557A6F">
      <w:r>
        <w:t>Lokalisering har stor påvirkning på et byggs totale klimagassregnskap, og transport, lokalklima samt tomtens grunnforhold er viktige faktorer i denne sammenheng. Statsbygg skal legge statlige planre</w:t>
      </w:r>
      <w:r>
        <w:t>t</w:t>
      </w:r>
      <w:r>
        <w:t xml:space="preserve">ningslinjene til grunn i sine lokaliserings- og tomteanalyser, og søker etter tomter som vil gi minst mulig miljøbelastning. </w:t>
      </w:r>
    </w:p>
    <w:p w:rsidR="00557A6F" w:rsidRDefault="00557A6F" w:rsidP="00557A6F">
      <w:pPr>
        <w:pStyle w:val="Overskrift2"/>
      </w:pPr>
      <w:r>
        <w:t>FNs bærekraftsmål 11. Gjøre byer og bosettinger inkluderende, trygge, motstandsdyktige og bærekraftige</w:t>
      </w:r>
    </w:p>
    <w:p w:rsidR="00557A6F" w:rsidRDefault="00557A6F" w:rsidP="00557A6F">
      <w:r>
        <w:t xml:space="preserve">Bærekraftsmålene er universelle og legger også føringer for nasjonal politikk. For å oppnå målene er det viktig at de implementeres også på regionalt og lokalt nivå. Regjeringen har derfor lagt inn i </w:t>
      </w:r>
      <w:r>
        <w:rPr>
          <w:rStyle w:val="kursiv"/>
          <w:sz w:val="21"/>
          <w:szCs w:val="21"/>
        </w:rPr>
        <w:t>Nasjonale forventninger til regional og kommunal planlegging 2019–2023</w:t>
      </w:r>
      <w:r>
        <w:t xml:space="preserve"> at fylker og kommuner skal legge FNs bærekraftsmål til grunn for sin planlegging.</w:t>
      </w:r>
    </w:p>
    <w:p w:rsidR="00557A6F" w:rsidRDefault="00557A6F" w:rsidP="00557A6F">
      <w:r>
        <w:t>Flere kommuner og fylker har allerede tatt i bruk FNs bærekraftsmål i sin lokale og regionale pla</w:t>
      </w:r>
      <w:r>
        <w:t>n</w:t>
      </w:r>
      <w:r>
        <w:t>legging. Noen kommuner deltar blant annet i FNs arbeid med smarte og bærekraftige byer; U4SSC, blant annet Trondheim, Bodø og Ålesund. Flere kommuner bruker bærekraftsmålene som verktøy i omstillingsprosessene for etablering av nye fylker eller kommuner, som for eksempel Viken fy</w:t>
      </w:r>
      <w:r>
        <w:t>l</w:t>
      </w:r>
      <w:r>
        <w:t xml:space="preserve">keskommune og kommunene Asker og Lunner. </w:t>
      </w:r>
    </w:p>
    <w:p w:rsidR="00557A6F" w:rsidRDefault="00557A6F" w:rsidP="00557A6F">
      <w:r>
        <w:t>Det arbeides med å utvikle verktøy, metoder og indikatorer tilpasset nasjonalt, regionalt og lokalt nivå blant annet i FN-systemet, EU, OECD og i regi av Nordisk Ministerråd. I tillegg har flere land kommet langt med impl</w:t>
      </w:r>
      <w:r>
        <w:t>e</w:t>
      </w:r>
      <w:r>
        <w:t xml:space="preserve">mentering av FNs bærekraftsmål, for eksempel Danmark og Nederland. Departementet vil vurdere om deres erfaringer kan være relevante for Norge. </w:t>
      </w:r>
    </w:p>
    <w:p w:rsidR="00557A6F" w:rsidRDefault="00557A6F" w:rsidP="00557A6F">
      <w:r>
        <w:t>Både FN-sambandet og KS melder om stor interesse i norske kommuner og fylkeskommuner for bistand til å i</w:t>
      </w:r>
      <w:r>
        <w:t>m</w:t>
      </w:r>
      <w:r>
        <w:t>plementere bærekraftsmålene på regionalt og lokalt nivå. De etterspør blant annet gode og tilgjengelige relevante data som kan bidra til et godt kunnskapsgrunnlag. Departementet samarbeider med SSB, Kartverket og andre om forbedringer i statistikkgrunnlaget og mer aktivitet i analysearbeidet. Departementets arbeid med utvikling av arealprofiler vil bidra til å gi kommun</w:t>
      </w:r>
      <w:r>
        <w:t>e</w:t>
      </w:r>
      <w:r>
        <w:t xml:space="preserve">ne et bedre kunnskapsgrunnlag enn de har i dag. </w:t>
      </w:r>
    </w:p>
    <w:p w:rsidR="00557A6F" w:rsidRDefault="00557A6F" w:rsidP="00557A6F">
      <w:r>
        <w:t>Kommunal- og moderniseringsdepartementet vil i samarbeid med SSB, KS, FN-sambandet og andre relevante aktører bidra til utvikling av indikatorer, verktøy og metoder som er tilpasset b</w:t>
      </w:r>
      <w:r>
        <w:t>e</w:t>
      </w:r>
      <w:r>
        <w:t>hovet på nasj</w:t>
      </w:r>
      <w:r>
        <w:t>o</w:t>
      </w:r>
      <w:r>
        <w:t xml:space="preserve">nalt, regionalt og lokalt nivå. </w:t>
      </w:r>
    </w:p>
    <w:p w:rsidR="00557A6F" w:rsidRDefault="00557A6F" w:rsidP="00557A6F">
      <w:r>
        <w:t>Den nasjonale rapporteringen for 2019 vil imidlertid forholde seg til de eksisterende indikatorene u</w:t>
      </w:r>
      <w:r>
        <w:t>t</w:t>
      </w:r>
      <w:r>
        <w:t xml:space="preserve">viklet av FN. Departementet tar sikte på </w:t>
      </w:r>
      <w:proofErr w:type="gramStart"/>
      <w:r>
        <w:t>å</w:t>
      </w:r>
      <w:proofErr w:type="gramEnd"/>
      <w:r>
        <w:t xml:space="preserve"> gradvis utvikle nye nasjonale indikatorer, og SSB har fått i op</w:t>
      </w:r>
      <w:r>
        <w:t>p</w:t>
      </w:r>
      <w:r>
        <w:t>drag å utvikle tre nye nasjonale indikatorer i løpet av 2020. Dette gjelder indikator 11.2.1, 11.3.1 og 11.7.1. Bærekraftsmål 11 har sju resultatmål, tre operative mål og til sammen femten indikatorer. SSB har gjort en gjennomgang av alle bærekraftsmålene og kartlagt tilgjengelig st</w:t>
      </w:r>
      <w:r>
        <w:t>a</w:t>
      </w:r>
      <w:r>
        <w:t>tistikk i Norge for måling av FNs bærekraftsmål (SSB 2018:01). Det foreligger ikke norsk overse</w:t>
      </w:r>
      <w:r>
        <w:t>t</w:t>
      </w:r>
      <w:r>
        <w:t>telse av indikatorene.</w:t>
      </w:r>
    </w:p>
    <w:p w:rsidR="00557A6F" w:rsidRDefault="00557A6F" w:rsidP="00557A6F">
      <w:pPr>
        <w:pStyle w:val="avsnitt-undertittel"/>
      </w:pPr>
      <w:r>
        <w:t xml:space="preserve">11.1) Innen 2030 sikre </w:t>
      </w:r>
      <w:proofErr w:type="gramStart"/>
      <w:r>
        <w:t>allmenn</w:t>
      </w:r>
      <w:proofErr w:type="gramEnd"/>
      <w:r>
        <w:t xml:space="preserve"> tilgang til tilfredsstillende og trygge boliger og grunnle</w:t>
      </w:r>
      <w:r>
        <w:t>g</w:t>
      </w:r>
      <w:r>
        <w:t>gende tjenester til en ove</w:t>
      </w:r>
      <w:r>
        <w:t>r</w:t>
      </w:r>
      <w:r>
        <w:t>kommelig pris, og bedre forholdene i slumområder</w:t>
      </w:r>
    </w:p>
    <w:p w:rsidR="00557A6F" w:rsidRPr="00557A6F" w:rsidRDefault="00557A6F" w:rsidP="00557A6F">
      <w:pPr>
        <w:pStyle w:val="avsnitt-under-undertittel"/>
        <w:rPr>
          <w:lang w:val="en-US"/>
        </w:rPr>
      </w:pPr>
      <w:r w:rsidRPr="00557A6F">
        <w:rPr>
          <w:lang w:val="en-US"/>
        </w:rPr>
        <w:t>11.1.1 Proportion of urban population living in slums, informal settlements or inadequate housing</w:t>
      </w:r>
    </w:p>
    <w:p w:rsidR="00557A6F" w:rsidRDefault="00557A6F" w:rsidP="00557A6F">
      <w:r>
        <w:t>Det er i dag ingen byområder i Norge som kan defineres som slum. Det er imidlertid noen byo</w:t>
      </w:r>
      <w:r>
        <w:t>m</w:t>
      </w:r>
      <w:r>
        <w:t>råder som har særskilte levekårsutfordringer, og staten har i dag et samarbeid med flere kommuner om ekstra områdesatsing i utvalgte byområder. Boligkvaliteten er høy sammenlignet med de fleste andre land. Ifø</w:t>
      </w:r>
      <w:r>
        <w:t>l</w:t>
      </w:r>
      <w:r>
        <w:t xml:space="preserve">ge SSB var 3,3 pst. av befolkningen definert som vanskeligstilte på boligmarkedet i 2017. 3 900 personer var definert som bostedsløse i Norge i 2016. </w:t>
      </w:r>
    </w:p>
    <w:p w:rsidR="00557A6F" w:rsidRDefault="00557A6F" w:rsidP="00557A6F">
      <w:pPr>
        <w:pStyle w:val="avsnitt-undertittel"/>
      </w:pPr>
      <w:r>
        <w:t xml:space="preserve">11.2) Innen 2030 </w:t>
      </w:r>
      <w:proofErr w:type="gramStart"/>
      <w:r>
        <w:t>sørge</w:t>
      </w:r>
      <w:proofErr w:type="gramEnd"/>
      <w:r>
        <w:t xml:space="preserve"> for at alle har tilgang til trygge, lett tilgjengelige og bærekraftige transportsystemer til en overkommelig pris, og bedre sikkerheten på veiene, særlig gje</w:t>
      </w:r>
      <w:r>
        <w:t>n</w:t>
      </w:r>
      <w:r>
        <w:t xml:space="preserve">nom utbygging av offentlige transportmidler og </w:t>
      </w:r>
      <w:r>
        <w:lastRenderedPageBreak/>
        <w:t>med særlig vekt på behovene til personer i utsatte situasjoner, kvinner, barn, personer med nedsatt funksjonsevne samt eldre</w:t>
      </w:r>
    </w:p>
    <w:p w:rsidR="00557A6F" w:rsidRPr="00557A6F" w:rsidRDefault="00557A6F" w:rsidP="00557A6F">
      <w:pPr>
        <w:pStyle w:val="avsnitt-under-undertittel"/>
        <w:rPr>
          <w:lang w:val="en-US"/>
        </w:rPr>
      </w:pPr>
      <w:r w:rsidRPr="00557A6F">
        <w:rPr>
          <w:lang w:val="en-US"/>
        </w:rPr>
        <w:t>11.2.1 Proportion of population that has convenient access to public transport, by sex, age and persons with disabilities</w:t>
      </w:r>
    </w:p>
    <w:p w:rsidR="00557A6F" w:rsidRDefault="00557A6F" w:rsidP="00557A6F">
      <w:r>
        <w:t>Tall fra EUROSTAT i 2012 viser at 29,6 pst. av befolkningen har høy vanskelighet med å få ti</w:t>
      </w:r>
      <w:r>
        <w:t>l</w:t>
      </w:r>
      <w:r>
        <w:t xml:space="preserve">gang til offentlig transport i Norge. </w:t>
      </w:r>
    </w:p>
    <w:p w:rsidR="00557A6F" w:rsidRDefault="00557A6F" w:rsidP="00557A6F">
      <w:r>
        <w:t>Den gjennomsnittlige transportmiddelfordelingen i 2013–2014 for hele landet på de daglige reisene viser at 55 pst. av alle reiser utføres som bilfører og 8 pst. som bilpassasjer. 10 pst. av reisene ble foretatt med ko</w:t>
      </w:r>
      <w:r>
        <w:t>l</w:t>
      </w:r>
      <w:r>
        <w:t>lektivtransport, mens 21 pst. ble utført av fotgjengere og 5 pst. som syklister. Det er betydelige variasjoner mellom de ulike områdene – eksempelvis er kollektivandelen i Oslo 26 pst.</w:t>
      </w:r>
    </w:p>
    <w:p w:rsidR="00557A6F" w:rsidRDefault="00557A6F" w:rsidP="00557A6F">
      <w:r>
        <w:t>Det er et mål at transportsystemet skal være universelt utformet. Det gjennomføres tiltak for un</w:t>
      </w:r>
      <w:r>
        <w:t>i</w:t>
      </w:r>
      <w:r>
        <w:t>versell utforming i forbindelse med bygging og utbedring av kollektivfelt, holdeplasser, knut</w:t>
      </w:r>
      <w:r>
        <w:t>e</w:t>
      </w:r>
      <w:r>
        <w:t>punkter og stasjoner. Tilrettelegging for kollektivtransport, syklister og fotgjengere er viktige sa</w:t>
      </w:r>
      <w:r>
        <w:t>t</w:t>
      </w:r>
      <w:r>
        <w:t>singsområder i byvekstavtalene, og det vil i den fo</w:t>
      </w:r>
      <w:r>
        <w:t>r</w:t>
      </w:r>
      <w:r>
        <w:t>bindelse bli gjennomført tiltak for universell utforming i byområdene med slike avtaler.</w:t>
      </w:r>
    </w:p>
    <w:p w:rsidR="00557A6F" w:rsidRDefault="00557A6F" w:rsidP="00557A6F">
      <w:pPr>
        <w:pStyle w:val="avsnitt-undertittel"/>
      </w:pPr>
      <w:r>
        <w:t xml:space="preserve">11.3) Innen 2030 </w:t>
      </w:r>
      <w:proofErr w:type="gramStart"/>
      <w:r>
        <w:t>oppnå</w:t>
      </w:r>
      <w:proofErr w:type="gramEnd"/>
      <w:r>
        <w:t xml:space="preserve"> en mer inkluderende og bærekraftig urbanisering med mulighet for en integrert og bærekraftig bosettingsplanlegging og -forvaltning som gir medbeste</w:t>
      </w:r>
      <w:r>
        <w:t>m</w:t>
      </w:r>
      <w:r>
        <w:t>melse i alle land</w:t>
      </w:r>
    </w:p>
    <w:p w:rsidR="00557A6F" w:rsidRPr="00557A6F" w:rsidRDefault="00557A6F" w:rsidP="00557A6F">
      <w:pPr>
        <w:pStyle w:val="avsnitt-under-undertittel"/>
        <w:rPr>
          <w:lang w:val="en-US"/>
        </w:rPr>
      </w:pPr>
      <w:r w:rsidRPr="00557A6F">
        <w:rPr>
          <w:lang w:val="en-US"/>
        </w:rPr>
        <w:t>11.3.1 Ratio of land consumption rate to population growth rate</w:t>
      </w:r>
    </w:p>
    <w:p w:rsidR="00557A6F" w:rsidRDefault="00557A6F" w:rsidP="00557A6F">
      <w:r>
        <w:t>I Norge bor vi stadig tettere og 82 prosent av landets innbyggere bor nå i tettsteder, mot 77 prosent i 2002. 1. januar 2018 bodde i alt 4 328 000 personer i totalt 994 tettsteder. Av disse bodde over 1 million i tettstedet Oslo. Om lag 955 000 personer var bosatt i spredtbygde strøk. Den relative b</w:t>
      </w:r>
      <w:r>
        <w:t>e</w:t>
      </w:r>
      <w:r>
        <w:t>folkningsveksten i tettstedene er større enn den relative arealveksten. Det tyder på en økende fo</w:t>
      </w:r>
      <w:r>
        <w:t>r</w:t>
      </w:r>
      <w:r>
        <w:t>tetting. Bosettingsmønsteret sentraliseres, men ikke alle tettstedene i Norge har en bymessig kara</w:t>
      </w:r>
      <w:r>
        <w:t>k</w:t>
      </w:r>
      <w:r>
        <w:t xml:space="preserve">ter. I europeisk sammenheng er de fleste norske byene og stedene små, og har lav tetthet både i folketall og i arbeidsplasser. Vi er det landet i Europa der færrest bor i storbyer. </w:t>
      </w:r>
    </w:p>
    <w:p w:rsidR="00557A6F" w:rsidRPr="00557A6F" w:rsidRDefault="00557A6F" w:rsidP="00557A6F">
      <w:pPr>
        <w:pStyle w:val="avsnitt-under-undertittel"/>
        <w:rPr>
          <w:lang w:val="en-US"/>
        </w:rPr>
      </w:pPr>
      <w:r w:rsidRPr="00557A6F">
        <w:rPr>
          <w:lang w:val="en-US"/>
        </w:rPr>
        <w:t>11.3.2 Proportion of cities with a direct participation structure of civil society in urban planning and manag</w:t>
      </w:r>
      <w:r w:rsidRPr="00557A6F">
        <w:rPr>
          <w:lang w:val="en-US"/>
        </w:rPr>
        <w:t>e</w:t>
      </w:r>
      <w:r w:rsidRPr="00557A6F">
        <w:rPr>
          <w:lang w:val="en-US"/>
        </w:rPr>
        <w:t>ment that operate regularly and democratically</w:t>
      </w:r>
    </w:p>
    <w:p w:rsidR="00557A6F" w:rsidRDefault="00557A6F" w:rsidP="00557A6F">
      <w:r>
        <w:t>Etter plan- og bygningsloven § 5-1 skal det legges til rette for medvirkning fra sivilsamfunnet i all planlegging. Kommunen skal sikre at alle grupper og interesser har mulighet til å delta i planpr</w:t>
      </w:r>
      <w:r>
        <w:t>o</w:t>
      </w:r>
      <w:r>
        <w:t>sessene, herunder barn og unge. Kommunen skal påse at kravet oppfylles i planprosesser som u</w:t>
      </w:r>
      <w:r>
        <w:t>t</w:t>
      </w:r>
      <w:r>
        <w:t xml:space="preserve">føres av andre. Dersom kravene til høring og offentlig ettersyn av arealplaner ikke blir fulgt, kan det medføre at planen blir ugyldig. Det utarbeides ikke nasjonal statistikk når det gjelder omfanget av medvirkning. </w:t>
      </w:r>
    </w:p>
    <w:p w:rsidR="00557A6F" w:rsidRDefault="00557A6F" w:rsidP="00557A6F">
      <w:pPr>
        <w:pStyle w:val="avsnitt-undertittel"/>
      </w:pPr>
      <w:r>
        <w:t>11.4) Styrke innsatsen for å verne om og sikre verdens kultur- og naturarv</w:t>
      </w:r>
    </w:p>
    <w:p w:rsidR="00557A6F" w:rsidRPr="00557A6F" w:rsidRDefault="00557A6F" w:rsidP="00557A6F">
      <w:pPr>
        <w:pStyle w:val="avsnitt-under-undertittel"/>
        <w:rPr>
          <w:lang w:val="en-US"/>
        </w:rPr>
      </w:pPr>
      <w:r w:rsidRPr="00557A6F">
        <w:rPr>
          <w:lang w:val="en-US"/>
        </w:rPr>
        <w:t>11.4.1 Total expenditure (public and private) per capita spent on the preservation, protection and conserv</w:t>
      </w:r>
      <w:r w:rsidRPr="00557A6F">
        <w:rPr>
          <w:lang w:val="en-US"/>
        </w:rPr>
        <w:t>a</w:t>
      </w:r>
      <w:r w:rsidRPr="00557A6F">
        <w:rPr>
          <w:lang w:val="en-US"/>
        </w:rPr>
        <w:t>tion of all cultural and natural heritage, by type of heritage (cultural, natural, mixed and World Heritage Centre designation), level of government (national, regional and local/municipal), type of expenditure (o</w:t>
      </w:r>
      <w:r w:rsidRPr="00557A6F">
        <w:rPr>
          <w:lang w:val="en-US"/>
        </w:rPr>
        <w:t>p</w:t>
      </w:r>
      <w:r w:rsidRPr="00557A6F">
        <w:rPr>
          <w:lang w:val="en-US"/>
        </w:rPr>
        <w:t>erating expenditure/investment) and type of private funding (donations in kind, private non-profit sector and sponsorship)</w:t>
      </w:r>
    </w:p>
    <w:p w:rsidR="00557A6F" w:rsidRDefault="00557A6F" w:rsidP="00557A6F">
      <w:r>
        <w:t>Samlet oversikt over midler til bevaring, beskyttelse eller konservering av norsk kultur- og naturarv mangler. Systematisk innsats organisert i ti ulike tematiske bevaringsprogrammer, målrettet mot fredede/vernede kulturminner, utgjør et hovedinnsatsområde. Budsjettet for Norsk Kulturminn</w:t>
      </w:r>
      <w:r>
        <w:t>e</w:t>
      </w:r>
      <w:r>
        <w:t>fond er sty</w:t>
      </w:r>
      <w:r>
        <w:t>r</w:t>
      </w:r>
      <w:r>
        <w:t>ket de senere årene. Økte tilskudd fra fondet genererer økt innsats fra private eiere av verneverdige kulturminner. I tillegg har flere bankfond, stiftelser og organisasjoner tilskuddsor</w:t>
      </w:r>
      <w:r>
        <w:t>d</w:t>
      </w:r>
      <w:r>
        <w:t xml:space="preserve">ninger til kulturminner, friluftsliv og ivaretakelse av grøntområder og naturmangfold. </w:t>
      </w:r>
    </w:p>
    <w:p w:rsidR="00557A6F" w:rsidRDefault="00557A6F" w:rsidP="00557A6F">
      <w:r>
        <w:t>Norge har de siste årene styrket innsatsen for forvaltningen av de åtte norske verdensarvområdene. Det er per august 2019 etablert verdensarvsentre ved fem av dem, med formål å gi besøkende god informasjon om verden</w:t>
      </w:r>
      <w:r>
        <w:t>s</w:t>
      </w:r>
      <w:r>
        <w:t xml:space="preserve">arven og styrke den lokale forankringen. Klima- og miljødepartementet har en egen </w:t>
      </w:r>
      <w:r>
        <w:lastRenderedPageBreak/>
        <w:t>tilskuddspost til dette. Det norske ambisjonsnivået for oppfølging av verdensarvkonve</w:t>
      </w:r>
      <w:r>
        <w:t>n</w:t>
      </w:r>
      <w:r>
        <w:t>sjonen er høyt. Verdensarvområdene skal utvikles som fyrtårn for beste praksis innenfor natur- og kulturminneforvaltning. Regjeringen forventer at fylkeskomm</w:t>
      </w:r>
      <w:r>
        <w:t>u</w:t>
      </w:r>
      <w:r>
        <w:t xml:space="preserve">nene og kommunene følger opp dette gjennom arealplanleggingen. Dette er innarbeidet i Nasjonale forventinger til regional og kommunal planlegging (for 2019–2023). </w:t>
      </w:r>
    </w:p>
    <w:p w:rsidR="00557A6F" w:rsidRDefault="00557A6F" w:rsidP="00557A6F">
      <w:r>
        <w:t>Norge er for perioden 2017–2021 medlem av verdensarvskomiteen, og engasjerer seg gjennom dette vervet d</w:t>
      </w:r>
      <w:r>
        <w:t>i</w:t>
      </w:r>
      <w:r>
        <w:t>rekte i det internasjonale arbeidet med verdensarv. For 2019 er det bevilget 30 mill. kroner med formål å styrke forvaltningen og sikringen av verdensarven globalt, med en særlig sa</w:t>
      </w:r>
      <w:r>
        <w:t>t</w:t>
      </w:r>
      <w:r>
        <w:t>sing på afrikansk naturarv. Norge har også en seksårig samarbeidsavtale med Unescos rådgivende organ IUCN og Iccrom om kapasitetsbygging internasj</w:t>
      </w:r>
      <w:r>
        <w:t>o</w:t>
      </w:r>
      <w:r>
        <w:t>nalt, og bidrar med i overkant av 4 mill. kroner årlig i perioden 2016–2022.</w:t>
      </w:r>
    </w:p>
    <w:p w:rsidR="00557A6F" w:rsidRDefault="00557A6F" w:rsidP="00557A6F">
      <w:r>
        <w:t>Gjennom økonomisk bidrag til kjøp av friluftslivsområder, bidrar staten til at grønne områder i byer og tettsteder ivaretas og utvikles. Friluftslivsområder i nærmiljøet er prioritert i ordningen. Staten har også en egen tilskudd</w:t>
      </w:r>
      <w:r>
        <w:t>s</w:t>
      </w:r>
      <w:r>
        <w:t xml:space="preserve">ordning for tilrettelegging av friluftslivsområdene som er sikret på denne måten. </w:t>
      </w:r>
    </w:p>
    <w:p w:rsidR="00557A6F" w:rsidRDefault="00557A6F" w:rsidP="00557A6F">
      <w:pPr>
        <w:pStyle w:val="avsnitt-undertittel"/>
      </w:pPr>
      <w:r>
        <w:t xml:space="preserve">11.5) Innen 2030 </w:t>
      </w:r>
      <w:proofErr w:type="gramStart"/>
      <w:r>
        <w:t>oppnå</w:t>
      </w:r>
      <w:proofErr w:type="gramEnd"/>
      <w:r>
        <w:t xml:space="preserve"> en betydelig reduksjon i antall dødsfall og antall personer som rammes av katastrofer, herunder vannrelaterte katastrofer, samt i betydelig grad minske de direkte økonomiske tap i verdens samlede bruttonasjonalprodukt som følge av slike katastrofer, med vekt på beskyttelse av fattige og personer i utsatte situ</w:t>
      </w:r>
      <w:r>
        <w:t>a</w:t>
      </w:r>
      <w:r>
        <w:t>sjoner</w:t>
      </w:r>
    </w:p>
    <w:p w:rsidR="00557A6F" w:rsidRPr="00557A6F" w:rsidRDefault="00557A6F" w:rsidP="00557A6F">
      <w:pPr>
        <w:pStyle w:val="avsnitt-under-undertittel"/>
        <w:rPr>
          <w:lang w:val="en-US"/>
        </w:rPr>
      </w:pPr>
      <w:r w:rsidRPr="00557A6F">
        <w:rPr>
          <w:lang w:val="en-US"/>
        </w:rPr>
        <w:t>11.5.1 Number of deaths, missing persons and persons affected by disaster per 100,000 people</w:t>
      </w:r>
    </w:p>
    <w:p w:rsidR="00557A6F" w:rsidRDefault="00557A6F" w:rsidP="00557A6F">
      <w:r>
        <w:t>Det er estimert at totalt 281 personer omkom i 2018 som følge av uønskede hendelser. Dette i</w:t>
      </w:r>
      <w:r>
        <w:t>n</w:t>
      </w:r>
      <w:r>
        <w:t>kluderer 108 personer i trafikkulykker, 102 som omkom grunnet drukning, 39 i brann, 14 i uhell med ele</w:t>
      </w:r>
      <w:r>
        <w:t>k</w:t>
      </w:r>
      <w:r>
        <w:t>tromedisinsk utstyr og 18 i andre ulykker. Per i dag beregnes dette manuelt fra ulike kilder og er beheftet med noe usikkerhet, men felles oppdatert statistikk er under utarbeidelse som en del av Kunnskapsba</w:t>
      </w:r>
      <w:r>
        <w:t>n</w:t>
      </w:r>
      <w:r>
        <w:t>ken i Direktoratet for samfunnssikkerhet og beredskap (DSB).</w:t>
      </w:r>
    </w:p>
    <w:p w:rsidR="00557A6F" w:rsidRPr="00557A6F" w:rsidRDefault="00557A6F" w:rsidP="00557A6F">
      <w:pPr>
        <w:pStyle w:val="avsnitt-under-undertittel"/>
        <w:rPr>
          <w:lang w:val="en-US"/>
        </w:rPr>
      </w:pPr>
      <w:r w:rsidRPr="00557A6F">
        <w:rPr>
          <w:lang w:val="en-US"/>
        </w:rPr>
        <w:t>11.5.2 Direct economic loss in relation to global GDP, damage to critical infrastructure and nu</w:t>
      </w:r>
      <w:r w:rsidRPr="00557A6F">
        <w:rPr>
          <w:lang w:val="en-US"/>
        </w:rPr>
        <w:t>m</w:t>
      </w:r>
      <w:r w:rsidRPr="00557A6F">
        <w:rPr>
          <w:lang w:val="en-US"/>
        </w:rPr>
        <w:t>ber of disru</w:t>
      </w:r>
      <w:r w:rsidRPr="00557A6F">
        <w:rPr>
          <w:lang w:val="en-US"/>
        </w:rPr>
        <w:t>p</w:t>
      </w:r>
      <w:r w:rsidRPr="00557A6F">
        <w:rPr>
          <w:lang w:val="en-US"/>
        </w:rPr>
        <w:t>tions to basic services, attributed to disasters</w:t>
      </w:r>
    </w:p>
    <w:p w:rsidR="00557A6F" w:rsidRDefault="00557A6F" w:rsidP="00557A6F">
      <w:r>
        <w:t>For 2018 ble det i Norge estimert et økonomisk tap som følge av klima- og naturrelaterte hendelser på 3,6 mrd. kroner. Det er utbetalt 1,97 mrd. kroner i avlingsskadeerstatning etter tørkesommeren 2018. I tillegg ble det registrert naturskader for rundt 600 mill. kroner og vannskader for 1,1 mrd. kroner. Over halvparten av forsikringsutbetalingene knyttet til naturskade kom etter uvær høsten 2018. De største skadene og høyeste erstatningene kom etter høstflommen i Oppland. Deretter fø</w:t>
      </w:r>
      <w:r>
        <w:t>l</w:t>
      </w:r>
      <w:r>
        <w:t>ger høststormen «Helene» som særlig rammet Vestlandet og Sørlandet. Den norske stat er sel</w:t>
      </w:r>
      <w:r>
        <w:t>v</w:t>
      </w:r>
      <w:r>
        <w:t>assurandør, noe som innebærer at staten som hovedregel ikke tegner forsikring, men håndterer tap og skade når det oppstår. Det finnes p.t. ikke sammenstilte tall for økonomisk tap som følge av selvassurandørprinsippet. Det er derfor grunn til å anta at tallene for økonomisk tap grunnet kat</w:t>
      </w:r>
      <w:r>
        <w:t>a</w:t>
      </w:r>
      <w:r>
        <w:t>strofer er høyere enn det som er estimert. Tallene beregnes i dag manuelt, men oppdatert samme</w:t>
      </w:r>
      <w:r>
        <w:t>n</w:t>
      </w:r>
      <w:r>
        <w:t>stilt statistikk er under utarbeidelse som en del av Kun</w:t>
      </w:r>
      <w:r>
        <w:t>n</w:t>
      </w:r>
      <w:r>
        <w:t>skapsbanken i DSB.</w:t>
      </w:r>
    </w:p>
    <w:p w:rsidR="00557A6F" w:rsidRDefault="00557A6F" w:rsidP="00557A6F">
      <w:pPr>
        <w:pStyle w:val="avsnitt-undertittel"/>
      </w:pPr>
      <w:r>
        <w:t xml:space="preserve">11.6) Innen 2030 </w:t>
      </w:r>
      <w:proofErr w:type="gramStart"/>
      <w:r>
        <w:t>redusere</w:t>
      </w:r>
      <w:proofErr w:type="gramEnd"/>
      <w:r>
        <w:t xml:space="preserve"> negative konsekvenser for miljøet i storbyene målt per in</w:t>
      </w:r>
      <w:r>
        <w:t>n</w:t>
      </w:r>
      <w:r>
        <w:t>bygger, blant annet ved å le</w:t>
      </w:r>
      <w:r>
        <w:t>g</w:t>
      </w:r>
      <w:r>
        <w:t>ge særlig vekt på luftkvalitet samt offentlig og annen form for avfallshåndtering</w:t>
      </w:r>
    </w:p>
    <w:p w:rsidR="00557A6F" w:rsidRPr="00557A6F" w:rsidRDefault="00557A6F" w:rsidP="00557A6F">
      <w:pPr>
        <w:pStyle w:val="avsnitt-under-undertittel"/>
        <w:rPr>
          <w:rStyle w:val="kursiv"/>
          <w:i/>
          <w:iCs/>
          <w:sz w:val="21"/>
          <w:szCs w:val="21"/>
          <w:lang w:val="en-US"/>
        </w:rPr>
      </w:pPr>
      <w:r w:rsidRPr="00557A6F">
        <w:rPr>
          <w:rStyle w:val="kursiv"/>
          <w:i/>
          <w:iCs/>
          <w:sz w:val="21"/>
          <w:szCs w:val="21"/>
          <w:lang w:val="en-US"/>
        </w:rPr>
        <w:t>11.6.1 Proportion of urban solid waste regularly collected and with adequate final discharge out of total u</w:t>
      </w:r>
      <w:r w:rsidRPr="00557A6F">
        <w:rPr>
          <w:rStyle w:val="kursiv"/>
          <w:i/>
          <w:iCs/>
          <w:sz w:val="21"/>
          <w:szCs w:val="21"/>
          <w:lang w:val="en-US"/>
        </w:rPr>
        <w:t>r</w:t>
      </w:r>
      <w:r w:rsidRPr="00557A6F">
        <w:rPr>
          <w:rStyle w:val="kursiv"/>
          <w:i/>
          <w:iCs/>
          <w:sz w:val="21"/>
          <w:szCs w:val="21"/>
          <w:lang w:val="en-US"/>
        </w:rPr>
        <w:t>ban solid waste generated, by cities</w:t>
      </w:r>
    </w:p>
    <w:p w:rsidR="00557A6F" w:rsidRDefault="00557A6F" w:rsidP="00557A6F">
      <w:r>
        <w:t>Kommunene skal sørge for innsamling og behandling av avfall fra husholdninger, mens næring</w:t>
      </w:r>
      <w:r>
        <w:t>s</w:t>
      </w:r>
      <w:r>
        <w:t>virksomheter står fritt til å velge løsning i markedet for sitt avfall, forutsatt lovlig håndtering. Det stilles krav til både kommunale og private anlegg gjennom tillatelser etter forurensningsloven. Det er forbudt å d</w:t>
      </w:r>
      <w:r>
        <w:t>e</w:t>
      </w:r>
      <w:r>
        <w:t>ponere biologisk nedbrytbart avfall. Det finnes ikke egen statistikk for innsamling av avfall fra byområder. Det aller meste av det genererte avfallet blir samlet inn og håndtert på en miljømessig forsvarlig måte.</w:t>
      </w:r>
    </w:p>
    <w:p w:rsidR="00557A6F" w:rsidRPr="00557A6F" w:rsidRDefault="00557A6F" w:rsidP="00557A6F">
      <w:pPr>
        <w:pStyle w:val="avsnitt-under-undertittel"/>
        <w:rPr>
          <w:rStyle w:val="kursiv"/>
          <w:i/>
          <w:iCs/>
          <w:sz w:val="21"/>
          <w:szCs w:val="21"/>
          <w:lang w:val="en-US"/>
        </w:rPr>
      </w:pPr>
      <w:r w:rsidRPr="00557A6F">
        <w:rPr>
          <w:rStyle w:val="kursiv"/>
          <w:i/>
          <w:iCs/>
          <w:sz w:val="21"/>
          <w:szCs w:val="21"/>
          <w:lang w:val="en-US"/>
        </w:rPr>
        <w:lastRenderedPageBreak/>
        <w:t>11.6.2 Annual mean levels of fine particulate matter (e.g. PM2.5 and PM10) in cities (population weighted)</w:t>
      </w:r>
    </w:p>
    <w:p w:rsidR="00557A6F" w:rsidRDefault="00557A6F" w:rsidP="00557A6F">
      <w:r>
        <w:t>Luftkvaliteten i Norge er gradvis forbedret over de siste tiår, og i 2018 var det for første gang ingen overskridelser av forurensningsforskriftens grenseverdier for NO</w:t>
      </w:r>
      <w:r>
        <w:rPr>
          <w:rStyle w:val="skrift-senket"/>
          <w:sz w:val="21"/>
          <w:szCs w:val="21"/>
        </w:rPr>
        <w:t>2</w:t>
      </w:r>
      <w:r>
        <w:t>. Bedringen skyldes blant annet ny kjør</w:t>
      </w:r>
      <w:r>
        <w:t>e</w:t>
      </w:r>
      <w:r>
        <w:t>tøyteknologi og renere vedovner. I Norge er det svevestøv og nitrogendioksid (NO</w:t>
      </w:r>
      <w:r>
        <w:rPr>
          <w:rStyle w:val="skrift-senket"/>
          <w:sz w:val="21"/>
          <w:szCs w:val="21"/>
        </w:rPr>
        <w:t>2</w:t>
      </w:r>
      <w:r>
        <w:t>) som bidrar mest til lokal luftforurensning. De viktigste kildene til dette er veitrafikk, vedovner og lan</w:t>
      </w:r>
      <w:r>
        <w:t>g</w:t>
      </w:r>
      <w:r>
        <w:t xml:space="preserve">transportert forurensning. På luftkvalitet.info ligger informasjon om luftkvaliteten i de største norske byer og tettsteder. </w:t>
      </w:r>
    </w:p>
    <w:p w:rsidR="00557A6F" w:rsidRDefault="00557A6F" w:rsidP="00557A6F">
      <w:pPr>
        <w:pStyle w:val="avsnitt-undertittel"/>
      </w:pPr>
      <w:r>
        <w:t xml:space="preserve">11.7) Innen 2030 </w:t>
      </w:r>
      <w:proofErr w:type="gramStart"/>
      <w:r>
        <w:t>sørge</w:t>
      </w:r>
      <w:proofErr w:type="gramEnd"/>
      <w:r>
        <w:t xml:space="preserve"> for allmenn tilgang til trygge, inkluderende og lett tilgjengelige grøntområder og offentlige rom, særlig for kvinner, barn og eldre samt personer med nedsatt funksjonsevne.</w:t>
      </w:r>
    </w:p>
    <w:p w:rsidR="00557A6F" w:rsidRPr="00557A6F" w:rsidRDefault="00557A6F" w:rsidP="00557A6F">
      <w:pPr>
        <w:pStyle w:val="avsnitt-under-undertittel"/>
        <w:rPr>
          <w:rStyle w:val="kursiv"/>
          <w:i/>
          <w:iCs/>
          <w:sz w:val="21"/>
          <w:szCs w:val="21"/>
          <w:lang w:val="en-US"/>
        </w:rPr>
      </w:pPr>
      <w:r w:rsidRPr="00557A6F">
        <w:rPr>
          <w:rStyle w:val="kursiv"/>
          <w:i/>
          <w:iCs/>
          <w:sz w:val="21"/>
          <w:szCs w:val="21"/>
          <w:lang w:val="en-US"/>
        </w:rPr>
        <w:t>11.7.1 Average share of the built-up area of cities that is open space for public use for all, by sex, age and pe</w:t>
      </w:r>
      <w:r w:rsidRPr="00557A6F">
        <w:rPr>
          <w:rStyle w:val="kursiv"/>
          <w:i/>
          <w:iCs/>
          <w:sz w:val="21"/>
          <w:szCs w:val="21"/>
          <w:lang w:val="en-US"/>
        </w:rPr>
        <w:t>r</w:t>
      </w:r>
      <w:r w:rsidRPr="00557A6F">
        <w:rPr>
          <w:rStyle w:val="kursiv"/>
          <w:i/>
          <w:iCs/>
          <w:sz w:val="21"/>
          <w:szCs w:val="21"/>
          <w:lang w:val="en-US"/>
        </w:rPr>
        <w:t>sons with disabilities</w:t>
      </w:r>
    </w:p>
    <w:p w:rsidR="00557A6F" w:rsidRPr="00557A6F" w:rsidRDefault="00557A6F" w:rsidP="00557A6F">
      <w:pPr>
        <w:rPr>
          <w:lang w:val="en-US"/>
        </w:rPr>
      </w:pPr>
      <w:r>
        <w:t>I 2018 har over halvparten av befolkningen som bor i tettsteder i Norge trygg tilgang til rekre</w:t>
      </w:r>
      <w:r>
        <w:t>a</w:t>
      </w:r>
      <w:r>
        <w:t>sjonsareal. I de største byene har andelen økt med 5 prosentpoeng på to år. Barn og unge under 20 år er den alder</w:t>
      </w:r>
      <w:r>
        <w:t>s</w:t>
      </w:r>
      <w:r>
        <w:t>gruppen der flest har trygg tilgang til rekreasjonsareal (62 pst.). Det er befolkningen i de minste tettstedene som enklest kan komme til turområder og andre grønne lunger. En klart mindre andel av store boligbygg, det vil si boligblokker og bygårder, har trygg tilgang til rekre</w:t>
      </w:r>
      <w:r>
        <w:t>a</w:t>
      </w:r>
      <w:r>
        <w:t xml:space="preserve">sjonsareal enn de andre boligtypene. Dette kan ha sammenheng med at en del av disse boligtypene ligger i sentrale områder i byene der boligene ligger tett og det er mer trafikk. </w:t>
      </w:r>
      <w:r w:rsidRPr="00557A6F">
        <w:rPr>
          <w:lang w:val="en-US"/>
        </w:rPr>
        <w:t xml:space="preserve">(Kilde: SSB Rekreasjonsareal </w:t>
      </w:r>
      <w:proofErr w:type="gramStart"/>
      <w:r w:rsidRPr="00557A6F">
        <w:rPr>
          <w:lang w:val="en-US"/>
        </w:rPr>
        <w:t>og</w:t>
      </w:r>
      <w:proofErr w:type="gramEnd"/>
      <w:r w:rsidRPr="00557A6F">
        <w:rPr>
          <w:lang w:val="en-US"/>
        </w:rPr>
        <w:t xml:space="preserve"> nærturterreng, artikkel 8. april 2019). </w:t>
      </w:r>
    </w:p>
    <w:p w:rsidR="00557A6F" w:rsidRPr="00557A6F" w:rsidRDefault="00557A6F" w:rsidP="00557A6F">
      <w:pPr>
        <w:pStyle w:val="avsnitt-under-undertittel"/>
        <w:rPr>
          <w:lang w:val="en-US"/>
        </w:rPr>
      </w:pPr>
      <w:r w:rsidRPr="00557A6F">
        <w:rPr>
          <w:lang w:val="en-US"/>
        </w:rPr>
        <w:t>11.7.2 Proportion of persons victim of physical or sexual harassment, by sex, age, disability status and place of occurrence, in the previous 12 months</w:t>
      </w:r>
    </w:p>
    <w:p w:rsidR="00557A6F" w:rsidRDefault="00557A6F" w:rsidP="00557A6F">
      <w:r>
        <w:t>Det er i dag ikke data over omfanget av fysisk eller seksuell trakassering i grøntområder eller o</w:t>
      </w:r>
      <w:r>
        <w:t>f</w:t>
      </w:r>
      <w:r>
        <w:t>fentlige rom. Det rapporteres på vold under Bærekraftsmål 5 og 16.</w:t>
      </w:r>
    </w:p>
    <w:p w:rsidR="00557A6F" w:rsidRDefault="00557A6F" w:rsidP="00557A6F">
      <w:r>
        <w:t>Likestillings- og diskrimineringsloven § 13 første ledd forbyr seksuell trakassering. Arbeidsmilj</w:t>
      </w:r>
      <w:r>
        <w:t>ø</w:t>
      </w:r>
      <w:r>
        <w:t>loven § 4-3(3) sier at arbeidstaker ikke skal utsettes for trakassering eller annen utilbørlig opptr</w:t>
      </w:r>
      <w:r>
        <w:t>e</w:t>
      </w:r>
      <w:r>
        <w:t>den. Det finnes også beste</w:t>
      </w:r>
      <w:r>
        <w:t>m</w:t>
      </w:r>
      <w:r>
        <w:t>melser i straffeloven som kan omfatte saker om seksuell trakassering, jf. strl. §§ 266, 297 og 298.</w:t>
      </w:r>
    </w:p>
    <w:p w:rsidR="00557A6F" w:rsidRDefault="00557A6F" w:rsidP="00557A6F">
      <w:r>
        <w:t>Det er domstolene som behandler saker om seksuell trakassering. Det er få saker om seksuell tr</w:t>
      </w:r>
      <w:r>
        <w:t>a</w:t>
      </w:r>
      <w:r>
        <w:t>kassering som kommer opp for domstolene. Omfanget av seksuell trakassering gjenspeiles således ikke i de sakene som bringes inn for domstolene. Regjeringen foreslo våren 2019 å etablere et la</w:t>
      </w:r>
      <w:r>
        <w:t>v</w:t>
      </w:r>
      <w:r>
        <w:t>terskeltilbud for saker om seksuell trakass</w:t>
      </w:r>
      <w:r>
        <w:t>e</w:t>
      </w:r>
      <w:r>
        <w:t>ring ved å gi Diskrimineringsnemnda myndighet til å håndheve forbudet mot seksuell trakassering i likestillings- og diskrimineringsloven, jf. Prop. 63 L (2018–2019). Dette vil gi personer som utsettes for seksuell trakassering et kostnadsfritt alternativ til domstolsbehandling, og et reelt retts- og diskrimineringsvern. Stortinget vedtok lo</w:t>
      </w:r>
      <w:r>
        <w:t>v</w:t>
      </w:r>
      <w:r>
        <w:t xml:space="preserve">endringen i juni 2019, og den vil tre i kraft fra 1. januar 2020. </w:t>
      </w:r>
    </w:p>
    <w:p w:rsidR="00557A6F" w:rsidRDefault="00557A6F" w:rsidP="00557A6F">
      <w:r>
        <w:t>Spørsmål om seksuell trakassering ble inkludert i Ungdata-undersøkelsen fra 2017. 21 pst. av je</w:t>
      </w:r>
      <w:r>
        <w:t>n</w:t>
      </w:r>
      <w:r>
        <w:t>tene og 9 pst. av guttene hadde opplevd at noen mot deres vilje befølte dem på en seksuell måte. 20 pst. av jentene og 13 pst. av guttene hadde opplevd at noen på en sårende måte kalte dem for hore, homse eller andre ord med seksuelt in</w:t>
      </w:r>
      <w:r>
        <w:t>n</w:t>
      </w:r>
      <w:r>
        <w:t xml:space="preserve">hold. 21 pst. av jentene og 14 pst. av guttene hadde opplevd at noen spredte negative seksuelle rykter om dem. </w:t>
      </w:r>
    </w:p>
    <w:p w:rsidR="00557A6F" w:rsidRDefault="00557A6F" w:rsidP="00557A6F">
      <w:r>
        <w:t>Kunnskapsoppsummeringen om seksuell trakassering blant elever i ungdomsskolen og videreg</w:t>
      </w:r>
      <w:r>
        <w:t>å</w:t>
      </w:r>
      <w:r>
        <w:t>ende opplæring (2016) viser at det er klart flere jenter enn gutter som utsettes for fysiske former for seksuell trakassering.</w:t>
      </w:r>
    </w:p>
    <w:p w:rsidR="00557A6F" w:rsidRDefault="00557A6F" w:rsidP="00557A6F">
      <w:pPr>
        <w:pStyle w:val="avsnitt-undertittel"/>
      </w:pPr>
      <w:r>
        <w:lastRenderedPageBreak/>
        <w:t>11.a) Støtte positive økonomiske, sosiale og miljømessige forbindelser mellom byomr</w:t>
      </w:r>
      <w:r>
        <w:t>å</w:t>
      </w:r>
      <w:r>
        <w:t>der, omland og spredtbygde områder ved å styrke nasjonale og regionale utviklingsplaner</w:t>
      </w:r>
    </w:p>
    <w:p w:rsidR="00557A6F" w:rsidRPr="00557A6F" w:rsidRDefault="00557A6F" w:rsidP="00557A6F">
      <w:pPr>
        <w:pStyle w:val="avsnitt-under-undertittel"/>
        <w:rPr>
          <w:lang w:val="en-US"/>
        </w:rPr>
      </w:pPr>
      <w:r w:rsidRPr="00557A6F">
        <w:rPr>
          <w:lang w:val="en-US"/>
        </w:rPr>
        <w:t>11</w:t>
      </w:r>
      <w:proofErr w:type="gramStart"/>
      <w:r w:rsidRPr="00557A6F">
        <w:rPr>
          <w:lang w:val="en-US"/>
        </w:rPr>
        <w:t>.a.1</w:t>
      </w:r>
      <w:proofErr w:type="gramEnd"/>
      <w:r w:rsidRPr="00557A6F">
        <w:rPr>
          <w:lang w:val="en-US"/>
        </w:rPr>
        <w:t xml:space="preserve"> Proportion of population living in cities that implement urban and regional development plans int</w:t>
      </w:r>
      <w:r w:rsidRPr="00557A6F">
        <w:rPr>
          <w:lang w:val="en-US"/>
        </w:rPr>
        <w:t>e</w:t>
      </w:r>
      <w:r w:rsidRPr="00557A6F">
        <w:rPr>
          <w:lang w:val="en-US"/>
        </w:rPr>
        <w:t>grating population projections and resource needs, by size of city</w:t>
      </w:r>
    </w:p>
    <w:p w:rsidR="00557A6F" w:rsidRDefault="00557A6F" w:rsidP="00557A6F">
      <w:r>
        <w:t>Samfunns- og arealplanleggingen skal etter plan- og bygningsloven (pbl.) § 3-1 første ledd bokstav a) «sette mål for den fysiske, miljømessige, økonomiske, sosiale og kulturelle utviklingen i ko</w:t>
      </w:r>
      <w:r>
        <w:t>m</w:t>
      </w:r>
      <w:r>
        <w:t>muner og regioner, avklare samfunnsmessige behov og oppgaver, og angi hvordan oppgavene kan løses». Etter tredje ledd skal planleggingen «… bygge på økonomiske og andre ressursmessige forutsetninger for gjennomføring …». Departementet forutsetter at dette følges opp av regional og lokal planmyndighet. Departementet arbeider også for å styrke koblingen mellom kommuneplanens samfunnsdel og kommunens økonomiplan for å gjøre planleggingen mer realistisk og gjennomf</w:t>
      </w:r>
      <w:r>
        <w:t>ø</w:t>
      </w:r>
      <w:r>
        <w:t>ringsrettet.</w:t>
      </w:r>
    </w:p>
    <w:p w:rsidR="00557A6F" w:rsidRDefault="00557A6F" w:rsidP="00557A6F">
      <w:pPr>
        <w:pStyle w:val="avsnitt-undertittel"/>
      </w:pPr>
      <w:r>
        <w:t xml:space="preserve">11.b) Innen 2020 </w:t>
      </w:r>
      <w:proofErr w:type="gramStart"/>
      <w:r>
        <w:t>oppnå</w:t>
      </w:r>
      <w:proofErr w:type="gramEnd"/>
      <w:r>
        <w:t xml:space="preserve"> en betydelig økning i antall byer og bosettinger som vedtar og gjennomfører en integrert politikk og plan med sikte på inkludering, bedre ressursbruk, begrensning av og tilpasning til klimaendringer samt evne til å motstå og håndtere kat</w:t>
      </w:r>
      <w:r>
        <w:t>a</w:t>
      </w:r>
      <w:r>
        <w:t>strofer, samt utvikle og iverksette en helhetlig og altomfattende risikostyring i forbindelse med katastrofer, i tråd med Sendai-rammeverket for katastrofeberedskap 2015–2030</w:t>
      </w:r>
    </w:p>
    <w:p w:rsidR="00557A6F" w:rsidRPr="00557A6F" w:rsidRDefault="00557A6F" w:rsidP="00557A6F">
      <w:pPr>
        <w:pStyle w:val="avsnitt-under-undertittel"/>
        <w:rPr>
          <w:lang w:val="en-US"/>
        </w:rPr>
      </w:pPr>
      <w:r w:rsidRPr="00557A6F">
        <w:rPr>
          <w:lang w:val="en-US"/>
        </w:rPr>
        <w:t>11</w:t>
      </w:r>
      <w:proofErr w:type="gramStart"/>
      <w:r w:rsidRPr="00557A6F">
        <w:rPr>
          <w:lang w:val="en-US"/>
        </w:rPr>
        <w:t>.b.1</w:t>
      </w:r>
      <w:proofErr w:type="gramEnd"/>
      <w:r w:rsidRPr="00557A6F">
        <w:rPr>
          <w:lang w:val="en-US"/>
        </w:rPr>
        <w:t xml:space="preserve"> Number of countries that adopt and implement national disaster risk reduction strategies in line with the Sendai Framework for Disaster Risk Reduction 2015–2030</w:t>
      </w:r>
    </w:p>
    <w:p w:rsidR="00557A6F" w:rsidRDefault="00557A6F" w:rsidP="00557A6F">
      <w:r>
        <w:t>Norge har lover og regler for hvordan risiko for katastrofer skal håndteres, som for eksempel sivi</w:t>
      </w:r>
      <w:r>
        <w:t>l</w:t>
      </w:r>
      <w:r>
        <w:t>beskyttelsesloven og plan- og bygningsloven som har krav om helhetlig risko- og sårbarhetsanal</w:t>
      </w:r>
      <w:r>
        <w:t>y</w:t>
      </w:r>
      <w:r>
        <w:t xml:space="preserve">ser. </w:t>
      </w:r>
    </w:p>
    <w:p w:rsidR="00557A6F" w:rsidRPr="00557A6F" w:rsidRDefault="00557A6F" w:rsidP="00557A6F">
      <w:pPr>
        <w:pStyle w:val="avsnitt-under-undertittel"/>
        <w:rPr>
          <w:lang w:val="en-US"/>
        </w:rPr>
      </w:pPr>
      <w:r w:rsidRPr="00557A6F">
        <w:rPr>
          <w:lang w:val="en-US"/>
        </w:rPr>
        <w:t>11</w:t>
      </w:r>
      <w:proofErr w:type="gramStart"/>
      <w:r w:rsidRPr="00557A6F">
        <w:rPr>
          <w:lang w:val="en-US"/>
        </w:rPr>
        <w:t>.b.2</w:t>
      </w:r>
      <w:proofErr w:type="gramEnd"/>
      <w:r w:rsidRPr="00557A6F">
        <w:rPr>
          <w:lang w:val="en-US"/>
        </w:rPr>
        <w:t xml:space="preserve"> Proportion of local governments that adopt and implement local disaster risk reduction strategies in line with national disaster risk reduction strategies</w:t>
      </w:r>
    </w:p>
    <w:p w:rsidR="00557A6F" w:rsidRDefault="00557A6F" w:rsidP="00557A6F">
      <w:r>
        <w:t>Det er et krav i sivilbeskyttelsesloven at kommunene har en helhetlig risiko- og sårbarhetsanalyse. I tillegg skal det gjennomføres risiko- og sårbarhetsanalyse for alle planer for utbygging, jf. plan- og bygningsloven § 4-3. Fylkesmennene utarbeider helhetlige risiko- og sårbarhetsanalyser på fylke</w:t>
      </w:r>
      <w:r>
        <w:t>s</w:t>
      </w:r>
      <w:r>
        <w:t>nivå og fører tilsyn med at kommunene oppfyller sine forpliktelser på beredskapsområdet. Regj</w:t>
      </w:r>
      <w:r>
        <w:t>e</w:t>
      </w:r>
      <w:r>
        <w:t>ringen forventer at fylkeskommuner og kommuner legger risiko- og sårbarhetsanalyser til grunn for plan- og byggesak</w:t>
      </w:r>
      <w:r>
        <w:t>s</w:t>
      </w:r>
      <w:r>
        <w:t>behandlingen.</w:t>
      </w:r>
    </w:p>
    <w:p w:rsidR="00557A6F" w:rsidRDefault="00557A6F" w:rsidP="00557A6F">
      <w:pPr>
        <w:pStyle w:val="avsnitt-undertittel"/>
      </w:pPr>
      <w:r>
        <w:t>11.c) Bistå de minst utviklede landene med å oppføre bærekraftige og solide bygninger ved bruk av lokale materi</w:t>
      </w:r>
      <w:r>
        <w:t>a</w:t>
      </w:r>
      <w:r>
        <w:t>ler, blant annet gjennom økonomisk og faglig bistand</w:t>
      </w:r>
    </w:p>
    <w:p w:rsidR="00557A6F" w:rsidRPr="00557A6F" w:rsidRDefault="00557A6F" w:rsidP="00557A6F">
      <w:pPr>
        <w:pStyle w:val="avsnitt-under-undertittel"/>
        <w:rPr>
          <w:lang w:val="en-US"/>
        </w:rPr>
      </w:pPr>
      <w:r w:rsidRPr="00557A6F">
        <w:rPr>
          <w:lang w:val="en-US"/>
        </w:rPr>
        <w:t>11</w:t>
      </w:r>
      <w:proofErr w:type="gramStart"/>
      <w:r w:rsidRPr="00557A6F">
        <w:rPr>
          <w:lang w:val="en-US"/>
        </w:rPr>
        <w:t>.c.1</w:t>
      </w:r>
      <w:proofErr w:type="gramEnd"/>
      <w:r w:rsidRPr="00557A6F">
        <w:rPr>
          <w:lang w:val="en-US"/>
        </w:rPr>
        <w:t xml:space="preserve"> Proportion of financial support to the least developed countries that is allocated to the co</w:t>
      </w:r>
      <w:r w:rsidRPr="00557A6F">
        <w:rPr>
          <w:lang w:val="en-US"/>
        </w:rPr>
        <w:t>n</w:t>
      </w:r>
      <w:r w:rsidRPr="00557A6F">
        <w:rPr>
          <w:lang w:val="en-US"/>
        </w:rPr>
        <w:t>struction and retrofitting of sustainable, resilient and resource-efficient buildings utilizing local materials</w:t>
      </w:r>
    </w:p>
    <w:p w:rsidR="00557A6F" w:rsidRDefault="00557A6F" w:rsidP="00557A6F">
      <w:r>
        <w:t>Norge rapporterer tall om norsk bistand til OECD, men det foreligger ikke data som dekker denne indikatoren. Norge bistår de minst utviklede landene gjennom både bilateralt og multilateralt sa</w:t>
      </w:r>
      <w:r>
        <w:t>m</w:t>
      </w:r>
      <w:r>
        <w:t>arbeid, og har en programsamarbeidsavtale med UN-Habitat som har ansvar for FNs arbeid med bolig- og byutvi</w:t>
      </w:r>
      <w:r>
        <w:t>k</w:t>
      </w:r>
      <w:r>
        <w:t>ling. UN-Habitat arbeider blant annet for å styrke utviklingslandenes bolig- og bygningssektor og gje</w:t>
      </w:r>
      <w:r>
        <w:t>n</w:t>
      </w:r>
      <w:r>
        <w:t>oppbygging etter krig og katastrofer. Det er imidlertid bare en liten del av norsk støtte som gis til dette formålet.</w:t>
      </w:r>
    </w:p>
    <w:p w:rsidR="00557A6F" w:rsidRDefault="00557A6F" w:rsidP="00557A6F">
      <w:pPr>
        <w:pStyle w:val="Overskrift2"/>
      </w:pPr>
      <w:r>
        <w:t>Lønnsvilkår o.a. til ledere i heleide statlige virksomheter</w:t>
      </w:r>
    </w:p>
    <w:p w:rsidR="00557A6F" w:rsidRDefault="00557A6F" w:rsidP="00557A6F">
      <w:pPr>
        <w:pStyle w:val="avsnitt-undertittel"/>
      </w:pPr>
      <w:r>
        <w:t>Kommunalbanken AS</w:t>
      </w:r>
    </w:p>
    <w:p w:rsidR="00557A6F" w:rsidRDefault="00557A6F" w:rsidP="00557A6F">
      <w:r>
        <w:t>Administrerende direktør har en avtalt fastlønn for 2019 på 3,1 mill. kroner, en innskuddsbasert pe</w:t>
      </w:r>
      <w:r>
        <w:t>n</w:t>
      </w:r>
      <w:r>
        <w:t>sjonsordning inntil 12G som øvrige ansatte, og en etterlønnsavtale på inntil 12 månedslønner som utløses etter særskilte vilkår. Administrerende direktør er omfattet av samme ordning for r</w:t>
      </w:r>
      <w:r>
        <w:t>e</w:t>
      </w:r>
      <w:r>
        <w:t>sultatbasert variabel lønn som øvrige ansatte. Ordningen er begrenset til 1,5 månedslønner og fo</w:t>
      </w:r>
      <w:r>
        <w:t>r</w:t>
      </w:r>
      <w:r>
        <w:t>utsetter at styrefastsatte måltall er nådd.</w:t>
      </w:r>
    </w:p>
    <w:p w:rsidR="00557A6F" w:rsidRDefault="00557A6F" w:rsidP="00557A6F">
      <w:pPr>
        <w:pStyle w:val="Overskrift2"/>
      </w:pPr>
      <w:r>
        <w:lastRenderedPageBreak/>
        <w:t>Likestilling i staten</w:t>
      </w:r>
    </w:p>
    <w:p w:rsidR="00557A6F" w:rsidRDefault="00557A6F" w:rsidP="00557A6F">
      <w:pPr>
        <w:pStyle w:val="avsnitt-under-undertittel"/>
      </w:pPr>
      <w:r>
        <w:t>Likestilling mellom kvinner og menn i det statlige tariffområdet</w:t>
      </w:r>
    </w:p>
    <w:p w:rsidR="00557A6F" w:rsidRDefault="00557A6F" w:rsidP="00557A6F">
      <w:r>
        <w:t>Kommunal- og moderniseringsdepartementet har ansvaret for statens sentrale arbeidsgiverfunksjon og er tariffpart i det statlige tariffområdet. Departementet har som overordnet statlig arbeidsgiver et særlig a</w:t>
      </w:r>
      <w:r>
        <w:t>n</w:t>
      </w:r>
      <w:r>
        <w:t xml:space="preserve">svar for å legge til rette for at den statlige personalpolitikken fører til likestilling mellom kjønnene. Det at arbeidslivet legger til rette for at alle får like muligheter, er en viktig forutsetning for likestilling mellom kvinner og menn. </w:t>
      </w:r>
    </w:p>
    <w:p w:rsidR="00557A6F" w:rsidRDefault="00557A6F" w:rsidP="00557A6F">
      <w:r>
        <w:t xml:space="preserve">Virksomhetene er pålagt å arbeide systematisk for å unngå kjønnsdiskriminering i forbindelse med rekruttering, oppgavefordeling og lederutvelgelse. </w:t>
      </w:r>
    </w:p>
    <w:p w:rsidR="00557A6F" w:rsidRDefault="00557A6F" w:rsidP="00557A6F">
      <w:r>
        <w:t>Likestillingstiltakene innen det statlige tariffområdet har de siste årene særlig vært rettet mot å fremme likelønn mellom kvinner og menn, og mot målet om 40 pst. representasjon av begge kjønn i lederstillinger. Det er tilnærmet lik lønn mellom kvinner og menn på de ulike stillingsnivåene i staten. Men det er fortsatt en større andel menn i de høyere lønnede stillingsnivåene. I Hovedt</w:t>
      </w:r>
      <w:r>
        <w:t>a</w:t>
      </w:r>
      <w:r>
        <w:t>riffavtalene i staten (1. mai 2018–30. april 2020) framgår det i fellesbestemmelsene § 3, pkt. 6 at «ved gjeninntreden etter foreldrepermisjon skal arbeidstakeren tilbys en samtale om kompetanse, ansvar, lønn og karriereutvikling». Hensikten er å sikre at arbeidstakeren ikke taper lønns- og ka</w:t>
      </w:r>
      <w:r>
        <w:t>r</w:t>
      </w:r>
      <w:r>
        <w:t>rieremessig ved uttak av fo</w:t>
      </w:r>
      <w:r>
        <w:t>r</w:t>
      </w:r>
      <w:r>
        <w:t xml:space="preserve">eldrepermisjon. </w:t>
      </w:r>
    </w:p>
    <w:p w:rsidR="009017E2" w:rsidRDefault="009017E2" w:rsidP="009017E2">
      <w:pPr>
        <w:pStyle w:val="tabell-tittel"/>
      </w:pPr>
      <w:r>
        <w:t>Årsverk 2017 og 2018</w:t>
      </w:r>
    </w:p>
    <w:p w:rsidR="00557A6F" w:rsidRDefault="00557A6F" w:rsidP="00557A6F">
      <w:pPr>
        <w:pStyle w:val="Tabellnavn"/>
      </w:pPr>
      <w:r>
        <w:t>05J2xt2</w:t>
      </w:r>
    </w:p>
    <w:tbl>
      <w:tblPr>
        <w:tblStyle w:val="StandardTabell"/>
        <w:tblW w:w="0" w:type="auto"/>
        <w:tblLayout w:type="fixed"/>
        <w:tblLook w:val="04A0" w:firstRow="1" w:lastRow="0" w:firstColumn="1" w:lastColumn="0" w:noHBand="0" w:noVBand="1"/>
      </w:tblPr>
      <w:tblGrid>
        <w:gridCol w:w="3900"/>
        <w:gridCol w:w="1400"/>
        <w:gridCol w:w="1400"/>
        <w:gridCol w:w="1400"/>
        <w:gridCol w:w="1400"/>
      </w:tblGrid>
      <w:tr w:rsidR="00557A6F" w:rsidTr="009017E2">
        <w:trPr>
          <w:trHeight w:val="360"/>
        </w:trPr>
        <w:tc>
          <w:tcPr>
            <w:tcW w:w="3900" w:type="dxa"/>
            <w:shd w:val="clear" w:color="auto" w:fill="FFFFFF"/>
          </w:tcPr>
          <w:p w:rsidR="00557A6F" w:rsidRDefault="00557A6F" w:rsidP="00557A6F"/>
        </w:tc>
        <w:tc>
          <w:tcPr>
            <w:tcW w:w="1400" w:type="dxa"/>
          </w:tcPr>
          <w:p w:rsidR="00557A6F" w:rsidRDefault="00557A6F" w:rsidP="00557A6F"/>
        </w:tc>
        <w:tc>
          <w:tcPr>
            <w:tcW w:w="4200" w:type="dxa"/>
            <w:gridSpan w:val="3"/>
          </w:tcPr>
          <w:p w:rsidR="00557A6F" w:rsidRDefault="00557A6F" w:rsidP="009017E2">
            <w:pPr>
              <w:jc w:val="right"/>
            </w:pPr>
            <w:r>
              <w:t>Kjønnsbalanse</w:t>
            </w:r>
          </w:p>
        </w:tc>
      </w:tr>
      <w:tr w:rsidR="00557A6F" w:rsidTr="009017E2">
        <w:trPr>
          <w:trHeight w:val="360"/>
        </w:trPr>
        <w:tc>
          <w:tcPr>
            <w:tcW w:w="3900" w:type="dxa"/>
          </w:tcPr>
          <w:p w:rsidR="00557A6F" w:rsidRDefault="00557A6F" w:rsidP="00557A6F"/>
        </w:tc>
        <w:tc>
          <w:tcPr>
            <w:tcW w:w="1400" w:type="dxa"/>
          </w:tcPr>
          <w:p w:rsidR="00557A6F" w:rsidRDefault="00557A6F" w:rsidP="00557A6F">
            <w:r>
              <w:t>År</w:t>
            </w:r>
          </w:p>
        </w:tc>
        <w:tc>
          <w:tcPr>
            <w:tcW w:w="1400" w:type="dxa"/>
          </w:tcPr>
          <w:p w:rsidR="00557A6F" w:rsidRDefault="00557A6F" w:rsidP="009017E2">
            <w:pPr>
              <w:jc w:val="right"/>
            </w:pPr>
            <w:r>
              <w:t>Andel menn</w:t>
            </w:r>
          </w:p>
        </w:tc>
        <w:tc>
          <w:tcPr>
            <w:tcW w:w="1400" w:type="dxa"/>
          </w:tcPr>
          <w:p w:rsidR="00557A6F" w:rsidRDefault="00557A6F" w:rsidP="009017E2">
            <w:pPr>
              <w:jc w:val="right"/>
            </w:pPr>
            <w:r>
              <w:t>Andel kvi</w:t>
            </w:r>
            <w:r>
              <w:t>n</w:t>
            </w:r>
            <w:r>
              <w:t>ner</w:t>
            </w:r>
          </w:p>
        </w:tc>
        <w:tc>
          <w:tcPr>
            <w:tcW w:w="1400" w:type="dxa"/>
          </w:tcPr>
          <w:p w:rsidR="00557A6F" w:rsidRDefault="00557A6F" w:rsidP="009017E2">
            <w:pPr>
              <w:jc w:val="right"/>
            </w:pPr>
            <w:r>
              <w:t>Totalt ansa</w:t>
            </w:r>
            <w:r>
              <w:t>t</w:t>
            </w:r>
            <w:r>
              <w:t>te</w:t>
            </w:r>
          </w:p>
        </w:tc>
      </w:tr>
      <w:tr w:rsidR="00557A6F" w:rsidTr="009017E2">
        <w:trPr>
          <w:trHeight w:val="380"/>
        </w:trPr>
        <w:tc>
          <w:tcPr>
            <w:tcW w:w="3900" w:type="dxa"/>
          </w:tcPr>
          <w:p w:rsidR="00557A6F" w:rsidRDefault="00557A6F" w:rsidP="00557A6F">
            <w:r>
              <w:t>Ansatte omfattet av Hovedtariffavt</w:t>
            </w:r>
            <w:r>
              <w:t>a</w:t>
            </w:r>
            <w:r>
              <w:t>len</w:t>
            </w:r>
            <w:r>
              <w:rPr>
                <w:rStyle w:val="skrift-hevet"/>
                <w:sz w:val="21"/>
                <w:szCs w:val="21"/>
              </w:rPr>
              <w:t>1</w:t>
            </w:r>
          </w:p>
        </w:tc>
        <w:tc>
          <w:tcPr>
            <w:tcW w:w="1400" w:type="dxa"/>
          </w:tcPr>
          <w:p w:rsidR="00557A6F" w:rsidRDefault="00557A6F" w:rsidP="00557A6F">
            <w:r>
              <w:t>2018</w:t>
            </w:r>
          </w:p>
        </w:tc>
        <w:tc>
          <w:tcPr>
            <w:tcW w:w="1400" w:type="dxa"/>
          </w:tcPr>
          <w:p w:rsidR="00557A6F" w:rsidRDefault="00557A6F" w:rsidP="009017E2">
            <w:pPr>
              <w:jc w:val="right"/>
            </w:pPr>
            <w:r>
              <w:t>50 %</w:t>
            </w:r>
          </w:p>
        </w:tc>
        <w:tc>
          <w:tcPr>
            <w:tcW w:w="1400" w:type="dxa"/>
          </w:tcPr>
          <w:p w:rsidR="00557A6F" w:rsidRDefault="00557A6F" w:rsidP="009017E2">
            <w:pPr>
              <w:jc w:val="right"/>
            </w:pPr>
            <w:r>
              <w:t>50 %</w:t>
            </w:r>
          </w:p>
        </w:tc>
        <w:tc>
          <w:tcPr>
            <w:tcW w:w="1400" w:type="dxa"/>
          </w:tcPr>
          <w:p w:rsidR="00557A6F" w:rsidRDefault="00557A6F" w:rsidP="009017E2">
            <w:pPr>
              <w:jc w:val="right"/>
            </w:pPr>
            <w:r>
              <w:t>154 520</w:t>
            </w:r>
          </w:p>
        </w:tc>
      </w:tr>
      <w:tr w:rsidR="00557A6F" w:rsidTr="009017E2">
        <w:trPr>
          <w:trHeight w:val="380"/>
        </w:trPr>
        <w:tc>
          <w:tcPr>
            <w:tcW w:w="3900" w:type="dxa"/>
          </w:tcPr>
          <w:p w:rsidR="00557A6F" w:rsidRDefault="00557A6F" w:rsidP="00557A6F"/>
        </w:tc>
        <w:tc>
          <w:tcPr>
            <w:tcW w:w="1400" w:type="dxa"/>
          </w:tcPr>
          <w:p w:rsidR="00557A6F" w:rsidRDefault="00557A6F" w:rsidP="00557A6F">
            <w:r>
              <w:t>2017</w:t>
            </w:r>
          </w:p>
        </w:tc>
        <w:tc>
          <w:tcPr>
            <w:tcW w:w="1400" w:type="dxa"/>
          </w:tcPr>
          <w:p w:rsidR="00557A6F" w:rsidRDefault="00557A6F" w:rsidP="009017E2">
            <w:pPr>
              <w:jc w:val="right"/>
            </w:pPr>
            <w:r>
              <w:t>50 %</w:t>
            </w:r>
          </w:p>
        </w:tc>
        <w:tc>
          <w:tcPr>
            <w:tcW w:w="1400" w:type="dxa"/>
          </w:tcPr>
          <w:p w:rsidR="00557A6F" w:rsidRDefault="00557A6F" w:rsidP="009017E2">
            <w:pPr>
              <w:jc w:val="right"/>
            </w:pPr>
            <w:r>
              <w:t>50 %</w:t>
            </w:r>
          </w:p>
        </w:tc>
        <w:tc>
          <w:tcPr>
            <w:tcW w:w="1400" w:type="dxa"/>
          </w:tcPr>
          <w:p w:rsidR="00557A6F" w:rsidRDefault="00557A6F" w:rsidP="009017E2">
            <w:pPr>
              <w:jc w:val="right"/>
            </w:pPr>
            <w:r>
              <w:t>154 398</w:t>
            </w:r>
          </w:p>
        </w:tc>
      </w:tr>
      <w:tr w:rsidR="00557A6F" w:rsidTr="009017E2">
        <w:trPr>
          <w:trHeight w:val="380"/>
        </w:trPr>
        <w:tc>
          <w:tcPr>
            <w:tcW w:w="3900" w:type="dxa"/>
          </w:tcPr>
          <w:p w:rsidR="00557A6F" w:rsidRDefault="00557A6F" w:rsidP="00557A6F">
            <w:r>
              <w:t>Ledere omfattet av Hovedtariffavtalen</w:t>
            </w:r>
            <w:r>
              <w:rPr>
                <w:rStyle w:val="skrift-hevet"/>
                <w:sz w:val="21"/>
                <w:szCs w:val="21"/>
              </w:rPr>
              <w:t>2</w:t>
            </w:r>
          </w:p>
        </w:tc>
        <w:tc>
          <w:tcPr>
            <w:tcW w:w="1400" w:type="dxa"/>
          </w:tcPr>
          <w:p w:rsidR="00557A6F" w:rsidRDefault="00557A6F" w:rsidP="00557A6F">
            <w:r>
              <w:t>2018</w:t>
            </w:r>
          </w:p>
        </w:tc>
        <w:tc>
          <w:tcPr>
            <w:tcW w:w="1400" w:type="dxa"/>
          </w:tcPr>
          <w:p w:rsidR="00557A6F" w:rsidRDefault="00557A6F" w:rsidP="009017E2">
            <w:pPr>
              <w:jc w:val="right"/>
            </w:pPr>
            <w:r>
              <w:t>46 %</w:t>
            </w:r>
          </w:p>
        </w:tc>
        <w:tc>
          <w:tcPr>
            <w:tcW w:w="1400" w:type="dxa"/>
          </w:tcPr>
          <w:p w:rsidR="00557A6F" w:rsidRDefault="00557A6F" w:rsidP="009017E2">
            <w:pPr>
              <w:jc w:val="right"/>
            </w:pPr>
            <w:r>
              <w:t>54 %</w:t>
            </w:r>
          </w:p>
        </w:tc>
        <w:tc>
          <w:tcPr>
            <w:tcW w:w="1400" w:type="dxa"/>
          </w:tcPr>
          <w:p w:rsidR="00557A6F" w:rsidRDefault="00557A6F" w:rsidP="009017E2">
            <w:pPr>
              <w:jc w:val="right"/>
            </w:pPr>
            <w:r>
              <w:t>15 650</w:t>
            </w:r>
          </w:p>
        </w:tc>
      </w:tr>
      <w:tr w:rsidR="00557A6F" w:rsidTr="009017E2">
        <w:trPr>
          <w:trHeight w:val="380"/>
        </w:trPr>
        <w:tc>
          <w:tcPr>
            <w:tcW w:w="3900" w:type="dxa"/>
          </w:tcPr>
          <w:p w:rsidR="00557A6F" w:rsidRDefault="00557A6F" w:rsidP="00557A6F"/>
        </w:tc>
        <w:tc>
          <w:tcPr>
            <w:tcW w:w="1400" w:type="dxa"/>
          </w:tcPr>
          <w:p w:rsidR="00557A6F" w:rsidRDefault="00557A6F" w:rsidP="00557A6F">
            <w:r>
              <w:t>2017</w:t>
            </w:r>
          </w:p>
        </w:tc>
        <w:tc>
          <w:tcPr>
            <w:tcW w:w="1400" w:type="dxa"/>
          </w:tcPr>
          <w:p w:rsidR="00557A6F" w:rsidRDefault="00557A6F" w:rsidP="009017E2">
            <w:pPr>
              <w:jc w:val="right"/>
            </w:pPr>
            <w:r>
              <w:t>47 %</w:t>
            </w:r>
          </w:p>
        </w:tc>
        <w:tc>
          <w:tcPr>
            <w:tcW w:w="1400" w:type="dxa"/>
          </w:tcPr>
          <w:p w:rsidR="00557A6F" w:rsidRDefault="00557A6F" w:rsidP="009017E2">
            <w:pPr>
              <w:jc w:val="right"/>
            </w:pPr>
            <w:r>
              <w:t>53 %</w:t>
            </w:r>
          </w:p>
        </w:tc>
        <w:tc>
          <w:tcPr>
            <w:tcW w:w="1400" w:type="dxa"/>
          </w:tcPr>
          <w:p w:rsidR="00557A6F" w:rsidRDefault="00557A6F" w:rsidP="009017E2">
            <w:pPr>
              <w:jc w:val="right"/>
            </w:pPr>
            <w:r>
              <w:t>15 468</w:t>
            </w:r>
          </w:p>
        </w:tc>
      </w:tr>
      <w:tr w:rsidR="00557A6F" w:rsidTr="009017E2">
        <w:trPr>
          <w:trHeight w:val="380"/>
        </w:trPr>
        <w:tc>
          <w:tcPr>
            <w:tcW w:w="3900" w:type="dxa"/>
          </w:tcPr>
          <w:p w:rsidR="00557A6F" w:rsidRDefault="00557A6F" w:rsidP="00557A6F">
            <w:r>
              <w:t>Leder omfattet av Lederlønnssystemet</w:t>
            </w:r>
            <w:r>
              <w:rPr>
                <w:rStyle w:val="skrift-hevet"/>
                <w:sz w:val="21"/>
                <w:szCs w:val="21"/>
              </w:rPr>
              <w:t>3</w:t>
            </w:r>
          </w:p>
        </w:tc>
        <w:tc>
          <w:tcPr>
            <w:tcW w:w="1400" w:type="dxa"/>
          </w:tcPr>
          <w:p w:rsidR="00557A6F" w:rsidRDefault="00557A6F" w:rsidP="00557A6F">
            <w:r>
              <w:t>2018</w:t>
            </w:r>
          </w:p>
        </w:tc>
        <w:tc>
          <w:tcPr>
            <w:tcW w:w="1400" w:type="dxa"/>
          </w:tcPr>
          <w:p w:rsidR="00557A6F" w:rsidRDefault="00557A6F" w:rsidP="009017E2">
            <w:pPr>
              <w:jc w:val="right"/>
            </w:pPr>
            <w:r>
              <w:t>63 %</w:t>
            </w:r>
          </w:p>
        </w:tc>
        <w:tc>
          <w:tcPr>
            <w:tcW w:w="1400" w:type="dxa"/>
          </w:tcPr>
          <w:p w:rsidR="00557A6F" w:rsidRDefault="00557A6F" w:rsidP="009017E2">
            <w:pPr>
              <w:jc w:val="right"/>
            </w:pPr>
            <w:r>
              <w:t>37 %</w:t>
            </w:r>
          </w:p>
        </w:tc>
        <w:tc>
          <w:tcPr>
            <w:tcW w:w="1400" w:type="dxa"/>
          </w:tcPr>
          <w:p w:rsidR="00557A6F" w:rsidRDefault="00557A6F" w:rsidP="009017E2">
            <w:pPr>
              <w:jc w:val="right"/>
            </w:pPr>
            <w:r>
              <w:t>242</w:t>
            </w:r>
          </w:p>
        </w:tc>
      </w:tr>
      <w:tr w:rsidR="00557A6F" w:rsidTr="009017E2">
        <w:trPr>
          <w:trHeight w:val="380"/>
        </w:trPr>
        <w:tc>
          <w:tcPr>
            <w:tcW w:w="3900" w:type="dxa"/>
          </w:tcPr>
          <w:p w:rsidR="00557A6F" w:rsidRDefault="00557A6F" w:rsidP="00557A6F"/>
        </w:tc>
        <w:tc>
          <w:tcPr>
            <w:tcW w:w="1400" w:type="dxa"/>
          </w:tcPr>
          <w:p w:rsidR="00557A6F" w:rsidRDefault="00557A6F" w:rsidP="00557A6F">
            <w:r>
              <w:t>2017</w:t>
            </w:r>
          </w:p>
        </w:tc>
        <w:tc>
          <w:tcPr>
            <w:tcW w:w="1400" w:type="dxa"/>
          </w:tcPr>
          <w:p w:rsidR="00557A6F" w:rsidRDefault="00557A6F" w:rsidP="009017E2">
            <w:pPr>
              <w:jc w:val="right"/>
            </w:pPr>
            <w:r>
              <w:t>66 %</w:t>
            </w:r>
          </w:p>
        </w:tc>
        <w:tc>
          <w:tcPr>
            <w:tcW w:w="1400" w:type="dxa"/>
          </w:tcPr>
          <w:p w:rsidR="00557A6F" w:rsidRDefault="00557A6F" w:rsidP="009017E2">
            <w:pPr>
              <w:jc w:val="right"/>
            </w:pPr>
            <w:r>
              <w:t>34 %</w:t>
            </w:r>
          </w:p>
        </w:tc>
        <w:tc>
          <w:tcPr>
            <w:tcW w:w="1400" w:type="dxa"/>
          </w:tcPr>
          <w:p w:rsidR="00557A6F" w:rsidRDefault="00557A6F" w:rsidP="009017E2">
            <w:pPr>
              <w:jc w:val="right"/>
            </w:pPr>
            <w:r>
              <w:t>248</w:t>
            </w:r>
          </w:p>
        </w:tc>
      </w:tr>
    </w:tbl>
    <w:p w:rsidR="00557A6F" w:rsidRDefault="00557A6F" w:rsidP="00557A6F">
      <w:pPr>
        <w:pStyle w:val="tabell-noter"/>
        <w:rPr>
          <w:rStyle w:val="skrift-hevet"/>
          <w:sz w:val="24"/>
          <w:szCs w:val="24"/>
        </w:rPr>
      </w:pPr>
      <w:r>
        <w:rPr>
          <w:rStyle w:val="skrift-hevet"/>
          <w:sz w:val="17"/>
          <w:szCs w:val="17"/>
        </w:rPr>
        <w:t>1</w:t>
      </w:r>
      <w:r>
        <w:t xml:space="preserve"> </w:t>
      </w:r>
      <w:r>
        <w:tab/>
        <w:t>Kilde: Statens lønnsstatistikk. Alle ansatte som omfattes av Hovedtariffavtalen per 1. oktober, unntatt toppledere og dommere på egne kontrakter, timelønte, overenskomstlønte og honorerte. Jernbaneverket og Den norske kirke er ikke lenger med i tarif</w:t>
      </w:r>
      <w:r>
        <w:t>f</w:t>
      </w:r>
      <w:r>
        <w:t xml:space="preserve">området. </w:t>
      </w:r>
    </w:p>
    <w:p w:rsidR="00557A6F" w:rsidRDefault="00557A6F" w:rsidP="00557A6F">
      <w:pPr>
        <w:pStyle w:val="tabell-noter"/>
        <w:rPr>
          <w:rStyle w:val="skrift-hevet"/>
          <w:sz w:val="24"/>
          <w:szCs w:val="24"/>
        </w:rPr>
      </w:pPr>
      <w:r>
        <w:rPr>
          <w:rStyle w:val="skrift-hevet"/>
          <w:sz w:val="17"/>
          <w:szCs w:val="17"/>
        </w:rPr>
        <w:t>2</w:t>
      </w:r>
      <w:r>
        <w:t xml:space="preserve"> </w:t>
      </w:r>
      <w:r>
        <w:tab/>
        <w:t xml:space="preserve">Kilde: Statens lønnsstatistikk. </w:t>
      </w:r>
    </w:p>
    <w:p w:rsidR="00557A6F" w:rsidRDefault="00557A6F" w:rsidP="00557A6F">
      <w:pPr>
        <w:pStyle w:val="tabell-noter"/>
        <w:rPr>
          <w:rFonts w:ascii="UniMyriad Regular" w:hAnsi="UniMyriad Regular" w:cs="UniMyriad Regular"/>
          <w:sz w:val="21"/>
          <w:szCs w:val="21"/>
        </w:rPr>
      </w:pPr>
      <w:r>
        <w:rPr>
          <w:rStyle w:val="skrift-hevet"/>
          <w:sz w:val="17"/>
          <w:szCs w:val="17"/>
        </w:rPr>
        <w:t>3</w:t>
      </w:r>
      <w:r>
        <w:t xml:space="preserve"> </w:t>
      </w:r>
      <w:r>
        <w:tab/>
        <w:t xml:space="preserve">Kilde: Innrapporterte opplysninger fra departementene per 31. desember 2017 og 31. desember 2018 inkluderer kun de som står oppført med lønn. </w:t>
      </w:r>
    </w:p>
    <w:p w:rsidR="00557A6F" w:rsidRDefault="00557A6F" w:rsidP="00557A6F">
      <w:r>
        <w:t>Yrkesdeltakelsen blant kvinner er betydelig høyere i Norge enn i mange andre land. Tabell 7.1 v</w:t>
      </w:r>
      <w:r>
        <w:t>i</w:t>
      </w:r>
      <w:r>
        <w:t xml:space="preserve">ser at blant alle ansatte som er omfattet av Hovedtariffavtalen er det like mange menn som kvinner i staten. Blant ledere og medarbeidere i ledende stillinger som er omfattet av Hovedtariffavtalene er det også om lag like mange menn som kvinner. Blant ledere som er omfattet av lederlønnssystemet er det en overvekt av menn. En del av forskjellene mellom menn og kvinner skyldes ulike livs- og karrierevalg. </w:t>
      </w:r>
    </w:p>
    <w:p w:rsidR="00557A6F" w:rsidRDefault="00557A6F" w:rsidP="00557A6F">
      <w:r>
        <w:t xml:space="preserve">Langt på vei er det lik lønn for likt arbeid i staten, men i en del yrker er </w:t>
      </w:r>
      <w:proofErr w:type="gramStart"/>
      <w:r>
        <w:t>det</w:t>
      </w:r>
      <w:proofErr w:type="gramEnd"/>
      <w:r>
        <w:t xml:space="preserve"> langt flere </w:t>
      </w:r>
      <w:proofErr w:type="gramStart"/>
      <w:r>
        <w:t>menn</w:t>
      </w:r>
      <w:proofErr w:type="gramEnd"/>
      <w:r>
        <w:t>, og i en del yrker er det langt flere kvinner. I tabell 7.2 framgår lønnsnivå for menn og kvinner for ulike yrkesk</w:t>
      </w:r>
      <w:r>
        <w:t>o</w:t>
      </w:r>
      <w:r>
        <w:lastRenderedPageBreak/>
        <w:t>der. Kvinners andel av menns lønn er høyere innenfor hver yrkeskode enn kvinners andel av menns lønn for hele statssektoren. Det kommer av at kvinner tradisjonelt har vært i lavere lø</w:t>
      </w:r>
      <w:r>
        <w:t>n</w:t>
      </w:r>
      <w:r>
        <w:t>nede stillinger. Generelt sett er en del av disse struktu</w:t>
      </w:r>
      <w:r>
        <w:t>r</w:t>
      </w:r>
      <w:r>
        <w:t xml:space="preserve">forskjellene i ferd med å endre seg, fordi flere kvinner nå rekrutteres til høyere betalte stillinger. </w:t>
      </w:r>
    </w:p>
    <w:p w:rsidR="009017E2" w:rsidRDefault="009017E2" w:rsidP="009017E2">
      <w:pPr>
        <w:pStyle w:val="tabell-tittel"/>
      </w:pPr>
      <w:r>
        <w:t>Antall menn og kvinner og gjennomsnittlig lønn i utvalgte yrkeskoder</w:t>
      </w:r>
    </w:p>
    <w:p w:rsidR="00557A6F" w:rsidRDefault="00557A6F" w:rsidP="00557A6F">
      <w:pPr>
        <w:pStyle w:val="Tabellnavn"/>
      </w:pPr>
      <w:r>
        <w:t>08J2xt2</w:t>
      </w:r>
    </w:p>
    <w:tbl>
      <w:tblPr>
        <w:tblStyle w:val="StandardTabell"/>
        <w:tblW w:w="0" w:type="auto"/>
        <w:tblLayout w:type="fixed"/>
        <w:tblLook w:val="04A0" w:firstRow="1" w:lastRow="0" w:firstColumn="1" w:lastColumn="0" w:noHBand="0" w:noVBand="1"/>
      </w:tblPr>
      <w:tblGrid>
        <w:gridCol w:w="2660"/>
        <w:gridCol w:w="680"/>
        <w:gridCol w:w="880"/>
        <w:gridCol w:w="880"/>
        <w:gridCol w:w="880"/>
        <w:gridCol w:w="1320"/>
        <w:gridCol w:w="880"/>
        <w:gridCol w:w="1320"/>
      </w:tblGrid>
      <w:tr w:rsidR="00557A6F" w:rsidTr="009017E2">
        <w:trPr>
          <w:trHeight w:val="360"/>
        </w:trPr>
        <w:tc>
          <w:tcPr>
            <w:tcW w:w="2660" w:type="dxa"/>
            <w:shd w:val="clear" w:color="auto" w:fill="FFFFFF"/>
          </w:tcPr>
          <w:p w:rsidR="00557A6F" w:rsidRDefault="00557A6F" w:rsidP="00557A6F"/>
        </w:tc>
        <w:tc>
          <w:tcPr>
            <w:tcW w:w="680" w:type="dxa"/>
          </w:tcPr>
          <w:p w:rsidR="00557A6F" w:rsidRDefault="00557A6F" w:rsidP="00557A6F"/>
        </w:tc>
        <w:tc>
          <w:tcPr>
            <w:tcW w:w="2640" w:type="dxa"/>
            <w:gridSpan w:val="3"/>
          </w:tcPr>
          <w:p w:rsidR="00557A6F" w:rsidRDefault="00557A6F" w:rsidP="009017E2">
            <w:pPr>
              <w:jc w:val="center"/>
            </w:pPr>
            <w:r>
              <w:t>Kjønnsbalanse</w:t>
            </w:r>
          </w:p>
        </w:tc>
        <w:tc>
          <w:tcPr>
            <w:tcW w:w="3520" w:type="dxa"/>
            <w:gridSpan w:val="3"/>
          </w:tcPr>
          <w:p w:rsidR="00557A6F" w:rsidRDefault="00557A6F" w:rsidP="009017E2">
            <w:pPr>
              <w:jc w:val="center"/>
            </w:pPr>
            <w:r>
              <w:t>Lønn</w:t>
            </w:r>
          </w:p>
        </w:tc>
      </w:tr>
      <w:tr w:rsidR="00557A6F" w:rsidTr="009017E2">
        <w:trPr>
          <w:trHeight w:val="860"/>
        </w:trPr>
        <w:tc>
          <w:tcPr>
            <w:tcW w:w="2660" w:type="dxa"/>
          </w:tcPr>
          <w:p w:rsidR="00557A6F" w:rsidRDefault="00557A6F" w:rsidP="00557A6F">
            <w:r>
              <w:t>Yrkeskode</w:t>
            </w:r>
          </w:p>
        </w:tc>
        <w:tc>
          <w:tcPr>
            <w:tcW w:w="680" w:type="dxa"/>
          </w:tcPr>
          <w:p w:rsidR="00557A6F" w:rsidRDefault="00557A6F" w:rsidP="00557A6F">
            <w:r>
              <w:t>År</w:t>
            </w:r>
          </w:p>
        </w:tc>
        <w:tc>
          <w:tcPr>
            <w:tcW w:w="880" w:type="dxa"/>
          </w:tcPr>
          <w:p w:rsidR="00557A6F" w:rsidRDefault="00557A6F" w:rsidP="009017E2">
            <w:pPr>
              <w:jc w:val="right"/>
            </w:pPr>
            <w:r>
              <w:t>Antall menn</w:t>
            </w:r>
          </w:p>
        </w:tc>
        <w:tc>
          <w:tcPr>
            <w:tcW w:w="880" w:type="dxa"/>
          </w:tcPr>
          <w:p w:rsidR="00557A6F" w:rsidRDefault="00557A6F" w:rsidP="009017E2">
            <w:pPr>
              <w:jc w:val="right"/>
            </w:pPr>
            <w:r>
              <w:t>Antall kvi</w:t>
            </w:r>
            <w:r>
              <w:t>n</w:t>
            </w:r>
            <w:r>
              <w:t>ner</w:t>
            </w:r>
          </w:p>
        </w:tc>
        <w:tc>
          <w:tcPr>
            <w:tcW w:w="880" w:type="dxa"/>
          </w:tcPr>
          <w:p w:rsidR="00557A6F" w:rsidRDefault="00557A6F" w:rsidP="009017E2">
            <w:pPr>
              <w:jc w:val="right"/>
            </w:pPr>
            <w:r>
              <w:t xml:space="preserve">Totalt </w:t>
            </w:r>
            <w:r>
              <w:br/>
              <w:t>ansatte</w:t>
            </w:r>
          </w:p>
        </w:tc>
        <w:tc>
          <w:tcPr>
            <w:tcW w:w="1320" w:type="dxa"/>
          </w:tcPr>
          <w:p w:rsidR="00557A6F" w:rsidRDefault="00557A6F" w:rsidP="009017E2">
            <w:pPr>
              <w:jc w:val="right"/>
            </w:pPr>
            <w:r>
              <w:t xml:space="preserve">Menn, </w:t>
            </w:r>
            <w:r>
              <w:br/>
              <w:t>lønn</w:t>
            </w:r>
          </w:p>
        </w:tc>
        <w:tc>
          <w:tcPr>
            <w:tcW w:w="880" w:type="dxa"/>
          </w:tcPr>
          <w:p w:rsidR="00557A6F" w:rsidRDefault="00557A6F" w:rsidP="009017E2">
            <w:pPr>
              <w:jc w:val="right"/>
            </w:pPr>
            <w:r>
              <w:t>Kvi</w:t>
            </w:r>
            <w:r>
              <w:t>n</w:t>
            </w:r>
            <w:r>
              <w:t>ner, lønn</w:t>
            </w:r>
          </w:p>
        </w:tc>
        <w:tc>
          <w:tcPr>
            <w:tcW w:w="1320" w:type="dxa"/>
          </w:tcPr>
          <w:p w:rsidR="00557A6F" w:rsidRDefault="00557A6F" w:rsidP="009017E2">
            <w:pPr>
              <w:jc w:val="right"/>
            </w:pPr>
            <w:r>
              <w:t xml:space="preserve">Kvinners </w:t>
            </w:r>
            <w:r>
              <w:br/>
              <w:t>andel av menns lønn</w:t>
            </w:r>
          </w:p>
        </w:tc>
      </w:tr>
      <w:tr w:rsidR="00557A6F" w:rsidTr="009017E2">
        <w:trPr>
          <w:trHeight w:val="380"/>
        </w:trPr>
        <w:tc>
          <w:tcPr>
            <w:tcW w:w="2660" w:type="dxa"/>
          </w:tcPr>
          <w:p w:rsidR="00557A6F" w:rsidRDefault="00557A6F" w:rsidP="00557A6F">
            <w:r>
              <w:t>Rådgiver</w:t>
            </w:r>
          </w:p>
        </w:tc>
        <w:tc>
          <w:tcPr>
            <w:tcW w:w="680" w:type="dxa"/>
          </w:tcPr>
          <w:p w:rsidR="00557A6F" w:rsidRDefault="00557A6F" w:rsidP="00557A6F">
            <w:r>
              <w:t>2018</w:t>
            </w:r>
          </w:p>
        </w:tc>
        <w:tc>
          <w:tcPr>
            <w:tcW w:w="880" w:type="dxa"/>
          </w:tcPr>
          <w:p w:rsidR="00557A6F" w:rsidRDefault="00557A6F" w:rsidP="009017E2">
            <w:pPr>
              <w:jc w:val="right"/>
            </w:pPr>
            <w:r>
              <w:t>4 520</w:t>
            </w:r>
          </w:p>
        </w:tc>
        <w:tc>
          <w:tcPr>
            <w:tcW w:w="880" w:type="dxa"/>
          </w:tcPr>
          <w:p w:rsidR="00557A6F" w:rsidRDefault="00557A6F" w:rsidP="009017E2">
            <w:pPr>
              <w:jc w:val="right"/>
            </w:pPr>
            <w:r>
              <w:t>9 077</w:t>
            </w:r>
          </w:p>
        </w:tc>
        <w:tc>
          <w:tcPr>
            <w:tcW w:w="880" w:type="dxa"/>
          </w:tcPr>
          <w:p w:rsidR="00557A6F" w:rsidRDefault="00557A6F" w:rsidP="009017E2">
            <w:pPr>
              <w:jc w:val="right"/>
            </w:pPr>
            <w:r>
              <w:t>13 597</w:t>
            </w:r>
          </w:p>
        </w:tc>
        <w:tc>
          <w:tcPr>
            <w:tcW w:w="1320" w:type="dxa"/>
          </w:tcPr>
          <w:p w:rsidR="00557A6F" w:rsidRDefault="00557A6F" w:rsidP="009017E2">
            <w:pPr>
              <w:jc w:val="right"/>
            </w:pPr>
            <w:r>
              <w:t>46 059</w:t>
            </w:r>
          </w:p>
        </w:tc>
        <w:tc>
          <w:tcPr>
            <w:tcW w:w="880" w:type="dxa"/>
          </w:tcPr>
          <w:p w:rsidR="00557A6F" w:rsidRDefault="00557A6F" w:rsidP="009017E2">
            <w:pPr>
              <w:jc w:val="right"/>
            </w:pPr>
            <w:r>
              <w:t>43 291</w:t>
            </w:r>
          </w:p>
        </w:tc>
        <w:tc>
          <w:tcPr>
            <w:tcW w:w="1320" w:type="dxa"/>
          </w:tcPr>
          <w:p w:rsidR="00557A6F" w:rsidRDefault="00557A6F" w:rsidP="009017E2">
            <w:pPr>
              <w:jc w:val="right"/>
            </w:pPr>
            <w:r>
              <w:t>94 %</w:t>
            </w:r>
          </w:p>
        </w:tc>
      </w:tr>
      <w:tr w:rsidR="00557A6F" w:rsidTr="009017E2">
        <w:trPr>
          <w:trHeight w:val="380"/>
        </w:trPr>
        <w:tc>
          <w:tcPr>
            <w:tcW w:w="2660" w:type="dxa"/>
          </w:tcPr>
          <w:p w:rsidR="00557A6F" w:rsidRDefault="00557A6F" w:rsidP="00557A6F"/>
        </w:tc>
        <w:tc>
          <w:tcPr>
            <w:tcW w:w="680" w:type="dxa"/>
          </w:tcPr>
          <w:p w:rsidR="00557A6F" w:rsidRDefault="00557A6F" w:rsidP="00557A6F">
            <w:r>
              <w:t>2017</w:t>
            </w:r>
          </w:p>
        </w:tc>
        <w:tc>
          <w:tcPr>
            <w:tcW w:w="880" w:type="dxa"/>
          </w:tcPr>
          <w:p w:rsidR="00557A6F" w:rsidRDefault="00557A6F" w:rsidP="009017E2">
            <w:pPr>
              <w:jc w:val="right"/>
            </w:pPr>
            <w:r>
              <w:t>4 550</w:t>
            </w:r>
          </w:p>
        </w:tc>
        <w:tc>
          <w:tcPr>
            <w:tcW w:w="880" w:type="dxa"/>
          </w:tcPr>
          <w:p w:rsidR="00557A6F" w:rsidRDefault="00557A6F" w:rsidP="009017E2">
            <w:pPr>
              <w:jc w:val="right"/>
            </w:pPr>
            <w:r>
              <w:t>9 012</w:t>
            </w:r>
          </w:p>
        </w:tc>
        <w:tc>
          <w:tcPr>
            <w:tcW w:w="880" w:type="dxa"/>
          </w:tcPr>
          <w:p w:rsidR="00557A6F" w:rsidRDefault="00557A6F" w:rsidP="009017E2">
            <w:pPr>
              <w:jc w:val="right"/>
            </w:pPr>
            <w:r>
              <w:t>13 562</w:t>
            </w:r>
          </w:p>
        </w:tc>
        <w:tc>
          <w:tcPr>
            <w:tcW w:w="1320" w:type="dxa"/>
          </w:tcPr>
          <w:p w:rsidR="00557A6F" w:rsidRDefault="00557A6F" w:rsidP="009017E2">
            <w:pPr>
              <w:jc w:val="right"/>
            </w:pPr>
            <w:r>
              <w:t>45 218</w:t>
            </w:r>
          </w:p>
        </w:tc>
        <w:tc>
          <w:tcPr>
            <w:tcW w:w="880" w:type="dxa"/>
          </w:tcPr>
          <w:p w:rsidR="00557A6F" w:rsidRDefault="00557A6F" w:rsidP="009017E2">
            <w:pPr>
              <w:jc w:val="right"/>
            </w:pPr>
            <w:r>
              <w:t>42 516</w:t>
            </w:r>
          </w:p>
        </w:tc>
        <w:tc>
          <w:tcPr>
            <w:tcW w:w="1320" w:type="dxa"/>
          </w:tcPr>
          <w:p w:rsidR="00557A6F" w:rsidRDefault="00557A6F" w:rsidP="009017E2">
            <w:pPr>
              <w:jc w:val="right"/>
            </w:pPr>
            <w:r>
              <w:t>94 %</w:t>
            </w:r>
          </w:p>
        </w:tc>
      </w:tr>
      <w:tr w:rsidR="00557A6F" w:rsidTr="009017E2">
        <w:trPr>
          <w:trHeight w:val="380"/>
        </w:trPr>
        <w:tc>
          <w:tcPr>
            <w:tcW w:w="2660" w:type="dxa"/>
          </w:tcPr>
          <w:p w:rsidR="00557A6F" w:rsidRDefault="00557A6F" w:rsidP="00557A6F">
            <w:r>
              <w:t>Seniorrådgiver</w:t>
            </w:r>
          </w:p>
        </w:tc>
        <w:tc>
          <w:tcPr>
            <w:tcW w:w="680" w:type="dxa"/>
          </w:tcPr>
          <w:p w:rsidR="00557A6F" w:rsidRDefault="00557A6F" w:rsidP="00557A6F">
            <w:r>
              <w:t>2018</w:t>
            </w:r>
          </w:p>
        </w:tc>
        <w:tc>
          <w:tcPr>
            <w:tcW w:w="880" w:type="dxa"/>
          </w:tcPr>
          <w:p w:rsidR="00557A6F" w:rsidRDefault="00557A6F" w:rsidP="009017E2">
            <w:pPr>
              <w:jc w:val="right"/>
            </w:pPr>
            <w:r>
              <w:t>5 290</w:t>
            </w:r>
          </w:p>
        </w:tc>
        <w:tc>
          <w:tcPr>
            <w:tcW w:w="880" w:type="dxa"/>
          </w:tcPr>
          <w:p w:rsidR="00557A6F" w:rsidRDefault="00557A6F" w:rsidP="009017E2">
            <w:pPr>
              <w:jc w:val="right"/>
            </w:pPr>
            <w:r>
              <w:t>6 458</w:t>
            </w:r>
          </w:p>
        </w:tc>
        <w:tc>
          <w:tcPr>
            <w:tcW w:w="880" w:type="dxa"/>
          </w:tcPr>
          <w:p w:rsidR="00557A6F" w:rsidRDefault="00557A6F" w:rsidP="009017E2">
            <w:pPr>
              <w:jc w:val="right"/>
            </w:pPr>
            <w:r>
              <w:t>11 748</w:t>
            </w:r>
          </w:p>
        </w:tc>
        <w:tc>
          <w:tcPr>
            <w:tcW w:w="1320" w:type="dxa"/>
          </w:tcPr>
          <w:p w:rsidR="00557A6F" w:rsidRDefault="00557A6F" w:rsidP="009017E2">
            <w:pPr>
              <w:jc w:val="right"/>
            </w:pPr>
            <w:r>
              <w:t>55 524</w:t>
            </w:r>
          </w:p>
        </w:tc>
        <w:tc>
          <w:tcPr>
            <w:tcW w:w="880" w:type="dxa"/>
          </w:tcPr>
          <w:p w:rsidR="00557A6F" w:rsidRDefault="00557A6F" w:rsidP="009017E2">
            <w:pPr>
              <w:jc w:val="right"/>
            </w:pPr>
            <w:r>
              <w:t>52 209</w:t>
            </w:r>
          </w:p>
        </w:tc>
        <w:tc>
          <w:tcPr>
            <w:tcW w:w="1320" w:type="dxa"/>
          </w:tcPr>
          <w:p w:rsidR="00557A6F" w:rsidRDefault="00557A6F" w:rsidP="009017E2">
            <w:pPr>
              <w:jc w:val="right"/>
            </w:pPr>
            <w:r>
              <w:t>94 %</w:t>
            </w:r>
          </w:p>
        </w:tc>
      </w:tr>
      <w:tr w:rsidR="00557A6F" w:rsidTr="009017E2">
        <w:trPr>
          <w:trHeight w:val="380"/>
        </w:trPr>
        <w:tc>
          <w:tcPr>
            <w:tcW w:w="2660" w:type="dxa"/>
          </w:tcPr>
          <w:p w:rsidR="00557A6F" w:rsidRDefault="00557A6F" w:rsidP="00557A6F"/>
        </w:tc>
        <w:tc>
          <w:tcPr>
            <w:tcW w:w="680" w:type="dxa"/>
          </w:tcPr>
          <w:p w:rsidR="00557A6F" w:rsidRDefault="00557A6F" w:rsidP="00557A6F">
            <w:r>
              <w:t>2017</w:t>
            </w:r>
          </w:p>
        </w:tc>
        <w:tc>
          <w:tcPr>
            <w:tcW w:w="880" w:type="dxa"/>
          </w:tcPr>
          <w:p w:rsidR="00557A6F" w:rsidRDefault="00557A6F" w:rsidP="009017E2">
            <w:pPr>
              <w:jc w:val="right"/>
            </w:pPr>
            <w:r>
              <w:t>5 120</w:t>
            </w:r>
          </w:p>
        </w:tc>
        <w:tc>
          <w:tcPr>
            <w:tcW w:w="880" w:type="dxa"/>
          </w:tcPr>
          <w:p w:rsidR="00557A6F" w:rsidRDefault="00557A6F" w:rsidP="009017E2">
            <w:pPr>
              <w:jc w:val="right"/>
            </w:pPr>
            <w:r>
              <w:t>6 121</w:t>
            </w:r>
          </w:p>
        </w:tc>
        <w:tc>
          <w:tcPr>
            <w:tcW w:w="880" w:type="dxa"/>
          </w:tcPr>
          <w:p w:rsidR="00557A6F" w:rsidRDefault="00557A6F" w:rsidP="009017E2">
            <w:pPr>
              <w:jc w:val="right"/>
            </w:pPr>
            <w:r>
              <w:t>11 241</w:t>
            </w:r>
          </w:p>
        </w:tc>
        <w:tc>
          <w:tcPr>
            <w:tcW w:w="1320" w:type="dxa"/>
          </w:tcPr>
          <w:p w:rsidR="00557A6F" w:rsidRDefault="00557A6F" w:rsidP="009017E2">
            <w:pPr>
              <w:jc w:val="right"/>
            </w:pPr>
            <w:r>
              <w:t>54 279</w:t>
            </w:r>
          </w:p>
        </w:tc>
        <w:tc>
          <w:tcPr>
            <w:tcW w:w="880" w:type="dxa"/>
          </w:tcPr>
          <w:p w:rsidR="00557A6F" w:rsidRDefault="00557A6F" w:rsidP="009017E2">
            <w:pPr>
              <w:jc w:val="right"/>
            </w:pPr>
            <w:r>
              <w:t>51 437</w:t>
            </w:r>
          </w:p>
        </w:tc>
        <w:tc>
          <w:tcPr>
            <w:tcW w:w="1320" w:type="dxa"/>
          </w:tcPr>
          <w:p w:rsidR="00557A6F" w:rsidRDefault="00557A6F" w:rsidP="009017E2">
            <w:pPr>
              <w:jc w:val="right"/>
            </w:pPr>
            <w:r>
              <w:t>95 %</w:t>
            </w:r>
          </w:p>
        </w:tc>
      </w:tr>
      <w:tr w:rsidR="00557A6F" w:rsidTr="009017E2">
        <w:trPr>
          <w:trHeight w:val="380"/>
        </w:trPr>
        <w:tc>
          <w:tcPr>
            <w:tcW w:w="2660" w:type="dxa"/>
          </w:tcPr>
          <w:p w:rsidR="00557A6F" w:rsidRDefault="00557A6F" w:rsidP="00557A6F">
            <w:r>
              <w:t>Renholder</w:t>
            </w:r>
          </w:p>
        </w:tc>
        <w:tc>
          <w:tcPr>
            <w:tcW w:w="680" w:type="dxa"/>
          </w:tcPr>
          <w:p w:rsidR="00557A6F" w:rsidRDefault="00557A6F" w:rsidP="00557A6F">
            <w:r>
              <w:t>2018</w:t>
            </w:r>
          </w:p>
        </w:tc>
        <w:tc>
          <w:tcPr>
            <w:tcW w:w="880" w:type="dxa"/>
          </w:tcPr>
          <w:p w:rsidR="00557A6F" w:rsidRDefault="00557A6F" w:rsidP="009017E2">
            <w:pPr>
              <w:jc w:val="right"/>
            </w:pPr>
            <w:r>
              <w:t>139</w:t>
            </w:r>
          </w:p>
        </w:tc>
        <w:tc>
          <w:tcPr>
            <w:tcW w:w="880" w:type="dxa"/>
          </w:tcPr>
          <w:p w:rsidR="00557A6F" w:rsidRDefault="00557A6F" w:rsidP="009017E2">
            <w:pPr>
              <w:jc w:val="right"/>
            </w:pPr>
            <w:r>
              <w:t>987</w:t>
            </w:r>
          </w:p>
        </w:tc>
        <w:tc>
          <w:tcPr>
            <w:tcW w:w="880" w:type="dxa"/>
          </w:tcPr>
          <w:p w:rsidR="00557A6F" w:rsidRDefault="00557A6F" w:rsidP="009017E2">
            <w:pPr>
              <w:jc w:val="right"/>
            </w:pPr>
            <w:r>
              <w:t>1 126</w:t>
            </w:r>
          </w:p>
        </w:tc>
        <w:tc>
          <w:tcPr>
            <w:tcW w:w="1320" w:type="dxa"/>
          </w:tcPr>
          <w:p w:rsidR="00557A6F" w:rsidRDefault="00557A6F" w:rsidP="009017E2">
            <w:pPr>
              <w:jc w:val="right"/>
            </w:pPr>
            <w:r>
              <w:t>33 339</w:t>
            </w:r>
          </w:p>
        </w:tc>
        <w:tc>
          <w:tcPr>
            <w:tcW w:w="880" w:type="dxa"/>
          </w:tcPr>
          <w:p w:rsidR="00557A6F" w:rsidRDefault="00557A6F" w:rsidP="009017E2">
            <w:pPr>
              <w:jc w:val="right"/>
            </w:pPr>
            <w:r>
              <w:t>32 712</w:t>
            </w:r>
          </w:p>
        </w:tc>
        <w:tc>
          <w:tcPr>
            <w:tcW w:w="1320" w:type="dxa"/>
          </w:tcPr>
          <w:p w:rsidR="00557A6F" w:rsidRDefault="00557A6F" w:rsidP="009017E2">
            <w:pPr>
              <w:jc w:val="right"/>
            </w:pPr>
            <w:r>
              <w:t>98 %</w:t>
            </w:r>
          </w:p>
        </w:tc>
      </w:tr>
      <w:tr w:rsidR="00557A6F" w:rsidTr="009017E2">
        <w:trPr>
          <w:trHeight w:val="380"/>
        </w:trPr>
        <w:tc>
          <w:tcPr>
            <w:tcW w:w="2660" w:type="dxa"/>
          </w:tcPr>
          <w:p w:rsidR="00557A6F" w:rsidRDefault="00557A6F" w:rsidP="00557A6F"/>
        </w:tc>
        <w:tc>
          <w:tcPr>
            <w:tcW w:w="680" w:type="dxa"/>
          </w:tcPr>
          <w:p w:rsidR="00557A6F" w:rsidRDefault="00557A6F" w:rsidP="00557A6F">
            <w:r>
              <w:t>2017</w:t>
            </w:r>
          </w:p>
        </w:tc>
        <w:tc>
          <w:tcPr>
            <w:tcW w:w="880" w:type="dxa"/>
          </w:tcPr>
          <w:p w:rsidR="00557A6F" w:rsidRDefault="00557A6F" w:rsidP="009017E2">
            <w:pPr>
              <w:jc w:val="right"/>
            </w:pPr>
            <w:r>
              <w:t>142</w:t>
            </w:r>
          </w:p>
        </w:tc>
        <w:tc>
          <w:tcPr>
            <w:tcW w:w="880" w:type="dxa"/>
          </w:tcPr>
          <w:p w:rsidR="00557A6F" w:rsidRDefault="00557A6F" w:rsidP="009017E2">
            <w:pPr>
              <w:jc w:val="right"/>
            </w:pPr>
            <w:r>
              <w:t>1 048</w:t>
            </w:r>
          </w:p>
        </w:tc>
        <w:tc>
          <w:tcPr>
            <w:tcW w:w="880" w:type="dxa"/>
          </w:tcPr>
          <w:p w:rsidR="00557A6F" w:rsidRDefault="00557A6F" w:rsidP="009017E2">
            <w:pPr>
              <w:jc w:val="right"/>
            </w:pPr>
            <w:r>
              <w:t>1 190</w:t>
            </w:r>
          </w:p>
        </w:tc>
        <w:tc>
          <w:tcPr>
            <w:tcW w:w="1320" w:type="dxa"/>
          </w:tcPr>
          <w:p w:rsidR="00557A6F" w:rsidRDefault="00557A6F" w:rsidP="009017E2">
            <w:pPr>
              <w:jc w:val="right"/>
            </w:pPr>
            <w:r>
              <w:t>32 153</w:t>
            </w:r>
          </w:p>
        </w:tc>
        <w:tc>
          <w:tcPr>
            <w:tcW w:w="880" w:type="dxa"/>
          </w:tcPr>
          <w:p w:rsidR="00557A6F" w:rsidRDefault="00557A6F" w:rsidP="009017E2">
            <w:pPr>
              <w:jc w:val="right"/>
            </w:pPr>
            <w:r>
              <w:t>31 846</w:t>
            </w:r>
          </w:p>
        </w:tc>
        <w:tc>
          <w:tcPr>
            <w:tcW w:w="1320" w:type="dxa"/>
          </w:tcPr>
          <w:p w:rsidR="00557A6F" w:rsidRDefault="00557A6F" w:rsidP="009017E2">
            <w:pPr>
              <w:jc w:val="right"/>
            </w:pPr>
            <w:r>
              <w:t>99 %</w:t>
            </w:r>
          </w:p>
        </w:tc>
      </w:tr>
      <w:tr w:rsidR="00557A6F" w:rsidTr="009017E2">
        <w:trPr>
          <w:trHeight w:val="380"/>
        </w:trPr>
        <w:tc>
          <w:tcPr>
            <w:tcW w:w="2660" w:type="dxa"/>
          </w:tcPr>
          <w:p w:rsidR="00557A6F" w:rsidRDefault="00557A6F" w:rsidP="00557A6F">
            <w:r>
              <w:t>Ingeniør, høyskole</w:t>
            </w:r>
          </w:p>
        </w:tc>
        <w:tc>
          <w:tcPr>
            <w:tcW w:w="680" w:type="dxa"/>
          </w:tcPr>
          <w:p w:rsidR="00557A6F" w:rsidRDefault="00557A6F" w:rsidP="00557A6F">
            <w:r>
              <w:t>2018</w:t>
            </w:r>
          </w:p>
        </w:tc>
        <w:tc>
          <w:tcPr>
            <w:tcW w:w="880" w:type="dxa"/>
          </w:tcPr>
          <w:p w:rsidR="00557A6F" w:rsidRDefault="00557A6F" w:rsidP="009017E2">
            <w:pPr>
              <w:jc w:val="right"/>
            </w:pPr>
            <w:r>
              <w:t>2 838</w:t>
            </w:r>
          </w:p>
        </w:tc>
        <w:tc>
          <w:tcPr>
            <w:tcW w:w="880" w:type="dxa"/>
          </w:tcPr>
          <w:p w:rsidR="00557A6F" w:rsidRDefault="00557A6F" w:rsidP="009017E2">
            <w:pPr>
              <w:jc w:val="right"/>
            </w:pPr>
            <w:r>
              <w:t>1 365</w:t>
            </w:r>
          </w:p>
        </w:tc>
        <w:tc>
          <w:tcPr>
            <w:tcW w:w="880" w:type="dxa"/>
          </w:tcPr>
          <w:p w:rsidR="00557A6F" w:rsidRDefault="00557A6F" w:rsidP="009017E2">
            <w:pPr>
              <w:jc w:val="right"/>
            </w:pPr>
            <w:r>
              <w:t>4 203</w:t>
            </w:r>
          </w:p>
        </w:tc>
        <w:tc>
          <w:tcPr>
            <w:tcW w:w="1320" w:type="dxa"/>
          </w:tcPr>
          <w:p w:rsidR="00557A6F" w:rsidRDefault="00557A6F" w:rsidP="009017E2">
            <w:pPr>
              <w:jc w:val="right"/>
            </w:pPr>
            <w:r>
              <w:t>46 752</w:t>
            </w:r>
          </w:p>
        </w:tc>
        <w:tc>
          <w:tcPr>
            <w:tcW w:w="880" w:type="dxa"/>
          </w:tcPr>
          <w:p w:rsidR="00557A6F" w:rsidRDefault="00557A6F" w:rsidP="009017E2">
            <w:pPr>
              <w:jc w:val="right"/>
            </w:pPr>
            <w:r>
              <w:t>42 163</w:t>
            </w:r>
          </w:p>
        </w:tc>
        <w:tc>
          <w:tcPr>
            <w:tcW w:w="1320" w:type="dxa"/>
          </w:tcPr>
          <w:p w:rsidR="00557A6F" w:rsidRDefault="00557A6F" w:rsidP="009017E2">
            <w:pPr>
              <w:jc w:val="right"/>
            </w:pPr>
            <w:r>
              <w:t>90 %</w:t>
            </w:r>
          </w:p>
        </w:tc>
      </w:tr>
      <w:tr w:rsidR="00557A6F" w:rsidTr="009017E2">
        <w:trPr>
          <w:trHeight w:val="380"/>
        </w:trPr>
        <w:tc>
          <w:tcPr>
            <w:tcW w:w="2660" w:type="dxa"/>
          </w:tcPr>
          <w:p w:rsidR="00557A6F" w:rsidRDefault="00557A6F" w:rsidP="00557A6F"/>
        </w:tc>
        <w:tc>
          <w:tcPr>
            <w:tcW w:w="680" w:type="dxa"/>
          </w:tcPr>
          <w:p w:rsidR="00557A6F" w:rsidRDefault="00557A6F" w:rsidP="00557A6F">
            <w:r>
              <w:t>2017</w:t>
            </w:r>
          </w:p>
        </w:tc>
        <w:tc>
          <w:tcPr>
            <w:tcW w:w="880" w:type="dxa"/>
          </w:tcPr>
          <w:p w:rsidR="00557A6F" w:rsidRDefault="00557A6F" w:rsidP="009017E2">
            <w:pPr>
              <w:jc w:val="right"/>
            </w:pPr>
            <w:r>
              <w:t>2 812</w:t>
            </w:r>
          </w:p>
        </w:tc>
        <w:tc>
          <w:tcPr>
            <w:tcW w:w="880" w:type="dxa"/>
          </w:tcPr>
          <w:p w:rsidR="00557A6F" w:rsidRDefault="00557A6F" w:rsidP="009017E2">
            <w:pPr>
              <w:jc w:val="right"/>
            </w:pPr>
            <w:r>
              <w:t>1 360</w:t>
            </w:r>
          </w:p>
        </w:tc>
        <w:tc>
          <w:tcPr>
            <w:tcW w:w="880" w:type="dxa"/>
          </w:tcPr>
          <w:p w:rsidR="00557A6F" w:rsidRDefault="00557A6F" w:rsidP="009017E2">
            <w:pPr>
              <w:jc w:val="right"/>
            </w:pPr>
            <w:r>
              <w:t>4 172</w:t>
            </w:r>
          </w:p>
        </w:tc>
        <w:tc>
          <w:tcPr>
            <w:tcW w:w="1320" w:type="dxa"/>
          </w:tcPr>
          <w:p w:rsidR="00557A6F" w:rsidRDefault="00557A6F" w:rsidP="009017E2">
            <w:pPr>
              <w:jc w:val="right"/>
            </w:pPr>
            <w:r>
              <w:t>45 570</w:t>
            </w:r>
          </w:p>
        </w:tc>
        <w:tc>
          <w:tcPr>
            <w:tcW w:w="880" w:type="dxa"/>
          </w:tcPr>
          <w:p w:rsidR="00557A6F" w:rsidRDefault="00557A6F" w:rsidP="009017E2">
            <w:pPr>
              <w:jc w:val="right"/>
            </w:pPr>
            <w:r>
              <w:t>41 667</w:t>
            </w:r>
          </w:p>
        </w:tc>
        <w:tc>
          <w:tcPr>
            <w:tcW w:w="1320" w:type="dxa"/>
          </w:tcPr>
          <w:p w:rsidR="00557A6F" w:rsidRDefault="00557A6F" w:rsidP="009017E2">
            <w:pPr>
              <w:jc w:val="right"/>
            </w:pPr>
            <w:r>
              <w:t>91 %</w:t>
            </w:r>
          </w:p>
        </w:tc>
      </w:tr>
      <w:tr w:rsidR="00557A6F" w:rsidTr="009017E2">
        <w:trPr>
          <w:trHeight w:val="380"/>
        </w:trPr>
        <w:tc>
          <w:tcPr>
            <w:tcW w:w="2660" w:type="dxa"/>
          </w:tcPr>
          <w:p w:rsidR="00557A6F" w:rsidRDefault="00557A6F" w:rsidP="00557A6F">
            <w:r>
              <w:t>Sosionom</w:t>
            </w:r>
          </w:p>
        </w:tc>
        <w:tc>
          <w:tcPr>
            <w:tcW w:w="680" w:type="dxa"/>
          </w:tcPr>
          <w:p w:rsidR="00557A6F" w:rsidRDefault="00557A6F" w:rsidP="00557A6F">
            <w:r>
              <w:t>2018</w:t>
            </w:r>
          </w:p>
        </w:tc>
        <w:tc>
          <w:tcPr>
            <w:tcW w:w="880" w:type="dxa"/>
          </w:tcPr>
          <w:p w:rsidR="00557A6F" w:rsidRDefault="00557A6F" w:rsidP="009017E2">
            <w:pPr>
              <w:jc w:val="right"/>
            </w:pPr>
            <w:r>
              <w:t>103</w:t>
            </w:r>
          </w:p>
        </w:tc>
        <w:tc>
          <w:tcPr>
            <w:tcW w:w="880" w:type="dxa"/>
          </w:tcPr>
          <w:p w:rsidR="00557A6F" w:rsidRDefault="00557A6F" w:rsidP="009017E2">
            <w:pPr>
              <w:jc w:val="right"/>
            </w:pPr>
            <w:r>
              <w:t>222</w:t>
            </w:r>
          </w:p>
        </w:tc>
        <w:tc>
          <w:tcPr>
            <w:tcW w:w="880" w:type="dxa"/>
          </w:tcPr>
          <w:p w:rsidR="00557A6F" w:rsidRDefault="00557A6F" w:rsidP="009017E2">
            <w:pPr>
              <w:jc w:val="right"/>
            </w:pPr>
            <w:r>
              <w:t>325</w:t>
            </w:r>
          </w:p>
        </w:tc>
        <w:tc>
          <w:tcPr>
            <w:tcW w:w="1320" w:type="dxa"/>
          </w:tcPr>
          <w:p w:rsidR="00557A6F" w:rsidRDefault="00557A6F" w:rsidP="009017E2">
            <w:pPr>
              <w:jc w:val="right"/>
            </w:pPr>
            <w:r>
              <w:t>42 568</w:t>
            </w:r>
          </w:p>
        </w:tc>
        <w:tc>
          <w:tcPr>
            <w:tcW w:w="880" w:type="dxa"/>
          </w:tcPr>
          <w:p w:rsidR="00557A6F" w:rsidRDefault="00557A6F" w:rsidP="009017E2">
            <w:pPr>
              <w:jc w:val="right"/>
            </w:pPr>
            <w:r>
              <w:t>44 108</w:t>
            </w:r>
          </w:p>
        </w:tc>
        <w:tc>
          <w:tcPr>
            <w:tcW w:w="1320" w:type="dxa"/>
          </w:tcPr>
          <w:p w:rsidR="00557A6F" w:rsidRDefault="00557A6F" w:rsidP="009017E2">
            <w:pPr>
              <w:jc w:val="right"/>
            </w:pPr>
            <w:r>
              <w:t>104 %</w:t>
            </w:r>
          </w:p>
        </w:tc>
      </w:tr>
      <w:tr w:rsidR="00557A6F" w:rsidTr="009017E2">
        <w:trPr>
          <w:trHeight w:val="380"/>
        </w:trPr>
        <w:tc>
          <w:tcPr>
            <w:tcW w:w="2660" w:type="dxa"/>
          </w:tcPr>
          <w:p w:rsidR="00557A6F" w:rsidRDefault="00557A6F" w:rsidP="00557A6F"/>
        </w:tc>
        <w:tc>
          <w:tcPr>
            <w:tcW w:w="680" w:type="dxa"/>
          </w:tcPr>
          <w:p w:rsidR="00557A6F" w:rsidRDefault="00557A6F" w:rsidP="00557A6F">
            <w:r>
              <w:t>2017</w:t>
            </w:r>
          </w:p>
        </w:tc>
        <w:tc>
          <w:tcPr>
            <w:tcW w:w="880" w:type="dxa"/>
          </w:tcPr>
          <w:p w:rsidR="00557A6F" w:rsidRDefault="00557A6F" w:rsidP="009017E2">
            <w:pPr>
              <w:jc w:val="right"/>
            </w:pPr>
            <w:r>
              <w:t>107</w:t>
            </w:r>
          </w:p>
        </w:tc>
        <w:tc>
          <w:tcPr>
            <w:tcW w:w="880" w:type="dxa"/>
          </w:tcPr>
          <w:p w:rsidR="00557A6F" w:rsidRDefault="00557A6F" w:rsidP="009017E2">
            <w:pPr>
              <w:jc w:val="right"/>
            </w:pPr>
            <w:r>
              <w:t>228</w:t>
            </w:r>
          </w:p>
        </w:tc>
        <w:tc>
          <w:tcPr>
            <w:tcW w:w="880" w:type="dxa"/>
          </w:tcPr>
          <w:p w:rsidR="00557A6F" w:rsidRDefault="00557A6F" w:rsidP="009017E2">
            <w:pPr>
              <w:jc w:val="right"/>
            </w:pPr>
            <w:r>
              <w:t>335</w:t>
            </w:r>
          </w:p>
        </w:tc>
        <w:tc>
          <w:tcPr>
            <w:tcW w:w="1320" w:type="dxa"/>
          </w:tcPr>
          <w:p w:rsidR="00557A6F" w:rsidRDefault="00557A6F" w:rsidP="009017E2">
            <w:pPr>
              <w:jc w:val="right"/>
            </w:pPr>
            <w:r>
              <w:t>41 346</w:t>
            </w:r>
          </w:p>
        </w:tc>
        <w:tc>
          <w:tcPr>
            <w:tcW w:w="880" w:type="dxa"/>
          </w:tcPr>
          <w:p w:rsidR="00557A6F" w:rsidRDefault="00557A6F" w:rsidP="009017E2">
            <w:pPr>
              <w:jc w:val="right"/>
            </w:pPr>
            <w:r>
              <w:t>42 677</w:t>
            </w:r>
          </w:p>
        </w:tc>
        <w:tc>
          <w:tcPr>
            <w:tcW w:w="1320" w:type="dxa"/>
          </w:tcPr>
          <w:p w:rsidR="00557A6F" w:rsidRDefault="00557A6F" w:rsidP="009017E2">
            <w:pPr>
              <w:jc w:val="right"/>
            </w:pPr>
            <w:r>
              <w:t>103 %</w:t>
            </w:r>
          </w:p>
        </w:tc>
      </w:tr>
      <w:tr w:rsidR="00557A6F" w:rsidTr="009017E2">
        <w:trPr>
          <w:trHeight w:val="380"/>
        </w:trPr>
        <w:tc>
          <w:tcPr>
            <w:tcW w:w="2660" w:type="dxa"/>
          </w:tcPr>
          <w:p w:rsidR="00557A6F" w:rsidRDefault="00557A6F" w:rsidP="00557A6F">
            <w:r>
              <w:t>Førstekonsulent</w:t>
            </w:r>
          </w:p>
        </w:tc>
        <w:tc>
          <w:tcPr>
            <w:tcW w:w="680" w:type="dxa"/>
          </w:tcPr>
          <w:p w:rsidR="00557A6F" w:rsidRDefault="00557A6F" w:rsidP="00557A6F">
            <w:r>
              <w:t>2018</w:t>
            </w:r>
          </w:p>
        </w:tc>
        <w:tc>
          <w:tcPr>
            <w:tcW w:w="880" w:type="dxa"/>
          </w:tcPr>
          <w:p w:rsidR="00557A6F" w:rsidRDefault="00557A6F" w:rsidP="009017E2">
            <w:pPr>
              <w:jc w:val="right"/>
            </w:pPr>
            <w:r>
              <w:t>993</w:t>
            </w:r>
          </w:p>
        </w:tc>
        <w:tc>
          <w:tcPr>
            <w:tcW w:w="880" w:type="dxa"/>
          </w:tcPr>
          <w:p w:rsidR="00557A6F" w:rsidRDefault="00557A6F" w:rsidP="009017E2">
            <w:pPr>
              <w:jc w:val="right"/>
            </w:pPr>
            <w:r>
              <w:t>2 340</w:t>
            </w:r>
          </w:p>
        </w:tc>
        <w:tc>
          <w:tcPr>
            <w:tcW w:w="880" w:type="dxa"/>
          </w:tcPr>
          <w:p w:rsidR="00557A6F" w:rsidRDefault="00557A6F" w:rsidP="009017E2">
            <w:pPr>
              <w:jc w:val="right"/>
            </w:pPr>
            <w:r>
              <w:t>3 333</w:t>
            </w:r>
          </w:p>
        </w:tc>
        <w:tc>
          <w:tcPr>
            <w:tcW w:w="1320" w:type="dxa"/>
          </w:tcPr>
          <w:p w:rsidR="00557A6F" w:rsidRDefault="00557A6F" w:rsidP="009017E2">
            <w:pPr>
              <w:jc w:val="right"/>
            </w:pPr>
            <w:r>
              <w:t>42 770</w:t>
            </w:r>
          </w:p>
        </w:tc>
        <w:tc>
          <w:tcPr>
            <w:tcW w:w="880" w:type="dxa"/>
          </w:tcPr>
          <w:p w:rsidR="00557A6F" w:rsidRDefault="00557A6F" w:rsidP="009017E2">
            <w:pPr>
              <w:jc w:val="right"/>
            </w:pPr>
            <w:r>
              <w:t>39 482</w:t>
            </w:r>
          </w:p>
        </w:tc>
        <w:tc>
          <w:tcPr>
            <w:tcW w:w="1320" w:type="dxa"/>
          </w:tcPr>
          <w:p w:rsidR="00557A6F" w:rsidRDefault="00557A6F" w:rsidP="009017E2">
            <w:pPr>
              <w:jc w:val="right"/>
            </w:pPr>
            <w:r>
              <w:t>92 %</w:t>
            </w:r>
          </w:p>
        </w:tc>
      </w:tr>
      <w:tr w:rsidR="00557A6F" w:rsidTr="009017E2">
        <w:trPr>
          <w:trHeight w:val="380"/>
        </w:trPr>
        <w:tc>
          <w:tcPr>
            <w:tcW w:w="2660" w:type="dxa"/>
          </w:tcPr>
          <w:p w:rsidR="00557A6F" w:rsidRDefault="00557A6F" w:rsidP="00557A6F"/>
        </w:tc>
        <w:tc>
          <w:tcPr>
            <w:tcW w:w="680" w:type="dxa"/>
          </w:tcPr>
          <w:p w:rsidR="00557A6F" w:rsidRDefault="00557A6F" w:rsidP="00557A6F">
            <w:r>
              <w:t>2017</w:t>
            </w:r>
          </w:p>
        </w:tc>
        <w:tc>
          <w:tcPr>
            <w:tcW w:w="880" w:type="dxa"/>
          </w:tcPr>
          <w:p w:rsidR="00557A6F" w:rsidRDefault="00557A6F" w:rsidP="009017E2">
            <w:pPr>
              <w:jc w:val="right"/>
            </w:pPr>
            <w:r>
              <w:t>1 063</w:t>
            </w:r>
          </w:p>
        </w:tc>
        <w:tc>
          <w:tcPr>
            <w:tcW w:w="880" w:type="dxa"/>
          </w:tcPr>
          <w:p w:rsidR="00557A6F" w:rsidRDefault="00557A6F" w:rsidP="009017E2">
            <w:pPr>
              <w:jc w:val="right"/>
            </w:pPr>
            <w:r>
              <w:t>2 428</w:t>
            </w:r>
          </w:p>
        </w:tc>
        <w:tc>
          <w:tcPr>
            <w:tcW w:w="880" w:type="dxa"/>
          </w:tcPr>
          <w:p w:rsidR="00557A6F" w:rsidRDefault="00557A6F" w:rsidP="009017E2">
            <w:pPr>
              <w:jc w:val="right"/>
            </w:pPr>
            <w:r>
              <w:t>3 491</w:t>
            </w:r>
          </w:p>
        </w:tc>
        <w:tc>
          <w:tcPr>
            <w:tcW w:w="1320" w:type="dxa"/>
          </w:tcPr>
          <w:p w:rsidR="00557A6F" w:rsidRDefault="00557A6F" w:rsidP="009017E2">
            <w:pPr>
              <w:jc w:val="right"/>
            </w:pPr>
            <w:r>
              <w:t>41 126</w:t>
            </w:r>
          </w:p>
        </w:tc>
        <w:tc>
          <w:tcPr>
            <w:tcW w:w="880" w:type="dxa"/>
          </w:tcPr>
          <w:p w:rsidR="00557A6F" w:rsidRDefault="00557A6F" w:rsidP="009017E2">
            <w:pPr>
              <w:jc w:val="right"/>
            </w:pPr>
            <w:r>
              <w:t>38 461</w:t>
            </w:r>
          </w:p>
        </w:tc>
        <w:tc>
          <w:tcPr>
            <w:tcW w:w="1320" w:type="dxa"/>
          </w:tcPr>
          <w:p w:rsidR="00557A6F" w:rsidRDefault="00557A6F" w:rsidP="009017E2">
            <w:pPr>
              <w:jc w:val="right"/>
            </w:pPr>
            <w:r>
              <w:t>94 %</w:t>
            </w:r>
          </w:p>
        </w:tc>
      </w:tr>
      <w:tr w:rsidR="00557A6F" w:rsidTr="009017E2">
        <w:trPr>
          <w:trHeight w:val="380"/>
        </w:trPr>
        <w:tc>
          <w:tcPr>
            <w:tcW w:w="2660" w:type="dxa"/>
          </w:tcPr>
          <w:p w:rsidR="00557A6F" w:rsidRDefault="00557A6F" w:rsidP="00557A6F">
            <w:r>
              <w:t>Miljøarbeider</w:t>
            </w:r>
          </w:p>
        </w:tc>
        <w:tc>
          <w:tcPr>
            <w:tcW w:w="680" w:type="dxa"/>
          </w:tcPr>
          <w:p w:rsidR="00557A6F" w:rsidRDefault="00557A6F" w:rsidP="00557A6F">
            <w:r>
              <w:t>2018</w:t>
            </w:r>
          </w:p>
        </w:tc>
        <w:tc>
          <w:tcPr>
            <w:tcW w:w="880" w:type="dxa"/>
          </w:tcPr>
          <w:p w:rsidR="00557A6F" w:rsidRDefault="00557A6F" w:rsidP="009017E2">
            <w:pPr>
              <w:jc w:val="right"/>
            </w:pPr>
            <w:r>
              <w:t>272</w:t>
            </w:r>
          </w:p>
        </w:tc>
        <w:tc>
          <w:tcPr>
            <w:tcW w:w="880" w:type="dxa"/>
          </w:tcPr>
          <w:p w:rsidR="00557A6F" w:rsidRDefault="00557A6F" w:rsidP="009017E2">
            <w:pPr>
              <w:jc w:val="right"/>
            </w:pPr>
            <w:r>
              <w:t>228</w:t>
            </w:r>
          </w:p>
        </w:tc>
        <w:tc>
          <w:tcPr>
            <w:tcW w:w="880" w:type="dxa"/>
          </w:tcPr>
          <w:p w:rsidR="00557A6F" w:rsidRDefault="00557A6F" w:rsidP="009017E2">
            <w:pPr>
              <w:jc w:val="right"/>
            </w:pPr>
            <w:r>
              <w:t>500</w:t>
            </w:r>
          </w:p>
        </w:tc>
        <w:tc>
          <w:tcPr>
            <w:tcW w:w="1320" w:type="dxa"/>
          </w:tcPr>
          <w:p w:rsidR="00557A6F" w:rsidRDefault="00557A6F" w:rsidP="009017E2">
            <w:pPr>
              <w:jc w:val="right"/>
            </w:pPr>
            <w:r>
              <w:t>41 632</w:t>
            </w:r>
          </w:p>
        </w:tc>
        <w:tc>
          <w:tcPr>
            <w:tcW w:w="880" w:type="dxa"/>
          </w:tcPr>
          <w:p w:rsidR="00557A6F" w:rsidRDefault="00557A6F" w:rsidP="009017E2">
            <w:pPr>
              <w:jc w:val="right"/>
            </w:pPr>
            <w:r>
              <w:t>40 707</w:t>
            </w:r>
          </w:p>
        </w:tc>
        <w:tc>
          <w:tcPr>
            <w:tcW w:w="1320" w:type="dxa"/>
          </w:tcPr>
          <w:p w:rsidR="00557A6F" w:rsidRDefault="00557A6F" w:rsidP="009017E2">
            <w:pPr>
              <w:jc w:val="right"/>
            </w:pPr>
            <w:r>
              <w:t>98 %</w:t>
            </w:r>
          </w:p>
        </w:tc>
      </w:tr>
      <w:tr w:rsidR="00557A6F" w:rsidTr="009017E2">
        <w:trPr>
          <w:trHeight w:val="380"/>
        </w:trPr>
        <w:tc>
          <w:tcPr>
            <w:tcW w:w="2660" w:type="dxa"/>
          </w:tcPr>
          <w:p w:rsidR="00557A6F" w:rsidRDefault="00557A6F" w:rsidP="00557A6F"/>
        </w:tc>
        <w:tc>
          <w:tcPr>
            <w:tcW w:w="680" w:type="dxa"/>
          </w:tcPr>
          <w:p w:rsidR="00557A6F" w:rsidRDefault="00557A6F" w:rsidP="00557A6F">
            <w:r>
              <w:t>2017</w:t>
            </w:r>
          </w:p>
        </w:tc>
        <w:tc>
          <w:tcPr>
            <w:tcW w:w="880" w:type="dxa"/>
          </w:tcPr>
          <w:p w:rsidR="00557A6F" w:rsidRDefault="00557A6F" w:rsidP="009017E2">
            <w:pPr>
              <w:jc w:val="right"/>
            </w:pPr>
            <w:r>
              <w:t>303</w:t>
            </w:r>
          </w:p>
        </w:tc>
        <w:tc>
          <w:tcPr>
            <w:tcW w:w="880" w:type="dxa"/>
          </w:tcPr>
          <w:p w:rsidR="00557A6F" w:rsidRDefault="00557A6F" w:rsidP="009017E2">
            <w:pPr>
              <w:jc w:val="right"/>
            </w:pPr>
            <w:r>
              <w:t>249</w:t>
            </w:r>
          </w:p>
        </w:tc>
        <w:tc>
          <w:tcPr>
            <w:tcW w:w="880" w:type="dxa"/>
          </w:tcPr>
          <w:p w:rsidR="00557A6F" w:rsidRDefault="00557A6F" w:rsidP="009017E2">
            <w:pPr>
              <w:jc w:val="right"/>
            </w:pPr>
            <w:r>
              <w:t>552</w:t>
            </w:r>
          </w:p>
        </w:tc>
        <w:tc>
          <w:tcPr>
            <w:tcW w:w="1320" w:type="dxa"/>
          </w:tcPr>
          <w:p w:rsidR="00557A6F" w:rsidRDefault="00557A6F" w:rsidP="009017E2">
            <w:pPr>
              <w:jc w:val="right"/>
            </w:pPr>
            <w:r>
              <w:t>40 700</w:t>
            </w:r>
          </w:p>
        </w:tc>
        <w:tc>
          <w:tcPr>
            <w:tcW w:w="880" w:type="dxa"/>
          </w:tcPr>
          <w:p w:rsidR="00557A6F" w:rsidRDefault="00557A6F" w:rsidP="009017E2">
            <w:pPr>
              <w:jc w:val="right"/>
            </w:pPr>
            <w:r>
              <w:t>40 517</w:t>
            </w:r>
          </w:p>
        </w:tc>
        <w:tc>
          <w:tcPr>
            <w:tcW w:w="1320" w:type="dxa"/>
          </w:tcPr>
          <w:p w:rsidR="00557A6F" w:rsidRDefault="00557A6F" w:rsidP="009017E2">
            <w:pPr>
              <w:jc w:val="right"/>
            </w:pPr>
            <w:r>
              <w:t>100 %</w:t>
            </w:r>
          </w:p>
        </w:tc>
      </w:tr>
      <w:tr w:rsidR="00557A6F" w:rsidTr="009017E2">
        <w:trPr>
          <w:trHeight w:val="380"/>
        </w:trPr>
        <w:tc>
          <w:tcPr>
            <w:tcW w:w="2660" w:type="dxa"/>
            <w:vMerge w:val="restart"/>
          </w:tcPr>
          <w:p w:rsidR="00557A6F" w:rsidRDefault="00557A6F" w:rsidP="00557A6F">
            <w:r>
              <w:t>Lektor, inkl. høyskolele</w:t>
            </w:r>
            <w:r>
              <w:t>k</w:t>
            </w:r>
            <w:r>
              <w:t>tor og universitetsle</w:t>
            </w:r>
            <w:r>
              <w:t>k</w:t>
            </w:r>
            <w:r>
              <w:t>tor</w:t>
            </w:r>
          </w:p>
        </w:tc>
        <w:tc>
          <w:tcPr>
            <w:tcW w:w="680" w:type="dxa"/>
          </w:tcPr>
          <w:p w:rsidR="00557A6F" w:rsidRDefault="00557A6F" w:rsidP="00557A6F">
            <w:r>
              <w:t>2018</w:t>
            </w:r>
          </w:p>
        </w:tc>
        <w:tc>
          <w:tcPr>
            <w:tcW w:w="880" w:type="dxa"/>
          </w:tcPr>
          <w:p w:rsidR="00557A6F" w:rsidRDefault="00557A6F" w:rsidP="009017E2">
            <w:pPr>
              <w:jc w:val="right"/>
            </w:pPr>
            <w:r>
              <w:t>2 275</w:t>
            </w:r>
          </w:p>
        </w:tc>
        <w:tc>
          <w:tcPr>
            <w:tcW w:w="880" w:type="dxa"/>
          </w:tcPr>
          <w:p w:rsidR="00557A6F" w:rsidRDefault="00557A6F" w:rsidP="009017E2">
            <w:pPr>
              <w:jc w:val="right"/>
            </w:pPr>
            <w:r>
              <w:t>3 329</w:t>
            </w:r>
          </w:p>
        </w:tc>
        <w:tc>
          <w:tcPr>
            <w:tcW w:w="880" w:type="dxa"/>
          </w:tcPr>
          <w:p w:rsidR="00557A6F" w:rsidRDefault="00557A6F" w:rsidP="009017E2">
            <w:pPr>
              <w:jc w:val="right"/>
            </w:pPr>
            <w:r>
              <w:t>5 604</w:t>
            </w:r>
          </w:p>
        </w:tc>
        <w:tc>
          <w:tcPr>
            <w:tcW w:w="1320" w:type="dxa"/>
          </w:tcPr>
          <w:p w:rsidR="00557A6F" w:rsidRDefault="00557A6F" w:rsidP="009017E2">
            <w:pPr>
              <w:jc w:val="right"/>
            </w:pPr>
            <w:r>
              <w:t>50 768</w:t>
            </w:r>
          </w:p>
        </w:tc>
        <w:tc>
          <w:tcPr>
            <w:tcW w:w="880" w:type="dxa"/>
          </w:tcPr>
          <w:p w:rsidR="00557A6F" w:rsidRDefault="00557A6F" w:rsidP="009017E2">
            <w:pPr>
              <w:jc w:val="right"/>
            </w:pPr>
            <w:r>
              <w:t>49 509</w:t>
            </w:r>
          </w:p>
        </w:tc>
        <w:tc>
          <w:tcPr>
            <w:tcW w:w="1320" w:type="dxa"/>
          </w:tcPr>
          <w:p w:rsidR="00557A6F" w:rsidRDefault="00557A6F" w:rsidP="009017E2">
            <w:pPr>
              <w:jc w:val="right"/>
            </w:pPr>
            <w:r>
              <w:t>98 %</w:t>
            </w:r>
          </w:p>
        </w:tc>
      </w:tr>
      <w:tr w:rsidR="00557A6F" w:rsidTr="009017E2">
        <w:trPr>
          <w:trHeight w:val="380"/>
        </w:trPr>
        <w:tc>
          <w:tcPr>
            <w:tcW w:w="2660" w:type="dxa"/>
            <w:vMerge/>
          </w:tcPr>
          <w:p w:rsidR="00557A6F" w:rsidRDefault="00557A6F" w:rsidP="004769CB"/>
        </w:tc>
        <w:tc>
          <w:tcPr>
            <w:tcW w:w="680" w:type="dxa"/>
          </w:tcPr>
          <w:p w:rsidR="00557A6F" w:rsidRDefault="00557A6F" w:rsidP="00557A6F">
            <w:r>
              <w:t>2017</w:t>
            </w:r>
          </w:p>
        </w:tc>
        <w:tc>
          <w:tcPr>
            <w:tcW w:w="880" w:type="dxa"/>
          </w:tcPr>
          <w:p w:rsidR="00557A6F" w:rsidRDefault="00557A6F" w:rsidP="009017E2">
            <w:pPr>
              <w:jc w:val="right"/>
            </w:pPr>
            <w:r>
              <w:t>2 272</w:t>
            </w:r>
          </w:p>
        </w:tc>
        <w:tc>
          <w:tcPr>
            <w:tcW w:w="880" w:type="dxa"/>
          </w:tcPr>
          <w:p w:rsidR="00557A6F" w:rsidRDefault="00557A6F" w:rsidP="009017E2">
            <w:pPr>
              <w:jc w:val="right"/>
            </w:pPr>
            <w:r>
              <w:t>3 218</w:t>
            </w:r>
          </w:p>
        </w:tc>
        <w:tc>
          <w:tcPr>
            <w:tcW w:w="880" w:type="dxa"/>
          </w:tcPr>
          <w:p w:rsidR="00557A6F" w:rsidRDefault="00557A6F" w:rsidP="009017E2">
            <w:pPr>
              <w:jc w:val="right"/>
            </w:pPr>
            <w:r>
              <w:t>5 490</w:t>
            </w:r>
          </w:p>
        </w:tc>
        <w:tc>
          <w:tcPr>
            <w:tcW w:w="1320" w:type="dxa"/>
          </w:tcPr>
          <w:p w:rsidR="00557A6F" w:rsidRDefault="00557A6F" w:rsidP="009017E2">
            <w:pPr>
              <w:jc w:val="right"/>
            </w:pPr>
            <w:r>
              <w:t>49 040</w:t>
            </w:r>
          </w:p>
        </w:tc>
        <w:tc>
          <w:tcPr>
            <w:tcW w:w="880" w:type="dxa"/>
          </w:tcPr>
          <w:p w:rsidR="00557A6F" w:rsidRDefault="00557A6F" w:rsidP="009017E2">
            <w:pPr>
              <w:jc w:val="right"/>
            </w:pPr>
            <w:r>
              <w:t>48 127</w:t>
            </w:r>
          </w:p>
        </w:tc>
        <w:tc>
          <w:tcPr>
            <w:tcW w:w="1320" w:type="dxa"/>
          </w:tcPr>
          <w:p w:rsidR="00557A6F" w:rsidRDefault="00557A6F" w:rsidP="009017E2">
            <w:pPr>
              <w:jc w:val="right"/>
            </w:pPr>
            <w:r>
              <w:t>98 %</w:t>
            </w:r>
          </w:p>
        </w:tc>
      </w:tr>
    </w:tbl>
    <w:p w:rsidR="00557A6F" w:rsidRDefault="00557A6F" w:rsidP="00557A6F">
      <w:r>
        <w:t>For ytterligere informasjon om likestillingssituasjonen i staten vises det til departementenes bu</w:t>
      </w:r>
      <w:r>
        <w:t>d</w:t>
      </w:r>
      <w:r>
        <w:t xml:space="preserve">sjettproposisjoner. </w:t>
      </w:r>
    </w:p>
    <w:p w:rsidR="009017E2" w:rsidRDefault="009017E2" w:rsidP="009017E2">
      <w:pPr>
        <w:pStyle w:val="tabell-tittel"/>
      </w:pPr>
      <w:r>
        <w:t>Andel av hvert kjønn som a</w:t>
      </w:r>
      <w:r>
        <w:t>r</w:t>
      </w:r>
      <w:r>
        <w:t>beider deltid</w:t>
      </w:r>
    </w:p>
    <w:p w:rsidR="00557A6F" w:rsidRDefault="00557A6F" w:rsidP="00557A6F">
      <w:pPr>
        <w:pStyle w:val="Tabellnavn"/>
      </w:pPr>
      <w:r>
        <w:t>03J2xt1</w:t>
      </w:r>
    </w:p>
    <w:tbl>
      <w:tblPr>
        <w:tblStyle w:val="StandardTabell"/>
        <w:tblW w:w="0" w:type="auto"/>
        <w:tblLayout w:type="fixed"/>
        <w:tblLook w:val="04A0" w:firstRow="1" w:lastRow="0" w:firstColumn="1" w:lastColumn="0" w:noHBand="0" w:noVBand="1"/>
      </w:tblPr>
      <w:tblGrid>
        <w:gridCol w:w="1951"/>
        <w:gridCol w:w="1149"/>
        <w:gridCol w:w="1460"/>
      </w:tblGrid>
      <w:tr w:rsidR="00557A6F" w:rsidTr="009017E2">
        <w:trPr>
          <w:trHeight w:val="360"/>
        </w:trPr>
        <w:tc>
          <w:tcPr>
            <w:tcW w:w="1951" w:type="dxa"/>
            <w:shd w:val="clear" w:color="auto" w:fill="FFFFFF"/>
          </w:tcPr>
          <w:p w:rsidR="00557A6F" w:rsidRDefault="00557A6F" w:rsidP="00557A6F"/>
        </w:tc>
        <w:tc>
          <w:tcPr>
            <w:tcW w:w="2609" w:type="dxa"/>
            <w:gridSpan w:val="2"/>
          </w:tcPr>
          <w:p w:rsidR="00557A6F" w:rsidRDefault="00557A6F" w:rsidP="009017E2">
            <w:pPr>
              <w:jc w:val="center"/>
            </w:pPr>
            <w:r>
              <w:t>Deltid</w:t>
            </w:r>
          </w:p>
        </w:tc>
      </w:tr>
      <w:tr w:rsidR="00557A6F" w:rsidTr="009017E2">
        <w:trPr>
          <w:trHeight w:val="360"/>
        </w:trPr>
        <w:tc>
          <w:tcPr>
            <w:tcW w:w="1951" w:type="dxa"/>
          </w:tcPr>
          <w:p w:rsidR="00557A6F" w:rsidRDefault="00557A6F" w:rsidP="00557A6F"/>
        </w:tc>
        <w:tc>
          <w:tcPr>
            <w:tcW w:w="1149" w:type="dxa"/>
          </w:tcPr>
          <w:p w:rsidR="00557A6F" w:rsidRDefault="00557A6F" w:rsidP="009017E2">
            <w:pPr>
              <w:jc w:val="right"/>
            </w:pPr>
            <w:r>
              <w:t>Menn</w:t>
            </w:r>
          </w:p>
        </w:tc>
        <w:tc>
          <w:tcPr>
            <w:tcW w:w="1460" w:type="dxa"/>
          </w:tcPr>
          <w:p w:rsidR="00557A6F" w:rsidRDefault="00557A6F" w:rsidP="009017E2">
            <w:pPr>
              <w:jc w:val="right"/>
            </w:pPr>
            <w:r>
              <w:t>Kvinner</w:t>
            </w:r>
          </w:p>
        </w:tc>
      </w:tr>
      <w:tr w:rsidR="00557A6F" w:rsidTr="009017E2">
        <w:trPr>
          <w:trHeight w:val="380"/>
        </w:trPr>
        <w:tc>
          <w:tcPr>
            <w:tcW w:w="1951" w:type="dxa"/>
          </w:tcPr>
          <w:p w:rsidR="00557A6F" w:rsidRDefault="00557A6F" w:rsidP="00557A6F">
            <w:r>
              <w:t>2018</w:t>
            </w:r>
          </w:p>
        </w:tc>
        <w:tc>
          <w:tcPr>
            <w:tcW w:w="1149" w:type="dxa"/>
          </w:tcPr>
          <w:p w:rsidR="00557A6F" w:rsidRDefault="00557A6F" w:rsidP="009017E2">
            <w:pPr>
              <w:jc w:val="right"/>
            </w:pPr>
            <w:r>
              <w:t>9 %</w:t>
            </w:r>
          </w:p>
        </w:tc>
        <w:tc>
          <w:tcPr>
            <w:tcW w:w="1460" w:type="dxa"/>
          </w:tcPr>
          <w:p w:rsidR="00557A6F" w:rsidRDefault="00557A6F" w:rsidP="009017E2">
            <w:pPr>
              <w:jc w:val="right"/>
            </w:pPr>
            <w:r>
              <w:t>12 %</w:t>
            </w:r>
          </w:p>
        </w:tc>
      </w:tr>
      <w:tr w:rsidR="00557A6F" w:rsidTr="009017E2">
        <w:trPr>
          <w:trHeight w:val="380"/>
        </w:trPr>
        <w:tc>
          <w:tcPr>
            <w:tcW w:w="1951" w:type="dxa"/>
          </w:tcPr>
          <w:p w:rsidR="00557A6F" w:rsidRDefault="00557A6F" w:rsidP="00557A6F">
            <w:r>
              <w:t>2017</w:t>
            </w:r>
          </w:p>
        </w:tc>
        <w:tc>
          <w:tcPr>
            <w:tcW w:w="1149" w:type="dxa"/>
          </w:tcPr>
          <w:p w:rsidR="00557A6F" w:rsidRDefault="00557A6F" w:rsidP="009017E2">
            <w:pPr>
              <w:jc w:val="right"/>
            </w:pPr>
            <w:r>
              <w:t>9 %</w:t>
            </w:r>
          </w:p>
        </w:tc>
        <w:tc>
          <w:tcPr>
            <w:tcW w:w="1460" w:type="dxa"/>
          </w:tcPr>
          <w:p w:rsidR="00557A6F" w:rsidRDefault="00557A6F" w:rsidP="009017E2">
            <w:pPr>
              <w:jc w:val="right"/>
            </w:pPr>
            <w:r>
              <w:t>13 %</w:t>
            </w:r>
          </w:p>
        </w:tc>
      </w:tr>
    </w:tbl>
    <w:p w:rsidR="00557A6F" w:rsidRDefault="00557A6F" w:rsidP="00557A6F">
      <w:pPr>
        <w:pStyle w:val="Kilde"/>
      </w:pPr>
      <w:r>
        <w:t>Statens lønnsstatistikk per 1. oktober. Inkluderer ikke toppledere og dommere på egne kontrakter, timelønte og overen</w:t>
      </w:r>
      <w:r>
        <w:t>s</w:t>
      </w:r>
      <w:r>
        <w:t xml:space="preserve">komstlønte. </w:t>
      </w:r>
    </w:p>
    <w:p w:rsidR="00557A6F" w:rsidRDefault="00557A6F" w:rsidP="00557A6F">
      <w:r>
        <w:t>Forskjellen i bruken av deltid mellom menn og kvinner er liten, og endrer seg lite.</w:t>
      </w:r>
    </w:p>
    <w:p w:rsidR="009017E2" w:rsidRDefault="009017E2" w:rsidP="009017E2">
      <w:pPr>
        <w:pStyle w:val="tabell-tittel"/>
      </w:pPr>
      <w:r>
        <w:t>Antall årsverk og gjennomsnittlig månedsfortjeneste per årsverk 2012–2018</w:t>
      </w:r>
    </w:p>
    <w:p w:rsidR="00557A6F" w:rsidRDefault="00557A6F" w:rsidP="00557A6F">
      <w:pPr>
        <w:pStyle w:val="Tabellnavn"/>
      </w:pPr>
      <w:r>
        <w:t>07J2xt2</w:t>
      </w:r>
    </w:p>
    <w:tbl>
      <w:tblPr>
        <w:tblStyle w:val="StandardTabell"/>
        <w:tblW w:w="0" w:type="auto"/>
        <w:tblLayout w:type="fixed"/>
        <w:tblLook w:val="04A0" w:firstRow="1" w:lastRow="0" w:firstColumn="1" w:lastColumn="0" w:noHBand="0" w:noVBand="1"/>
      </w:tblPr>
      <w:tblGrid>
        <w:gridCol w:w="2400"/>
        <w:gridCol w:w="980"/>
        <w:gridCol w:w="980"/>
        <w:gridCol w:w="1400"/>
        <w:gridCol w:w="1100"/>
        <w:gridCol w:w="1100"/>
        <w:gridCol w:w="1560"/>
      </w:tblGrid>
      <w:tr w:rsidR="00557A6F" w:rsidTr="009017E2">
        <w:trPr>
          <w:trHeight w:val="600"/>
        </w:trPr>
        <w:tc>
          <w:tcPr>
            <w:tcW w:w="2400" w:type="dxa"/>
            <w:shd w:val="clear" w:color="auto" w:fill="FFFFFF"/>
          </w:tcPr>
          <w:p w:rsidR="00557A6F" w:rsidRDefault="00557A6F" w:rsidP="00557A6F"/>
        </w:tc>
        <w:tc>
          <w:tcPr>
            <w:tcW w:w="1960" w:type="dxa"/>
            <w:gridSpan w:val="2"/>
          </w:tcPr>
          <w:p w:rsidR="00557A6F" w:rsidRDefault="00557A6F" w:rsidP="00AF5F55">
            <w:pPr>
              <w:jc w:val="right"/>
            </w:pPr>
            <w:r>
              <w:t xml:space="preserve">Antall </w:t>
            </w:r>
            <w:r>
              <w:br/>
              <w:t>årsverk</w:t>
            </w:r>
          </w:p>
        </w:tc>
        <w:tc>
          <w:tcPr>
            <w:tcW w:w="1400" w:type="dxa"/>
          </w:tcPr>
          <w:p w:rsidR="00557A6F" w:rsidRDefault="00557A6F" w:rsidP="00AF5F55">
            <w:pPr>
              <w:jc w:val="right"/>
            </w:pPr>
            <w:r>
              <w:t xml:space="preserve">Prosent </w:t>
            </w:r>
            <w:r>
              <w:br/>
              <w:t>økning</w:t>
            </w:r>
          </w:p>
        </w:tc>
        <w:tc>
          <w:tcPr>
            <w:tcW w:w="2200" w:type="dxa"/>
            <w:gridSpan w:val="2"/>
          </w:tcPr>
          <w:p w:rsidR="00557A6F" w:rsidRDefault="00557A6F" w:rsidP="00AF5F55">
            <w:pPr>
              <w:jc w:val="right"/>
            </w:pPr>
            <w:r>
              <w:t>Gjennomsnittlig mnd.</w:t>
            </w:r>
            <w:r>
              <w:br/>
              <w:t>fortjeneste per år</w:t>
            </w:r>
            <w:r>
              <w:t>s</w:t>
            </w:r>
            <w:r>
              <w:t>verk</w:t>
            </w:r>
          </w:p>
        </w:tc>
        <w:tc>
          <w:tcPr>
            <w:tcW w:w="1560" w:type="dxa"/>
          </w:tcPr>
          <w:p w:rsidR="00557A6F" w:rsidRDefault="00557A6F" w:rsidP="00AF5F55">
            <w:pPr>
              <w:jc w:val="right"/>
            </w:pPr>
            <w:r>
              <w:t>Prosent økning 2012–2018</w:t>
            </w:r>
          </w:p>
        </w:tc>
      </w:tr>
      <w:tr w:rsidR="00557A6F" w:rsidTr="009017E2">
        <w:trPr>
          <w:trHeight w:val="360"/>
        </w:trPr>
        <w:tc>
          <w:tcPr>
            <w:tcW w:w="2400" w:type="dxa"/>
          </w:tcPr>
          <w:p w:rsidR="00557A6F" w:rsidRDefault="00557A6F" w:rsidP="00557A6F"/>
        </w:tc>
        <w:tc>
          <w:tcPr>
            <w:tcW w:w="980" w:type="dxa"/>
          </w:tcPr>
          <w:p w:rsidR="00557A6F" w:rsidRDefault="00557A6F" w:rsidP="00AF5F55">
            <w:pPr>
              <w:jc w:val="right"/>
            </w:pPr>
            <w:r>
              <w:t>2012</w:t>
            </w:r>
          </w:p>
        </w:tc>
        <w:tc>
          <w:tcPr>
            <w:tcW w:w="980" w:type="dxa"/>
          </w:tcPr>
          <w:p w:rsidR="00557A6F" w:rsidRDefault="00557A6F" w:rsidP="00AF5F55">
            <w:pPr>
              <w:jc w:val="right"/>
            </w:pPr>
            <w:r>
              <w:t>2018</w:t>
            </w:r>
          </w:p>
        </w:tc>
        <w:tc>
          <w:tcPr>
            <w:tcW w:w="1400" w:type="dxa"/>
          </w:tcPr>
          <w:p w:rsidR="00557A6F" w:rsidRDefault="00557A6F" w:rsidP="00AF5F55">
            <w:pPr>
              <w:jc w:val="right"/>
            </w:pPr>
          </w:p>
        </w:tc>
        <w:tc>
          <w:tcPr>
            <w:tcW w:w="1100" w:type="dxa"/>
          </w:tcPr>
          <w:p w:rsidR="00557A6F" w:rsidRDefault="00557A6F" w:rsidP="00AF5F55">
            <w:pPr>
              <w:jc w:val="right"/>
            </w:pPr>
            <w:r>
              <w:t>2012</w:t>
            </w:r>
          </w:p>
        </w:tc>
        <w:tc>
          <w:tcPr>
            <w:tcW w:w="1100" w:type="dxa"/>
          </w:tcPr>
          <w:p w:rsidR="00557A6F" w:rsidRDefault="00557A6F" w:rsidP="00AF5F55">
            <w:pPr>
              <w:jc w:val="right"/>
            </w:pPr>
            <w:r>
              <w:t>2018</w:t>
            </w:r>
          </w:p>
        </w:tc>
        <w:tc>
          <w:tcPr>
            <w:tcW w:w="1560" w:type="dxa"/>
          </w:tcPr>
          <w:p w:rsidR="00557A6F" w:rsidRDefault="00557A6F" w:rsidP="00AF5F55">
            <w:pPr>
              <w:jc w:val="right"/>
            </w:pPr>
          </w:p>
        </w:tc>
      </w:tr>
      <w:tr w:rsidR="00557A6F" w:rsidTr="009017E2">
        <w:trPr>
          <w:trHeight w:val="640"/>
        </w:trPr>
        <w:tc>
          <w:tcPr>
            <w:tcW w:w="2400" w:type="dxa"/>
          </w:tcPr>
          <w:p w:rsidR="00557A6F" w:rsidRDefault="00557A6F" w:rsidP="00557A6F">
            <w:r>
              <w:t>Ansatte omfattet av H</w:t>
            </w:r>
            <w:r>
              <w:t>o</w:t>
            </w:r>
            <w:r>
              <w:t>vedtariffavtalen</w:t>
            </w:r>
          </w:p>
        </w:tc>
        <w:tc>
          <w:tcPr>
            <w:tcW w:w="980" w:type="dxa"/>
          </w:tcPr>
          <w:p w:rsidR="00557A6F" w:rsidRDefault="00557A6F" w:rsidP="00AF5F55">
            <w:pPr>
              <w:jc w:val="right"/>
            </w:pPr>
            <w:r>
              <w:t>137 324</w:t>
            </w:r>
          </w:p>
        </w:tc>
        <w:tc>
          <w:tcPr>
            <w:tcW w:w="980" w:type="dxa"/>
          </w:tcPr>
          <w:p w:rsidR="00557A6F" w:rsidRDefault="00557A6F" w:rsidP="00AF5F55">
            <w:pPr>
              <w:jc w:val="right"/>
            </w:pPr>
            <w:r>
              <w:t>145 922</w:t>
            </w:r>
          </w:p>
        </w:tc>
        <w:tc>
          <w:tcPr>
            <w:tcW w:w="1400" w:type="dxa"/>
          </w:tcPr>
          <w:p w:rsidR="00557A6F" w:rsidRDefault="00557A6F" w:rsidP="00AF5F55">
            <w:pPr>
              <w:jc w:val="right"/>
            </w:pPr>
            <w:r>
              <w:t>6,3 %</w:t>
            </w:r>
          </w:p>
        </w:tc>
        <w:tc>
          <w:tcPr>
            <w:tcW w:w="1100" w:type="dxa"/>
          </w:tcPr>
          <w:p w:rsidR="00557A6F" w:rsidRDefault="00557A6F" w:rsidP="00AF5F55">
            <w:pPr>
              <w:jc w:val="right"/>
            </w:pPr>
            <w:r>
              <w:t>41 367</w:t>
            </w:r>
          </w:p>
        </w:tc>
        <w:tc>
          <w:tcPr>
            <w:tcW w:w="1100" w:type="dxa"/>
          </w:tcPr>
          <w:p w:rsidR="00557A6F" w:rsidRDefault="00557A6F" w:rsidP="00AF5F55">
            <w:pPr>
              <w:jc w:val="right"/>
            </w:pPr>
            <w:r>
              <w:t>48 892</w:t>
            </w:r>
          </w:p>
        </w:tc>
        <w:tc>
          <w:tcPr>
            <w:tcW w:w="1560" w:type="dxa"/>
          </w:tcPr>
          <w:p w:rsidR="00557A6F" w:rsidRDefault="00557A6F" w:rsidP="00AF5F55">
            <w:pPr>
              <w:jc w:val="right"/>
            </w:pPr>
            <w:r>
              <w:t>19,2 %</w:t>
            </w:r>
          </w:p>
        </w:tc>
      </w:tr>
      <w:tr w:rsidR="00557A6F" w:rsidTr="009017E2">
        <w:trPr>
          <w:trHeight w:val="380"/>
        </w:trPr>
        <w:tc>
          <w:tcPr>
            <w:tcW w:w="2400" w:type="dxa"/>
          </w:tcPr>
          <w:p w:rsidR="00557A6F" w:rsidRDefault="00557A6F" w:rsidP="00557A6F">
            <w:r>
              <w:t>Kvinner</w:t>
            </w:r>
          </w:p>
        </w:tc>
        <w:tc>
          <w:tcPr>
            <w:tcW w:w="980" w:type="dxa"/>
          </w:tcPr>
          <w:p w:rsidR="00557A6F" w:rsidRDefault="00557A6F" w:rsidP="00AF5F55">
            <w:pPr>
              <w:jc w:val="right"/>
            </w:pPr>
            <w:r>
              <w:t>65 239</w:t>
            </w:r>
          </w:p>
        </w:tc>
        <w:tc>
          <w:tcPr>
            <w:tcW w:w="980" w:type="dxa"/>
          </w:tcPr>
          <w:p w:rsidR="00557A6F" w:rsidRDefault="00557A6F" w:rsidP="00AF5F55">
            <w:pPr>
              <w:jc w:val="right"/>
            </w:pPr>
            <w:r>
              <w:t>72 661</w:t>
            </w:r>
          </w:p>
        </w:tc>
        <w:tc>
          <w:tcPr>
            <w:tcW w:w="1400" w:type="dxa"/>
          </w:tcPr>
          <w:p w:rsidR="00557A6F" w:rsidRDefault="00557A6F" w:rsidP="00AF5F55">
            <w:pPr>
              <w:jc w:val="right"/>
            </w:pPr>
            <w:r>
              <w:t>11,4 %</w:t>
            </w:r>
          </w:p>
        </w:tc>
        <w:tc>
          <w:tcPr>
            <w:tcW w:w="1100" w:type="dxa"/>
          </w:tcPr>
          <w:p w:rsidR="00557A6F" w:rsidRDefault="00557A6F" w:rsidP="00AF5F55">
            <w:pPr>
              <w:jc w:val="right"/>
            </w:pPr>
            <w:r>
              <w:t>39 447</w:t>
            </w:r>
          </w:p>
        </w:tc>
        <w:tc>
          <w:tcPr>
            <w:tcW w:w="1100" w:type="dxa"/>
          </w:tcPr>
          <w:p w:rsidR="00557A6F" w:rsidRDefault="00557A6F" w:rsidP="00AF5F55">
            <w:pPr>
              <w:jc w:val="right"/>
            </w:pPr>
            <w:r>
              <w:t>46 159</w:t>
            </w:r>
          </w:p>
        </w:tc>
        <w:tc>
          <w:tcPr>
            <w:tcW w:w="1560" w:type="dxa"/>
          </w:tcPr>
          <w:p w:rsidR="00557A6F" w:rsidRDefault="00557A6F" w:rsidP="00AF5F55">
            <w:pPr>
              <w:jc w:val="right"/>
            </w:pPr>
            <w:r>
              <w:t>17,0 %</w:t>
            </w:r>
          </w:p>
        </w:tc>
      </w:tr>
      <w:tr w:rsidR="00557A6F" w:rsidTr="009017E2">
        <w:trPr>
          <w:trHeight w:val="380"/>
        </w:trPr>
        <w:tc>
          <w:tcPr>
            <w:tcW w:w="2400" w:type="dxa"/>
          </w:tcPr>
          <w:p w:rsidR="00557A6F" w:rsidRDefault="00557A6F" w:rsidP="00557A6F">
            <w:r>
              <w:t>Menn</w:t>
            </w:r>
          </w:p>
        </w:tc>
        <w:tc>
          <w:tcPr>
            <w:tcW w:w="980" w:type="dxa"/>
          </w:tcPr>
          <w:p w:rsidR="00557A6F" w:rsidRDefault="00557A6F" w:rsidP="00AF5F55">
            <w:pPr>
              <w:jc w:val="right"/>
            </w:pPr>
            <w:r>
              <w:t>72 085</w:t>
            </w:r>
          </w:p>
        </w:tc>
        <w:tc>
          <w:tcPr>
            <w:tcW w:w="980" w:type="dxa"/>
          </w:tcPr>
          <w:p w:rsidR="00557A6F" w:rsidRDefault="00557A6F" w:rsidP="00AF5F55">
            <w:pPr>
              <w:jc w:val="right"/>
            </w:pPr>
            <w:r>
              <w:t>73 732</w:t>
            </w:r>
          </w:p>
        </w:tc>
        <w:tc>
          <w:tcPr>
            <w:tcW w:w="1400" w:type="dxa"/>
          </w:tcPr>
          <w:p w:rsidR="00557A6F" w:rsidRDefault="00557A6F" w:rsidP="00AF5F55">
            <w:pPr>
              <w:jc w:val="right"/>
            </w:pPr>
            <w:r>
              <w:t>1,7 %</w:t>
            </w:r>
          </w:p>
        </w:tc>
        <w:tc>
          <w:tcPr>
            <w:tcW w:w="1100" w:type="dxa"/>
          </w:tcPr>
          <w:p w:rsidR="00557A6F" w:rsidRDefault="00557A6F" w:rsidP="00AF5F55">
            <w:pPr>
              <w:jc w:val="right"/>
            </w:pPr>
            <w:r>
              <w:t>43 104</w:t>
            </w:r>
          </w:p>
        </w:tc>
        <w:tc>
          <w:tcPr>
            <w:tcW w:w="1100" w:type="dxa"/>
          </w:tcPr>
          <w:p w:rsidR="00557A6F" w:rsidRDefault="00557A6F" w:rsidP="00AF5F55">
            <w:pPr>
              <w:jc w:val="right"/>
            </w:pPr>
            <w:r>
              <w:t>51 600</w:t>
            </w:r>
          </w:p>
        </w:tc>
        <w:tc>
          <w:tcPr>
            <w:tcW w:w="1560" w:type="dxa"/>
          </w:tcPr>
          <w:p w:rsidR="00557A6F" w:rsidRDefault="00557A6F" w:rsidP="00AF5F55">
            <w:pPr>
              <w:jc w:val="right"/>
            </w:pPr>
            <w:r>
              <w:t>19,7 %</w:t>
            </w:r>
          </w:p>
        </w:tc>
      </w:tr>
    </w:tbl>
    <w:p w:rsidR="00557A6F" w:rsidRDefault="00557A6F" w:rsidP="00557A6F">
      <w:pPr>
        <w:pStyle w:val="Kilde"/>
      </w:pPr>
      <w:r>
        <w:t>SBU-rapport 2019 og SBU-rapport 2013</w:t>
      </w:r>
    </w:p>
    <w:p w:rsidR="00557A6F" w:rsidRDefault="00557A6F" w:rsidP="00557A6F">
      <w:r>
        <w:t>I perioden mellom 2012 og 2018 har antallet ansatte i staten økt med 6,3 pst. Antallet kvinner i staten økte mer enn antallet menn. I 2018 var månedsfortjenesten for menn høyere enn for kvinner. Det har antakelig å gjøre med at nyansatte menn i større grad gikk inn i lederstillinger.</w:t>
      </w:r>
    </w:p>
    <w:p w:rsidR="00AF5F55" w:rsidRDefault="00AF5F55" w:rsidP="00AF5F55">
      <w:pPr>
        <w:pStyle w:val="tabell-tittel"/>
      </w:pPr>
      <w:r>
        <w:t>Prosendelen kvinner og menn i alle lederstillinger og topplederstillinger i sta</w:t>
      </w:r>
      <w:r>
        <w:t>t</w:t>
      </w:r>
      <w:r>
        <w:t>lig sektor 2012–2018</w:t>
      </w:r>
    </w:p>
    <w:p w:rsidR="00557A6F" w:rsidRDefault="00557A6F" w:rsidP="00557A6F">
      <w:pPr>
        <w:pStyle w:val="Tabellnavn"/>
      </w:pPr>
      <w:r>
        <w:t>09J1xt2</w:t>
      </w:r>
    </w:p>
    <w:tbl>
      <w:tblPr>
        <w:tblStyle w:val="StandardTabell"/>
        <w:tblW w:w="0" w:type="auto"/>
        <w:tblLayout w:type="fixed"/>
        <w:tblLook w:val="04A0" w:firstRow="1" w:lastRow="0" w:firstColumn="1" w:lastColumn="0" w:noHBand="0" w:noVBand="1"/>
      </w:tblPr>
      <w:tblGrid>
        <w:gridCol w:w="2300"/>
        <w:gridCol w:w="1300"/>
        <w:gridCol w:w="840"/>
        <w:gridCol w:w="840"/>
        <w:gridCol w:w="840"/>
        <w:gridCol w:w="840"/>
        <w:gridCol w:w="840"/>
        <w:gridCol w:w="840"/>
        <w:gridCol w:w="840"/>
      </w:tblGrid>
      <w:tr w:rsidR="00557A6F" w:rsidTr="00557A6F">
        <w:trPr>
          <w:trHeight w:val="360"/>
        </w:trPr>
        <w:tc>
          <w:tcPr>
            <w:tcW w:w="2300" w:type="dxa"/>
          </w:tcPr>
          <w:p w:rsidR="00557A6F" w:rsidRDefault="00557A6F" w:rsidP="00557A6F">
            <w:r>
              <w:t>Ledergrupper</w:t>
            </w:r>
          </w:p>
        </w:tc>
        <w:tc>
          <w:tcPr>
            <w:tcW w:w="1300" w:type="dxa"/>
          </w:tcPr>
          <w:p w:rsidR="00557A6F" w:rsidRDefault="00557A6F" w:rsidP="00557A6F">
            <w:r>
              <w:t>Kjønn</w:t>
            </w:r>
          </w:p>
        </w:tc>
        <w:tc>
          <w:tcPr>
            <w:tcW w:w="840" w:type="dxa"/>
          </w:tcPr>
          <w:p w:rsidR="00557A6F" w:rsidRDefault="00557A6F" w:rsidP="00AF5F55">
            <w:pPr>
              <w:jc w:val="right"/>
            </w:pPr>
            <w:r>
              <w:t>2012</w:t>
            </w:r>
          </w:p>
        </w:tc>
        <w:tc>
          <w:tcPr>
            <w:tcW w:w="840" w:type="dxa"/>
          </w:tcPr>
          <w:p w:rsidR="00557A6F" w:rsidRDefault="00557A6F" w:rsidP="00AF5F55">
            <w:pPr>
              <w:jc w:val="right"/>
            </w:pPr>
            <w:r>
              <w:t>2013</w:t>
            </w:r>
          </w:p>
        </w:tc>
        <w:tc>
          <w:tcPr>
            <w:tcW w:w="840" w:type="dxa"/>
          </w:tcPr>
          <w:p w:rsidR="00557A6F" w:rsidRDefault="00557A6F" w:rsidP="00AF5F55">
            <w:pPr>
              <w:jc w:val="right"/>
            </w:pPr>
            <w:r>
              <w:t>2014</w:t>
            </w:r>
          </w:p>
        </w:tc>
        <w:tc>
          <w:tcPr>
            <w:tcW w:w="840" w:type="dxa"/>
          </w:tcPr>
          <w:p w:rsidR="00557A6F" w:rsidRDefault="00557A6F" w:rsidP="00AF5F55">
            <w:pPr>
              <w:jc w:val="right"/>
            </w:pPr>
            <w:r>
              <w:t>2015</w:t>
            </w:r>
          </w:p>
        </w:tc>
        <w:tc>
          <w:tcPr>
            <w:tcW w:w="840" w:type="dxa"/>
          </w:tcPr>
          <w:p w:rsidR="00557A6F" w:rsidRDefault="00557A6F" w:rsidP="00AF5F55">
            <w:pPr>
              <w:jc w:val="right"/>
            </w:pPr>
            <w:r>
              <w:t>2016</w:t>
            </w:r>
          </w:p>
        </w:tc>
        <w:tc>
          <w:tcPr>
            <w:tcW w:w="840" w:type="dxa"/>
          </w:tcPr>
          <w:p w:rsidR="00557A6F" w:rsidRDefault="00557A6F" w:rsidP="00AF5F55">
            <w:pPr>
              <w:jc w:val="right"/>
            </w:pPr>
            <w:r>
              <w:t>2017</w:t>
            </w:r>
          </w:p>
        </w:tc>
        <w:tc>
          <w:tcPr>
            <w:tcW w:w="840" w:type="dxa"/>
          </w:tcPr>
          <w:p w:rsidR="00557A6F" w:rsidRDefault="00557A6F" w:rsidP="00AF5F55">
            <w:pPr>
              <w:jc w:val="right"/>
            </w:pPr>
            <w:r>
              <w:t>2018</w:t>
            </w:r>
          </w:p>
        </w:tc>
      </w:tr>
      <w:tr w:rsidR="00557A6F" w:rsidTr="00557A6F">
        <w:trPr>
          <w:trHeight w:val="380"/>
        </w:trPr>
        <w:tc>
          <w:tcPr>
            <w:tcW w:w="2300" w:type="dxa"/>
            <w:vMerge w:val="restart"/>
          </w:tcPr>
          <w:p w:rsidR="00557A6F" w:rsidRDefault="00557A6F" w:rsidP="00AF5F55">
            <w:r>
              <w:t xml:space="preserve">Alle ledere i staten </w:t>
            </w:r>
          </w:p>
        </w:tc>
        <w:tc>
          <w:tcPr>
            <w:tcW w:w="1300" w:type="dxa"/>
          </w:tcPr>
          <w:p w:rsidR="00557A6F" w:rsidRDefault="00557A6F" w:rsidP="00557A6F">
            <w:r>
              <w:t>Kvinner</w:t>
            </w:r>
          </w:p>
        </w:tc>
        <w:tc>
          <w:tcPr>
            <w:tcW w:w="840" w:type="dxa"/>
          </w:tcPr>
          <w:p w:rsidR="00557A6F" w:rsidRDefault="00557A6F" w:rsidP="00AF5F55">
            <w:pPr>
              <w:jc w:val="right"/>
            </w:pPr>
            <w:r>
              <w:t>45 %</w:t>
            </w:r>
          </w:p>
        </w:tc>
        <w:tc>
          <w:tcPr>
            <w:tcW w:w="840" w:type="dxa"/>
          </w:tcPr>
          <w:p w:rsidR="00557A6F" w:rsidRDefault="00557A6F" w:rsidP="00AF5F55">
            <w:pPr>
              <w:jc w:val="right"/>
            </w:pPr>
            <w:r>
              <w:t>46 %</w:t>
            </w:r>
          </w:p>
        </w:tc>
        <w:tc>
          <w:tcPr>
            <w:tcW w:w="840" w:type="dxa"/>
          </w:tcPr>
          <w:p w:rsidR="00557A6F" w:rsidRDefault="00557A6F" w:rsidP="00AF5F55">
            <w:pPr>
              <w:jc w:val="right"/>
            </w:pPr>
            <w:r>
              <w:t>46 %</w:t>
            </w:r>
          </w:p>
        </w:tc>
        <w:tc>
          <w:tcPr>
            <w:tcW w:w="840" w:type="dxa"/>
          </w:tcPr>
          <w:p w:rsidR="00557A6F" w:rsidRDefault="00557A6F" w:rsidP="00AF5F55">
            <w:pPr>
              <w:jc w:val="right"/>
            </w:pPr>
            <w:r>
              <w:t>51 %</w:t>
            </w:r>
          </w:p>
        </w:tc>
        <w:tc>
          <w:tcPr>
            <w:tcW w:w="840" w:type="dxa"/>
          </w:tcPr>
          <w:p w:rsidR="00557A6F" w:rsidRDefault="00557A6F" w:rsidP="00AF5F55">
            <w:pPr>
              <w:jc w:val="right"/>
            </w:pPr>
            <w:r>
              <w:t>52 %</w:t>
            </w:r>
          </w:p>
        </w:tc>
        <w:tc>
          <w:tcPr>
            <w:tcW w:w="840" w:type="dxa"/>
          </w:tcPr>
          <w:p w:rsidR="00557A6F" w:rsidRDefault="00557A6F" w:rsidP="00AF5F55">
            <w:pPr>
              <w:jc w:val="right"/>
            </w:pPr>
            <w:r>
              <w:t>53 %</w:t>
            </w:r>
          </w:p>
        </w:tc>
        <w:tc>
          <w:tcPr>
            <w:tcW w:w="840" w:type="dxa"/>
          </w:tcPr>
          <w:p w:rsidR="00557A6F" w:rsidRDefault="00557A6F" w:rsidP="00AF5F55">
            <w:pPr>
              <w:jc w:val="right"/>
            </w:pPr>
            <w:r>
              <w:t>54 %</w:t>
            </w:r>
          </w:p>
        </w:tc>
      </w:tr>
      <w:tr w:rsidR="00557A6F" w:rsidTr="00557A6F">
        <w:trPr>
          <w:trHeight w:val="380"/>
        </w:trPr>
        <w:tc>
          <w:tcPr>
            <w:tcW w:w="2300" w:type="dxa"/>
            <w:vMerge/>
          </w:tcPr>
          <w:p w:rsidR="00557A6F" w:rsidRDefault="00557A6F" w:rsidP="004769CB"/>
        </w:tc>
        <w:tc>
          <w:tcPr>
            <w:tcW w:w="1300" w:type="dxa"/>
          </w:tcPr>
          <w:p w:rsidR="00557A6F" w:rsidRDefault="00557A6F" w:rsidP="00557A6F">
            <w:r>
              <w:t>Menn</w:t>
            </w:r>
          </w:p>
        </w:tc>
        <w:tc>
          <w:tcPr>
            <w:tcW w:w="840" w:type="dxa"/>
          </w:tcPr>
          <w:p w:rsidR="00557A6F" w:rsidRDefault="00557A6F" w:rsidP="00AF5F55">
            <w:pPr>
              <w:jc w:val="right"/>
            </w:pPr>
            <w:r>
              <w:t>55 %</w:t>
            </w:r>
          </w:p>
        </w:tc>
        <w:tc>
          <w:tcPr>
            <w:tcW w:w="840" w:type="dxa"/>
          </w:tcPr>
          <w:p w:rsidR="00557A6F" w:rsidRDefault="00557A6F" w:rsidP="00AF5F55">
            <w:pPr>
              <w:jc w:val="right"/>
            </w:pPr>
            <w:r>
              <w:t>54 %</w:t>
            </w:r>
          </w:p>
        </w:tc>
        <w:tc>
          <w:tcPr>
            <w:tcW w:w="840" w:type="dxa"/>
          </w:tcPr>
          <w:p w:rsidR="00557A6F" w:rsidRDefault="00557A6F" w:rsidP="00AF5F55">
            <w:pPr>
              <w:jc w:val="right"/>
            </w:pPr>
            <w:r>
              <w:t>54 %</w:t>
            </w:r>
          </w:p>
        </w:tc>
        <w:tc>
          <w:tcPr>
            <w:tcW w:w="840" w:type="dxa"/>
          </w:tcPr>
          <w:p w:rsidR="00557A6F" w:rsidRDefault="00557A6F" w:rsidP="00AF5F55">
            <w:pPr>
              <w:jc w:val="right"/>
            </w:pPr>
            <w:r>
              <w:t>49 %</w:t>
            </w:r>
          </w:p>
        </w:tc>
        <w:tc>
          <w:tcPr>
            <w:tcW w:w="840" w:type="dxa"/>
          </w:tcPr>
          <w:p w:rsidR="00557A6F" w:rsidRDefault="00557A6F" w:rsidP="00AF5F55">
            <w:pPr>
              <w:jc w:val="right"/>
            </w:pPr>
            <w:r>
              <w:t>48 %</w:t>
            </w:r>
          </w:p>
        </w:tc>
        <w:tc>
          <w:tcPr>
            <w:tcW w:w="840" w:type="dxa"/>
          </w:tcPr>
          <w:p w:rsidR="00557A6F" w:rsidRDefault="00557A6F" w:rsidP="00AF5F55">
            <w:pPr>
              <w:jc w:val="right"/>
            </w:pPr>
            <w:r>
              <w:t>47 %</w:t>
            </w:r>
          </w:p>
        </w:tc>
        <w:tc>
          <w:tcPr>
            <w:tcW w:w="840" w:type="dxa"/>
          </w:tcPr>
          <w:p w:rsidR="00557A6F" w:rsidRDefault="00557A6F" w:rsidP="00AF5F55">
            <w:pPr>
              <w:jc w:val="right"/>
            </w:pPr>
            <w:r>
              <w:t>46 %</w:t>
            </w:r>
          </w:p>
        </w:tc>
      </w:tr>
      <w:tr w:rsidR="00557A6F" w:rsidTr="00557A6F">
        <w:trPr>
          <w:trHeight w:val="380"/>
        </w:trPr>
        <w:tc>
          <w:tcPr>
            <w:tcW w:w="2300" w:type="dxa"/>
            <w:vMerge w:val="restart"/>
          </w:tcPr>
          <w:p w:rsidR="00557A6F" w:rsidRDefault="00557A6F" w:rsidP="00AF5F55">
            <w:r>
              <w:t>Ledere omfattet av l</w:t>
            </w:r>
            <w:r>
              <w:t>e</w:t>
            </w:r>
            <w:r>
              <w:t>derlønnsordningen</w:t>
            </w:r>
          </w:p>
        </w:tc>
        <w:tc>
          <w:tcPr>
            <w:tcW w:w="1300" w:type="dxa"/>
          </w:tcPr>
          <w:p w:rsidR="00557A6F" w:rsidRDefault="00557A6F" w:rsidP="00557A6F">
            <w:r>
              <w:t>Kvinner</w:t>
            </w:r>
          </w:p>
        </w:tc>
        <w:tc>
          <w:tcPr>
            <w:tcW w:w="840" w:type="dxa"/>
          </w:tcPr>
          <w:p w:rsidR="00557A6F" w:rsidRDefault="00557A6F" w:rsidP="00AF5F55">
            <w:pPr>
              <w:jc w:val="right"/>
            </w:pPr>
            <w:r>
              <w:t>36 %</w:t>
            </w:r>
          </w:p>
        </w:tc>
        <w:tc>
          <w:tcPr>
            <w:tcW w:w="840" w:type="dxa"/>
          </w:tcPr>
          <w:p w:rsidR="00557A6F" w:rsidRDefault="00557A6F" w:rsidP="00AF5F55">
            <w:pPr>
              <w:jc w:val="right"/>
            </w:pPr>
            <w:r>
              <w:t>35 %</w:t>
            </w:r>
          </w:p>
        </w:tc>
        <w:tc>
          <w:tcPr>
            <w:tcW w:w="840" w:type="dxa"/>
          </w:tcPr>
          <w:p w:rsidR="00557A6F" w:rsidRDefault="00557A6F" w:rsidP="00AF5F55">
            <w:pPr>
              <w:jc w:val="right"/>
            </w:pPr>
            <w:r>
              <w:t>32 %</w:t>
            </w:r>
          </w:p>
        </w:tc>
        <w:tc>
          <w:tcPr>
            <w:tcW w:w="840" w:type="dxa"/>
          </w:tcPr>
          <w:p w:rsidR="00557A6F" w:rsidRDefault="00557A6F" w:rsidP="00AF5F55">
            <w:pPr>
              <w:jc w:val="right"/>
            </w:pPr>
            <w:r>
              <w:t>32 %</w:t>
            </w:r>
          </w:p>
        </w:tc>
        <w:tc>
          <w:tcPr>
            <w:tcW w:w="840" w:type="dxa"/>
          </w:tcPr>
          <w:p w:rsidR="00557A6F" w:rsidRDefault="00557A6F" w:rsidP="00AF5F55">
            <w:pPr>
              <w:jc w:val="right"/>
            </w:pPr>
            <w:r>
              <w:t>35 %</w:t>
            </w:r>
          </w:p>
        </w:tc>
        <w:tc>
          <w:tcPr>
            <w:tcW w:w="840" w:type="dxa"/>
          </w:tcPr>
          <w:p w:rsidR="00557A6F" w:rsidRDefault="00557A6F" w:rsidP="00AF5F55">
            <w:pPr>
              <w:jc w:val="right"/>
            </w:pPr>
            <w:r>
              <w:t>34 %</w:t>
            </w:r>
          </w:p>
        </w:tc>
        <w:tc>
          <w:tcPr>
            <w:tcW w:w="840" w:type="dxa"/>
          </w:tcPr>
          <w:p w:rsidR="00557A6F" w:rsidRDefault="00557A6F" w:rsidP="00AF5F55">
            <w:pPr>
              <w:jc w:val="right"/>
            </w:pPr>
            <w:r>
              <w:t>37 %</w:t>
            </w:r>
          </w:p>
        </w:tc>
      </w:tr>
      <w:tr w:rsidR="00557A6F" w:rsidTr="00557A6F">
        <w:trPr>
          <w:trHeight w:val="500"/>
        </w:trPr>
        <w:tc>
          <w:tcPr>
            <w:tcW w:w="2300" w:type="dxa"/>
            <w:vMerge/>
          </w:tcPr>
          <w:p w:rsidR="00557A6F" w:rsidRDefault="00557A6F" w:rsidP="004769CB"/>
        </w:tc>
        <w:tc>
          <w:tcPr>
            <w:tcW w:w="1300" w:type="dxa"/>
          </w:tcPr>
          <w:p w:rsidR="00557A6F" w:rsidRDefault="00557A6F" w:rsidP="00557A6F">
            <w:r>
              <w:t>Menn</w:t>
            </w:r>
          </w:p>
        </w:tc>
        <w:tc>
          <w:tcPr>
            <w:tcW w:w="840" w:type="dxa"/>
          </w:tcPr>
          <w:p w:rsidR="00557A6F" w:rsidRDefault="00557A6F" w:rsidP="00AF5F55">
            <w:pPr>
              <w:jc w:val="right"/>
            </w:pPr>
            <w:r>
              <w:t>64 %</w:t>
            </w:r>
          </w:p>
        </w:tc>
        <w:tc>
          <w:tcPr>
            <w:tcW w:w="840" w:type="dxa"/>
          </w:tcPr>
          <w:p w:rsidR="00557A6F" w:rsidRDefault="00557A6F" w:rsidP="00AF5F55">
            <w:pPr>
              <w:jc w:val="right"/>
            </w:pPr>
            <w:r>
              <w:t>65 %</w:t>
            </w:r>
          </w:p>
        </w:tc>
        <w:tc>
          <w:tcPr>
            <w:tcW w:w="840" w:type="dxa"/>
          </w:tcPr>
          <w:p w:rsidR="00557A6F" w:rsidRDefault="00557A6F" w:rsidP="00AF5F55">
            <w:pPr>
              <w:jc w:val="right"/>
            </w:pPr>
            <w:r>
              <w:t>68 %</w:t>
            </w:r>
          </w:p>
        </w:tc>
        <w:tc>
          <w:tcPr>
            <w:tcW w:w="840" w:type="dxa"/>
          </w:tcPr>
          <w:p w:rsidR="00557A6F" w:rsidRDefault="00557A6F" w:rsidP="00AF5F55">
            <w:pPr>
              <w:jc w:val="right"/>
            </w:pPr>
            <w:r>
              <w:t>68 %</w:t>
            </w:r>
          </w:p>
        </w:tc>
        <w:tc>
          <w:tcPr>
            <w:tcW w:w="840" w:type="dxa"/>
          </w:tcPr>
          <w:p w:rsidR="00557A6F" w:rsidRDefault="00557A6F" w:rsidP="00AF5F55">
            <w:pPr>
              <w:jc w:val="right"/>
            </w:pPr>
            <w:r>
              <w:t>65 %</w:t>
            </w:r>
          </w:p>
        </w:tc>
        <w:tc>
          <w:tcPr>
            <w:tcW w:w="840" w:type="dxa"/>
          </w:tcPr>
          <w:p w:rsidR="00557A6F" w:rsidRDefault="00557A6F" w:rsidP="00AF5F55">
            <w:pPr>
              <w:jc w:val="right"/>
            </w:pPr>
            <w:r>
              <w:t>66 %</w:t>
            </w:r>
          </w:p>
        </w:tc>
        <w:tc>
          <w:tcPr>
            <w:tcW w:w="840" w:type="dxa"/>
          </w:tcPr>
          <w:p w:rsidR="00557A6F" w:rsidRDefault="00557A6F" w:rsidP="00AF5F55">
            <w:pPr>
              <w:jc w:val="right"/>
            </w:pPr>
            <w:r>
              <w:t>63 %</w:t>
            </w:r>
          </w:p>
        </w:tc>
      </w:tr>
    </w:tbl>
    <w:p w:rsidR="00557A6F" w:rsidRDefault="00557A6F" w:rsidP="00557A6F">
      <w:pPr>
        <w:pStyle w:val="Kilde"/>
      </w:pPr>
      <w:r>
        <w:t xml:space="preserve">Statens sentrale tjenestemannsregister per 1. oktober og innrapporterte opplysninger fra departementene per 31.12. </w:t>
      </w:r>
    </w:p>
    <w:p w:rsidR="00557A6F" w:rsidRDefault="00557A6F" w:rsidP="00557A6F">
      <w:r>
        <w:lastRenderedPageBreak/>
        <w:t xml:space="preserve">Kvinneandelen blant alle ledere og medarbeidere i ledende stillinger i staten har økt fra 45 pst. i 2012 til 54 pst. i 2018. Kvinneandelen blant ledere omfattet av lederlønnsordningen har ligget på om lag 35 pst. fra 2012 til 2018. </w:t>
      </w:r>
    </w:p>
    <w:p w:rsidR="00557A6F" w:rsidRDefault="00557A6F" w:rsidP="00557A6F">
      <w:pPr>
        <w:pStyle w:val="Overskrift2"/>
      </w:pPr>
      <w:r>
        <w:lastRenderedPageBreak/>
        <w:t>Likestilling i virksomhetene</w:t>
      </w:r>
    </w:p>
    <w:p w:rsidR="00557A6F" w:rsidRDefault="00557A6F" w:rsidP="00557A6F">
      <w:r>
        <w:t>Tabell 7.6 gir en oversikt over kjønnsbalansen i Kommunal- og moderniseringsdepartementet. D</w:t>
      </w:r>
      <w:r>
        <w:t>e</w:t>
      </w:r>
      <w:r>
        <w:t>partementet tilstreber lik lønn mellom kjønnene innen alle stillingskategorier.</w:t>
      </w:r>
    </w:p>
    <w:p w:rsidR="00AF5F55" w:rsidRDefault="00AF5F55" w:rsidP="00AF5F55">
      <w:pPr>
        <w:pStyle w:val="tabell-tittel"/>
      </w:pPr>
      <w:r>
        <w:t>Kjønnsbalanse Kommunal- og moderniseringsdepartementet</w:t>
      </w:r>
    </w:p>
    <w:p w:rsidR="00557A6F" w:rsidRDefault="00557A6F" w:rsidP="00557A6F">
      <w:pPr>
        <w:pStyle w:val="Tabellnavn"/>
      </w:pPr>
      <w:r>
        <w:t>06J2xt2</w:t>
      </w:r>
    </w:p>
    <w:tbl>
      <w:tblPr>
        <w:tblStyle w:val="StandardTabell"/>
        <w:tblW w:w="0" w:type="auto"/>
        <w:tblLayout w:type="fixed"/>
        <w:tblLook w:val="04A0" w:firstRow="1" w:lastRow="0" w:firstColumn="1" w:lastColumn="0" w:noHBand="0" w:noVBand="1"/>
      </w:tblPr>
      <w:tblGrid>
        <w:gridCol w:w="3100"/>
        <w:gridCol w:w="780"/>
        <w:gridCol w:w="1400"/>
        <w:gridCol w:w="1400"/>
        <w:gridCol w:w="1400"/>
        <w:gridCol w:w="1400"/>
      </w:tblGrid>
      <w:tr w:rsidR="00557A6F" w:rsidTr="00AF5F55">
        <w:trPr>
          <w:trHeight w:val="600"/>
        </w:trPr>
        <w:tc>
          <w:tcPr>
            <w:tcW w:w="3100" w:type="dxa"/>
            <w:shd w:val="clear" w:color="auto" w:fill="FFFFFF"/>
          </w:tcPr>
          <w:p w:rsidR="00557A6F" w:rsidRDefault="00557A6F" w:rsidP="00557A6F"/>
        </w:tc>
        <w:tc>
          <w:tcPr>
            <w:tcW w:w="780" w:type="dxa"/>
          </w:tcPr>
          <w:p w:rsidR="00557A6F" w:rsidRDefault="00557A6F" w:rsidP="00557A6F"/>
        </w:tc>
        <w:tc>
          <w:tcPr>
            <w:tcW w:w="4200" w:type="dxa"/>
            <w:gridSpan w:val="3"/>
          </w:tcPr>
          <w:p w:rsidR="00557A6F" w:rsidRDefault="00557A6F" w:rsidP="00AF5F55">
            <w:pPr>
              <w:jc w:val="center"/>
            </w:pPr>
            <w:r>
              <w:t>Kjønnsbalanse</w:t>
            </w:r>
          </w:p>
        </w:tc>
        <w:tc>
          <w:tcPr>
            <w:tcW w:w="1400" w:type="dxa"/>
          </w:tcPr>
          <w:p w:rsidR="00557A6F" w:rsidRDefault="00557A6F" w:rsidP="00AF5F55">
            <w:pPr>
              <w:jc w:val="right"/>
            </w:pPr>
            <w:r>
              <w:t xml:space="preserve">Kvinners lønn </w:t>
            </w:r>
            <w:r>
              <w:br/>
              <w:t>i % av menn</w:t>
            </w:r>
          </w:p>
        </w:tc>
      </w:tr>
      <w:tr w:rsidR="00557A6F" w:rsidTr="00AF5F55">
        <w:trPr>
          <w:trHeight w:val="340"/>
        </w:trPr>
        <w:tc>
          <w:tcPr>
            <w:tcW w:w="3100" w:type="dxa"/>
          </w:tcPr>
          <w:p w:rsidR="00557A6F" w:rsidRDefault="00557A6F" w:rsidP="00557A6F"/>
        </w:tc>
        <w:tc>
          <w:tcPr>
            <w:tcW w:w="780" w:type="dxa"/>
          </w:tcPr>
          <w:p w:rsidR="00557A6F" w:rsidRDefault="00557A6F" w:rsidP="00557A6F"/>
        </w:tc>
        <w:tc>
          <w:tcPr>
            <w:tcW w:w="1400" w:type="dxa"/>
          </w:tcPr>
          <w:p w:rsidR="00557A6F" w:rsidRDefault="00557A6F" w:rsidP="00AF5F55">
            <w:pPr>
              <w:jc w:val="right"/>
            </w:pPr>
            <w:r>
              <w:t>M %</w:t>
            </w:r>
          </w:p>
        </w:tc>
        <w:tc>
          <w:tcPr>
            <w:tcW w:w="1400" w:type="dxa"/>
          </w:tcPr>
          <w:p w:rsidR="00557A6F" w:rsidRDefault="00557A6F" w:rsidP="00AF5F55">
            <w:pPr>
              <w:jc w:val="right"/>
            </w:pPr>
            <w:r>
              <w:t>K %</w:t>
            </w:r>
          </w:p>
        </w:tc>
        <w:tc>
          <w:tcPr>
            <w:tcW w:w="1400" w:type="dxa"/>
          </w:tcPr>
          <w:p w:rsidR="00557A6F" w:rsidRDefault="00557A6F" w:rsidP="00AF5F55">
            <w:pPr>
              <w:jc w:val="right"/>
            </w:pPr>
            <w:r>
              <w:t>Total</w:t>
            </w:r>
          </w:p>
        </w:tc>
        <w:tc>
          <w:tcPr>
            <w:tcW w:w="1400" w:type="dxa"/>
          </w:tcPr>
          <w:p w:rsidR="00557A6F" w:rsidRDefault="00557A6F" w:rsidP="00AF5F55">
            <w:pPr>
              <w:jc w:val="right"/>
            </w:pPr>
            <w:r>
              <w:t>(kr</w:t>
            </w:r>
            <w:proofErr w:type="gramStart"/>
            <w:r>
              <w:t>/%</w:t>
            </w:r>
            <w:proofErr w:type="gramEnd"/>
            <w:r>
              <w:t>)</w:t>
            </w:r>
          </w:p>
        </w:tc>
      </w:tr>
      <w:tr w:rsidR="00557A6F" w:rsidTr="00AF5F55">
        <w:trPr>
          <w:trHeight w:val="360"/>
        </w:trPr>
        <w:tc>
          <w:tcPr>
            <w:tcW w:w="3100" w:type="dxa"/>
            <w:vMerge w:val="restart"/>
          </w:tcPr>
          <w:p w:rsidR="00557A6F" w:rsidRDefault="00557A6F" w:rsidP="00557A6F">
            <w:r>
              <w:t>Kommunal- og modernis</w:t>
            </w:r>
            <w:r>
              <w:t>e</w:t>
            </w:r>
            <w:r>
              <w:t>ringsdepartementet</w:t>
            </w:r>
          </w:p>
        </w:tc>
        <w:tc>
          <w:tcPr>
            <w:tcW w:w="780" w:type="dxa"/>
          </w:tcPr>
          <w:p w:rsidR="00557A6F" w:rsidRDefault="00557A6F" w:rsidP="00557A6F">
            <w:r>
              <w:t>2018</w:t>
            </w:r>
          </w:p>
        </w:tc>
        <w:tc>
          <w:tcPr>
            <w:tcW w:w="1400" w:type="dxa"/>
          </w:tcPr>
          <w:p w:rsidR="00557A6F" w:rsidRDefault="00557A6F" w:rsidP="00AF5F55">
            <w:pPr>
              <w:jc w:val="right"/>
            </w:pPr>
            <w:r>
              <w:t>40</w:t>
            </w:r>
          </w:p>
        </w:tc>
        <w:tc>
          <w:tcPr>
            <w:tcW w:w="1400" w:type="dxa"/>
          </w:tcPr>
          <w:p w:rsidR="00557A6F" w:rsidRDefault="00557A6F" w:rsidP="00AF5F55">
            <w:pPr>
              <w:jc w:val="right"/>
            </w:pPr>
            <w:r>
              <w:t>60</w:t>
            </w:r>
          </w:p>
        </w:tc>
        <w:tc>
          <w:tcPr>
            <w:tcW w:w="1400" w:type="dxa"/>
          </w:tcPr>
          <w:p w:rsidR="00557A6F" w:rsidRDefault="00557A6F" w:rsidP="00AF5F55">
            <w:pPr>
              <w:jc w:val="right"/>
            </w:pPr>
            <w:r>
              <w:t>359</w:t>
            </w:r>
          </w:p>
        </w:tc>
        <w:tc>
          <w:tcPr>
            <w:tcW w:w="1400" w:type="dxa"/>
          </w:tcPr>
          <w:p w:rsidR="00557A6F" w:rsidRDefault="00557A6F" w:rsidP="00AF5F55">
            <w:pPr>
              <w:jc w:val="right"/>
            </w:pPr>
            <w:r>
              <w:t>98,3</w:t>
            </w:r>
          </w:p>
        </w:tc>
      </w:tr>
      <w:tr w:rsidR="00557A6F" w:rsidTr="00AF5F55">
        <w:trPr>
          <w:trHeight w:val="360"/>
        </w:trPr>
        <w:tc>
          <w:tcPr>
            <w:tcW w:w="3100" w:type="dxa"/>
            <w:vMerge/>
          </w:tcPr>
          <w:p w:rsidR="00557A6F" w:rsidRDefault="00557A6F" w:rsidP="004769CB"/>
        </w:tc>
        <w:tc>
          <w:tcPr>
            <w:tcW w:w="780" w:type="dxa"/>
          </w:tcPr>
          <w:p w:rsidR="00557A6F" w:rsidRDefault="00557A6F" w:rsidP="00557A6F">
            <w:r>
              <w:t>2017</w:t>
            </w:r>
          </w:p>
        </w:tc>
        <w:tc>
          <w:tcPr>
            <w:tcW w:w="1400" w:type="dxa"/>
          </w:tcPr>
          <w:p w:rsidR="00557A6F" w:rsidRDefault="00557A6F" w:rsidP="00AF5F55">
            <w:pPr>
              <w:jc w:val="right"/>
            </w:pPr>
            <w:r>
              <w:t>42</w:t>
            </w:r>
          </w:p>
        </w:tc>
        <w:tc>
          <w:tcPr>
            <w:tcW w:w="1400" w:type="dxa"/>
          </w:tcPr>
          <w:p w:rsidR="00557A6F" w:rsidRDefault="00557A6F" w:rsidP="00AF5F55">
            <w:pPr>
              <w:jc w:val="right"/>
            </w:pPr>
            <w:r>
              <w:t>58</w:t>
            </w:r>
          </w:p>
        </w:tc>
        <w:tc>
          <w:tcPr>
            <w:tcW w:w="1400" w:type="dxa"/>
          </w:tcPr>
          <w:p w:rsidR="00557A6F" w:rsidRDefault="00557A6F" w:rsidP="00AF5F55">
            <w:pPr>
              <w:jc w:val="right"/>
            </w:pPr>
            <w:r>
              <w:t>380</w:t>
            </w:r>
          </w:p>
        </w:tc>
        <w:tc>
          <w:tcPr>
            <w:tcW w:w="1400" w:type="dxa"/>
          </w:tcPr>
          <w:p w:rsidR="00557A6F" w:rsidRDefault="00557A6F" w:rsidP="00AF5F55">
            <w:pPr>
              <w:jc w:val="right"/>
            </w:pPr>
            <w:r>
              <w:t>95</w:t>
            </w:r>
          </w:p>
        </w:tc>
      </w:tr>
    </w:tbl>
    <w:p w:rsidR="00557A6F" w:rsidRDefault="00557A6F" w:rsidP="00557A6F">
      <w:r>
        <w:t>Tabell 7.7 viser at prosentandelen som arbeider deltid er synkende både for kvinner og menn. Det er fortsatt flere kvinner enn menn som arbeider deltid. Prosentandelen midlertidig ansatte synker også, og i 2018 var andelen lik for kvinner og menn. Både kvinner og menn tar ut foreldreperm</w:t>
      </w:r>
      <w:r>
        <w:t>i</w:t>
      </w:r>
      <w:r>
        <w:t xml:space="preserve">sjon og har mulighet til å tilpasse arbeidstiden i småbarnsperioden. I 2018 var kjønnsfordelingen av foreldrepermisjon jevnere enn tidligere år. Fortsatt har kvinner noe høyere legemeldt sykefravær enn menn. Prosentandelen er imidlertid synkende for kvinner, mens den for menn er stabil. </w:t>
      </w:r>
    </w:p>
    <w:p w:rsidR="00AF5F55" w:rsidRDefault="00AF5F55" w:rsidP="00AF5F55">
      <w:pPr>
        <w:pStyle w:val="tabell-tittel"/>
      </w:pPr>
      <w:r>
        <w:t>Deltid, midlertidig ansettelse, foreldrepermisjon og sykefravær i Kommunal- og m</w:t>
      </w:r>
      <w:r>
        <w:t>o</w:t>
      </w:r>
      <w:r>
        <w:t>derniseringsdepartementet</w:t>
      </w:r>
    </w:p>
    <w:p w:rsidR="00557A6F" w:rsidRDefault="00557A6F" w:rsidP="00557A6F">
      <w:pPr>
        <w:pStyle w:val="Tabellnavn"/>
      </w:pPr>
      <w:r>
        <w:t>10J2xt2</w:t>
      </w:r>
    </w:p>
    <w:tbl>
      <w:tblPr>
        <w:tblStyle w:val="StandardTabell"/>
        <w:tblW w:w="0" w:type="auto"/>
        <w:tblLayout w:type="fixed"/>
        <w:tblLook w:val="04A0" w:firstRow="1" w:lastRow="0" w:firstColumn="1" w:lastColumn="0" w:noHBand="0" w:noVBand="1"/>
      </w:tblPr>
      <w:tblGrid>
        <w:gridCol w:w="1920"/>
        <w:gridCol w:w="840"/>
        <w:gridCol w:w="840"/>
        <w:gridCol w:w="840"/>
        <w:gridCol w:w="840"/>
        <w:gridCol w:w="840"/>
        <w:gridCol w:w="840"/>
        <w:gridCol w:w="840"/>
        <w:gridCol w:w="840"/>
        <w:gridCol w:w="840"/>
      </w:tblGrid>
      <w:tr w:rsidR="00557A6F" w:rsidTr="00557A6F">
        <w:trPr>
          <w:trHeight w:val="600"/>
        </w:trPr>
        <w:tc>
          <w:tcPr>
            <w:tcW w:w="1920" w:type="dxa"/>
          </w:tcPr>
          <w:p w:rsidR="00557A6F" w:rsidRDefault="00557A6F" w:rsidP="00557A6F"/>
        </w:tc>
        <w:tc>
          <w:tcPr>
            <w:tcW w:w="840" w:type="dxa"/>
          </w:tcPr>
          <w:p w:rsidR="00557A6F" w:rsidRDefault="00557A6F" w:rsidP="00557A6F"/>
        </w:tc>
        <w:tc>
          <w:tcPr>
            <w:tcW w:w="1680" w:type="dxa"/>
            <w:gridSpan w:val="2"/>
          </w:tcPr>
          <w:p w:rsidR="00557A6F" w:rsidRDefault="00557A6F" w:rsidP="00AF5F55">
            <w:pPr>
              <w:jc w:val="center"/>
            </w:pPr>
            <w:r>
              <w:t>Deltid</w:t>
            </w:r>
          </w:p>
        </w:tc>
        <w:tc>
          <w:tcPr>
            <w:tcW w:w="1680" w:type="dxa"/>
            <w:gridSpan w:val="2"/>
          </w:tcPr>
          <w:p w:rsidR="00557A6F" w:rsidRDefault="00557A6F" w:rsidP="00AF5F55">
            <w:pPr>
              <w:jc w:val="center"/>
            </w:pPr>
            <w:r>
              <w:t xml:space="preserve">Midlertidig </w:t>
            </w:r>
            <w:r>
              <w:br/>
              <w:t>ansettelse</w:t>
            </w:r>
          </w:p>
        </w:tc>
        <w:tc>
          <w:tcPr>
            <w:tcW w:w="1680" w:type="dxa"/>
            <w:gridSpan w:val="2"/>
          </w:tcPr>
          <w:p w:rsidR="00557A6F" w:rsidRDefault="00557A6F" w:rsidP="00AF5F55">
            <w:pPr>
              <w:jc w:val="center"/>
            </w:pPr>
            <w:r>
              <w:t>Foreldreperm</w:t>
            </w:r>
            <w:r>
              <w:t>i</w:t>
            </w:r>
            <w:r>
              <w:t>sjon</w:t>
            </w:r>
            <w:r>
              <w:br/>
              <w:t xml:space="preserve"> (fordeling)</w:t>
            </w:r>
          </w:p>
        </w:tc>
        <w:tc>
          <w:tcPr>
            <w:tcW w:w="1680" w:type="dxa"/>
            <w:gridSpan w:val="2"/>
          </w:tcPr>
          <w:p w:rsidR="00557A6F" w:rsidRDefault="00557A6F" w:rsidP="00AF5F55">
            <w:pPr>
              <w:jc w:val="center"/>
            </w:pPr>
            <w:r>
              <w:t xml:space="preserve">Legemeldt </w:t>
            </w:r>
            <w:r>
              <w:br/>
              <w:t>sykefravær</w:t>
            </w:r>
          </w:p>
        </w:tc>
      </w:tr>
      <w:tr w:rsidR="00557A6F" w:rsidTr="00557A6F">
        <w:trPr>
          <w:trHeight w:val="360"/>
        </w:trPr>
        <w:tc>
          <w:tcPr>
            <w:tcW w:w="1920" w:type="dxa"/>
          </w:tcPr>
          <w:p w:rsidR="00557A6F" w:rsidRDefault="00557A6F" w:rsidP="00557A6F"/>
        </w:tc>
        <w:tc>
          <w:tcPr>
            <w:tcW w:w="840" w:type="dxa"/>
          </w:tcPr>
          <w:p w:rsidR="00557A6F" w:rsidRDefault="00557A6F" w:rsidP="00557A6F"/>
        </w:tc>
        <w:tc>
          <w:tcPr>
            <w:tcW w:w="840" w:type="dxa"/>
          </w:tcPr>
          <w:p w:rsidR="00557A6F" w:rsidRDefault="00557A6F" w:rsidP="00AF5F55">
            <w:pPr>
              <w:jc w:val="right"/>
            </w:pPr>
            <w:r>
              <w:t>M %</w:t>
            </w:r>
          </w:p>
        </w:tc>
        <w:tc>
          <w:tcPr>
            <w:tcW w:w="840" w:type="dxa"/>
          </w:tcPr>
          <w:p w:rsidR="00557A6F" w:rsidRDefault="00557A6F" w:rsidP="00AF5F55">
            <w:pPr>
              <w:jc w:val="right"/>
            </w:pPr>
            <w:r>
              <w:t>K %</w:t>
            </w:r>
          </w:p>
        </w:tc>
        <w:tc>
          <w:tcPr>
            <w:tcW w:w="840" w:type="dxa"/>
          </w:tcPr>
          <w:p w:rsidR="00557A6F" w:rsidRDefault="00557A6F" w:rsidP="00AF5F55">
            <w:pPr>
              <w:jc w:val="right"/>
            </w:pPr>
            <w:r>
              <w:t>M %</w:t>
            </w:r>
          </w:p>
        </w:tc>
        <w:tc>
          <w:tcPr>
            <w:tcW w:w="840" w:type="dxa"/>
          </w:tcPr>
          <w:p w:rsidR="00557A6F" w:rsidRDefault="00557A6F" w:rsidP="00AF5F55">
            <w:pPr>
              <w:jc w:val="right"/>
            </w:pPr>
            <w:r>
              <w:t>K %</w:t>
            </w:r>
          </w:p>
        </w:tc>
        <w:tc>
          <w:tcPr>
            <w:tcW w:w="840" w:type="dxa"/>
          </w:tcPr>
          <w:p w:rsidR="00557A6F" w:rsidRDefault="00557A6F" w:rsidP="00AF5F55">
            <w:pPr>
              <w:jc w:val="right"/>
            </w:pPr>
            <w:r>
              <w:t>M %</w:t>
            </w:r>
          </w:p>
        </w:tc>
        <w:tc>
          <w:tcPr>
            <w:tcW w:w="840" w:type="dxa"/>
          </w:tcPr>
          <w:p w:rsidR="00557A6F" w:rsidRDefault="00557A6F" w:rsidP="00AF5F55">
            <w:pPr>
              <w:jc w:val="right"/>
            </w:pPr>
            <w:r>
              <w:t>K %</w:t>
            </w:r>
          </w:p>
        </w:tc>
        <w:tc>
          <w:tcPr>
            <w:tcW w:w="840" w:type="dxa"/>
          </w:tcPr>
          <w:p w:rsidR="00557A6F" w:rsidRDefault="00557A6F" w:rsidP="00AF5F55">
            <w:pPr>
              <w:jc w:val="right"/>
            </w:pPr>
            <w:r>
              <w:t>M %</w:t>
            </w:r>
          </w:p>
        </w:tc>
        <w:tc>
          <w:tcPr>
            <w:tcW w:w="840" w:type="dxa"/>
          </w:tcPr>
          <w:p w:rsidR="00557A6F" w:rsidRDefault="00557A6F" w:rsidP="00AF5F55">
            <w:pPr>
              <w:jc w:val="right"/>
            </w:pPr>
            <w:r>
              <w:t>K %</w:t>
            </w:r>
          </w:p>
        </w:tc>
      </w:tr>
      <w:tr w:rsidR="00557A6F" w:rsidTr="00557A6F">
        <w:trPr>
          <w:trHeight w:val="380"/>
        </w:trPr>
        <w:tc>
          <w:tcPr>
            <w:tcW w:w="1920" w:type="dxa"/>
            <w:vMerge w:val="restart"/>
          </w:tcPr>
          <w:p w:rsidR="00557A6F" w:rsidRDefault="00557A6F" w:rsidP="00557A6F">
            <w:r>
              <w:t>Kommunal- og modernisering</w:t>
            </w:r>
            <w:r>
              <w:t>s</w:t>
            </w:r>
            <w:r>
              <w:t>departementet</w:t>
            </w:r>
          </w:p>
        </w:tc>
        <w:tc>
          <w:tcPr>
            <w:tcW w:w="840" w:type="dxa"/>
          </w:tcPr>
          <w:p w:rsidR="00557A6F" w:rsidRDefault="00557A6F" w:rsidP="00557A6F">
            <w:r>
              <w:t>2018</w:t>
            </w:r>
          </w:p>
        </w:tc>
        <w:tc>
          <w:tcPr>
            <w:tcW w:w="840" w:type="dxa"/>
          </w:tcPr>
          <w:p w:rsidR="00557A6F" w:rsidRDefault="00557A6F" w:rsidP="00AF5F55">
            <w:pPr>
              <w:jc w:val="right"/>
            </w:pPr>
            <w:r>
              <w:t>0,8</w:t>
            </w:r>
          </w:p>
        </w:tc>
        <w:tc>
          <w:tcPr>
            <w:tcW w:w="840" w:type="dxa"/>
          </w:tcPr>
          <w:p w:rsidR="00557A6F" w:rsidRDefault="00557A6F" w:rsidP="00AF5F55">
            <w:pPr>
              <w:jc w:val="right"/>
            </w:pPr>
            <w:r>
              <w:t>4,2</w:t>
            </w:r>
          </w:p>
        </w:tc>
        <w:tc>
          <w:tcPr>
            <w:tcW w:w="840" w:type="dxa"/>
          </w:tcPr>
          <w:p w:rsidR="00557A6F" w:rsidRDefault="00557A6F" w:rsidP="00AF5F55">
            <w:pPr>
              <w:jc w:val="right"/>
            </w:pPr>
            <w:r>
              <w:t>2,2</w:t>
            </w:r>
          </w:p>
        </w:tc>
        <w:tc>
          <w:tcPr>
            <w:tcW w:w="840" w:type="dxa"/>
          </w:tcPr>
          <w:p w:rsidR="00557A6F" w:rsidRDefault="00557A6F" w:rsidP="00AF5F55">
            <w:pPr>
              <w:jc w:val="right"/>
            </w:pPr>
            <w:r>
              <w:t>2,2</w:t>
            </w:r>
          </w:p>
        </w:tc>
        <w:tc>
          <w:tcPr>
            <w:tcW w:w="840" w:type="dxa"/>
          </w:tcPr>
          <w:p w:rsidR="00557A6F" w:rsidRDefault="00557A6F" w:rsidP="00AF5F55">
            <w:pPr>
              <w:jc w:val="right"/>
            </w:pPr>
            <w:r>
              <w:t>41</w:t>
            </w:r>
          </w:p>
        </w:tc>
        <w:tc>
          <w:tcPr>
            <w:tcW w:w="840" w:type="dxa"/>
          </w:tcPr>
          <w:p w:rsidR="00557A6F" w:rsidRDefault="00557A6F" w:rsidP="00AF5F55">
            <w:pPr>
              <w:jc w:val="right"/>
            </w:pPr>
            <w:r>
              <w:t>59</w:t>
            </w:r>
          </w:p>
        </w:tc>
        <w:tc>
          <w:tcPr>
            <w:tcW w:w="840" w:type="dxa"/>
          </w:tcPr>
          <w:p w:rsidR="00557A6F" w:rsidRDefault="00557A6F" w:rsidP="00AF5F55">
            <w:pPr>
              <w:jc w:val="right"/>
            </w:pPr>
            <w:r>
              <w:t>2,0</w:t>
            </w:r>
          </w:p>
        </w:tc>
        <w:tc>
          <w:tcPr>
            <w:tcW w:w="840" w:type="dxa"/>
          </w:tcPr>
          <w:p w:rsidR="00557A6F" w:rsidRDefault="00557A6F" w:rsidP="00AF5F55">
            <w:pPr>
              <w:jc w:val="right"/>
            </w:pPr>
            <w:r>
              <w:t>3,6</w:t>
            </w:r>
          </w:p>
        </w:tc>
      </w:tr>
      <w:tr w:rsidR="00557A6F" w:rsidTr="00557A6F">
        <w:trPr>
          <w:trHeight w:val="500"/>
        </w:trPr>
        <w:tc>
          <w:tcPr>
            <w:tcW w:w="1920" w:type="dxa"/>
            <w:vMerge/>
          </w:tcPr>
          <w:p w:rsidR="00557A6F" w:rsidRDefault="00557A6F" w:rsidP="004769CB"/>
        </w:tc>
        <w:tc>
          <w:tcPr>
            <w:tcW w:w="840" w:type="dxa"/>
          </w:tcPr>
          <w:p w:rsidR="00557A6F" w:rsidRDefault="00557A6F" w:rsidP="00557A6F">
            <w:r>
              <w:t>2017</w:t>
            </w:r>
          </w:p>
        </w:tc>
        <w:tc>
          <w:tcPr>
            <w:tcW w:w="840" w:type="dxa"/>
          </w:tcPr>
          <w:p w:rsidR="00557A6F" w:rsidRDefault="00557A6F" w:rsidP="00AF5F55">
            <w:pPr>
              <w:jc w:val="right"/>
            </w:pPr>
            <w:r>
              <w:t>3,1</w:t>
            </w:r>
          </w:p>
        </w:tc>
        <w:tc>
          <w:tcPr>
            <w:tcW w:w="840" w:type="dxa"/>
          </w:tcPr>
          <w:p w:rsidR="00557A6F" w:rsidRDefault="00557A6F" w:rsidP="00AF5F55">
            <w:pPr>
              <w:jc w:val="right"/>
            </w:pPr>
            <w:r>
              <w:t>8,2</w:t>
            </w:r>
          </w:p>
        </w:tc>
        <w:tc>
          <w:tcPr>
            <w:tcW w:w="840" w:type="dxa"/>
          </w:tcPr>
          <w:p w:rsidR="00557A6F" w:rsidRDefault="00557A6F" w:rsidP="00AF5F55">
            <w:pPr>
              <w:jc w:val="right"/>
            </w:pPr>
            <w:r>
              <w:t>4,4</w:t>
            </w:r>
          </w:p>
        </w:tc>
        <w:tc>
          <w:tcPr>
            <w:tcW w:w="840" w:type="dxa"/>
          </w:tcPr>
          <w:p w:rsidR="00557A6F" w:rsidRDefault="00557A6F" w:rsidP="00AF5F55">
            <w:pPr>
              <w:jc w:val="right"/>
            </w:pPr>
            <w:r>
              <w:t>3,2</w:t>
            </w:r>
          </w:p>
        </w:tc>
        <w:tc>
          <w:tcPr>
            <w:tcW w:w="840" w:type="dxa"/>
          </w:tcPr>
          <w:p w:rsidR="00557A6F" w:rsidRDefault="00557A6F" w:rsidP="00AF5F55">
            <w:pPr>
              <w:jc w:val="right"/>
            </w:pPr>
            <w:r>
              <w:t>19</w:t>
            </w:r>
          </w:p>
        </w:tc>
        <w:tc>
          <w:tcPr>
            <w:tcW w:w="840" w:type="dxa"/>
          </w:tcPr>
          <w:p w:rsidR="00557A6F" w:rsidRDefault="00557A6F" w:rsidP="00AF5F55">
            <w:pPr>
              <w:jc w:val="right"/>
            </w:pPr>
            <w:r>
              <w:t>81</w:t>
            </w:r>
          </w:p>
        </w:tc>
        <w:tc>
          <w:tcPr>
            <w:tcW w:w="840" w:type="dxa"/>
          </w:tcPr>
          <w:p w:rsidR="00557A6F" w:rsidRDefault="00557A6F" w:rsidP="00AF5F55">
            <w:pPr>
              <w:jc w:val="right"/>
            </w:pPr>
            <w:r>
              <w:t>2,0</w:t>
            </w:r>
          </w:p>
        </w:tc>
        <w:tc>
          <w:tcPr>
            <w:tcW w:w="840" w:type="dxa"/>
          </w:tcPr>
          <w:p w:rsidR="00557A6F" w:rsidRDefault="00557A6F" w:rsidP="00AF5F55">
            <w:pPr>
              <w:jc w:val="right"/>
            </w:pPr>
            <w:r>
              <w:t>3,7</w:t>
            </w:r>
          </w:p>
        </w:tc>
      </w:tr>
    </w:tbl>
    <w:p w:rsidR="00557A6F" w:rsidRDefault="00557A6F" w:rsidP="00557A6F">
      <w:r>
        <w:t>Tabell 7.8 gir en tilstandsrapportering om likestillingssituasjonen i departementets underliggende vir</w:t>
      </w:r>
      <w:r>
        <w:t>k</w:t>
      </w:r>
      <w:r>
        <w:t xml:space="preserve">somheter. I rapporten er fylkesmannsembetene sett under ett. </w:t>
      </w:r>
    </w:p>
    <w:p w:rsidR="00AF5F55" w:rsidRDefault="00AF5F55" w:rsidP="00AF5F55">
      <w:pPr>
        <w:pStyle w:val="tabell-tittel"/>
      </w:pPr>
      <w:r>
        <w:t>Tilstandsrapportering underliggende virksomheter</w:t>
      </w:r>
    </w:p>
    <w:p w:rsidR="00557A6F" w:rsidRDefault="00557A6F" w:rsidP="00557A6F">
      <w:pPr>
        <w:pStyle w:val="Tabellnavn"/>
      </w:pPr>
      <w:r>
        <w:t>14J2xt2</w:t>
      </w:r>
    </w:p>
    <w:tbl>
      <w:tblPr>
        <w:tblStyle w:val="StandardTabell"/>
        <w:tblW w:w="0" w:type="auto"/>
        <w:tblLayout w:type="fixed"/>
        <w:tblLook w:val="04A0" w:firstRow="1" w:lastRow="0" w:firstColumn="1" w:lastColumn="0" w:noHBand="0" w:noVBand="1"/>
      </w:tblPr>
      <w:tblGrid>
        <w:gridCol w:w="1880"/>
        <w:gridCol w:w="640"/>
        <w:gridCol w:w="520"/>
        <w:gridCol w:w="520"/>
        <w:gridCol w:w="640"/>
        <w:gridCol w:w="1040"/>
        <w:gridCol w:w="520"/>
        <w:gridCol w:w="520"/>
        <w:gridCol w:w="520"/>
        <w:gridCol w:w="520"/>
        <w:gridCol w:w="520"/>
        <w:gridCol w:w="520"/>
        <w:gridCol w:w="520"/>
        <w:gridCol w:w="520"/>
      </w:tblGrid>
      <w:tr w:rsidR="00557A6F" w:rsidTr="00557A6F">
        <w:trPr>
          <w:trHeight w:val="860"/>
        </w:trPr>
        <w:tc>
          <w:tcPr>
            <w:tcW w:w="1880" w:type="dxa"/>
          </w:tcPr>
          <w:p w:rsidR="00557A6F" w:rsidRDefault="00557A6F" w:rsidP="00557A6F">
            <w:r>
              <w:t> </w:t>
            </w:r>
          </w:p>
        </w:tc>
        <w:tc>
          <w:tcPr>
            <w:tcW w:w="640" w:type="dxa"/>
          </w:tcPr>
          <w:p w:rsidR="00557A6F" w:rsidRDefault="00557A6F" w:rsidP="00557A6F">
            <w:r>
              <w:t> </w:t>
            </w:r>
          </w:p>
        </w:tc>
        <w:tc>
          <w:tcPr>
            <w:tcW w:w="1680" w:type="dxa"/>
            <w:gridSpan w:val="3"/>
          </w:tcPr>
          <w:p w:rsidR="00557A6F" w:rsidRDefault="00557A6F" w:rsidP="00AF5F55">
            <w:pPr>
              <w:jc w:val="center"/>
            </w:pPr>
            <w:r>
              <w:t>Kjønnsbalanse</w:t>
            </w:r>
          </w:p>
        </w:tc>
        <w:tc>
          <w:tcPr>
            <w:tcW w:w="1040" w:type="dxa"/>
          </w:tcPr>
          <w:p w:rsidR="00557A6F" w:rsidRDefault="00557A6F" w:rsidP="00AF5F55">
            <w:pPr>
              <w:jc w:val="center"/>
            </w:pPr>
            <w:r>
              <w:t xml:space="preserve">Kvinners lønn i % </w:t>
            </w:r>
            <w:r>
              <w:br/>
              <w:t>av menn</w:t>
            </w:r>
          </w:p>
        </w:tc>
        <w:tc>
          <w:tcPr>
            <w:tcW w:w="1040" w:type="dxa"/>
            <w:gridSpan w:val="2"/>
          </w:tcPr>
          <w:p w:rsidR="00557A6F" w:rsidRDefault="00557A6F" w:rsidP="00AF5F55">
            <w:pPr>
              <w:jc w:val="center"/>
            </w:pPr>
            <w:r>
              <w:t>Deltid</w:t>
            </w:r>
          </w:p>
        </w:tc>
        <w:tc>
          <w:tcPr>
            <w:tcW w:w="1040" w:type="dxa"/>
            <w:gridSpan w:val="2"/>
          </w:tcPr>
          <w:p w:rsidR="00557A6F" w:rsidRDefault="00557A6F" w:rsidP="00AF5F55">
            <w:pPr>
              <w:jc w:val="center"/>
            </w:pPr>
            <w:r>
              <w:t>Midle</w:t>
            </w:r>
            <w:r>
              <w:t>r</w:t>
            </w:r>
            <w:r>
              <w:t>tidig ansette</w:t>
            </w:r>
            <w:r>
              <w:t>l</w:t>
            </w:r>
            <w:r>
              <w:t>se</w:t>
            </w:r>
          </w:p>
        </w:tc>
        <w:tc>
          <w:tcPr>
            <w:tcW w:w="1040" w:type="dxa"/>
            <w:gridSpan w:val="2"/>
          </w:tcPr>
          <w:p w:rsidR="00557A6F" w:rsidRDefault="00557A6F" w:rsidP="00AF5F55">
            <w:pPr>
              <w:jc w:val="center"/>
            </w:pPr>
            <w:r>
              <w:t>Fo</w:t>
            </w:r>
            <w:r>
              <w:t>r</w:t>
            </w:r>
            <w:r>
              <w:t>eldr</w:t>
            </w:r>
            <w:r>
              <w:t>e</w:t>
            </w:r>
            <w:r>
              <w:t>perm</w:t>
            </w:r>
            <w:r>
              <w:t>i</w:t>
            </w:r>
            <w:r>
              <w:t>sjon (ford</w:t>
            </w:r>
            <w:r>
              <w:t>e</w:t>
            </w:r>
            <w:r>
              <w:t>ling)</w:t>
            </w:r>
          </w:p>
        </w:tc>
        <w:tc>
          <w:tcPr>
            <w:tcW w:w="1040" w:type="dxa"/>
            <w:gridSpan w:val="2"/>
          </w:tcPr>
          <w:p w:rsidR="00557A6F" w:rsidRDefault="00557A6F" w:rsidP="00AF5F55">
            <w:pPr>
              <w:jc w:val="center"/>
            </w:pPr>
            <w:r>
              <w:t>Leg</w:t>
            </w:r>
            <w:r>
              <w:t>e</w:t>
            </w:r>
            <w:r>
              <w:t>meldt syk</w:t>
            </w:r>
            <w:r>
              <w:t>e</w:t>
            </w:r>
            <w:r>
              <w:t>fravær</w:t>
            </w:r>
          </w:p>
        </w:tc>
      </w:tr>
      <w:tr w:rsidR="00557A6F" w:rsidTr="00557A6F">
        <w:trPr>
          <w:trHeight w:val="360"/>
        </w:trPr>
        <w:tc>
          <w:tcPr>
            <w:tcW w:w="2520" w:type="dxa"/>
            <w:gridSpan w:val="2"/>
          </w:tcPr>
          <w:p w:rsidR="00557A6F" w:rsidRDefault="00557A6F" w:rsidP="00557A6F">
            <w:r>
              <w:t> </w:t>
            </w:r>
          </w:p>
        </w:tc>
        <w:tc>
          <w:tcPr>
            <w:tcW w:w="520" w:type="dxa"/>
          </w:tcPr>
          <w:p w:rsidR="00557A6F" w:rsidRDefault="00557A6F" w:rsidP="00AF5F55">
            <w:pPr>
              <w:jc w:val="right"/>
            </w:pPr>
            <w:proofErr w:type="gramStart"/>
            <w:r>
              <w:t>M%</w:t>
            </w:r>
            <w:proofErr w:type="gramEnd"/>
          </w:p>
        </w:tc>
        <w:tc>
          <w:tcPr>
            <w:tcW w:w="520" w:type="dxa"/>
          </w:tcPr>
          <w:p w:rsidR="00557A6F" w:rsidRDefault="00557A6F" w:rsidP="00AF5F55">
            <w:pPr>
              <w:jc w:val="right"/>
            </w:pPr>
            <w:proofErr w:type="gramStart"/>
            <w:r>
              <w:t>K%</w:t>
            </w:r>
            <w:proofErr w:type="gramEnd"/>
          </w:p>
        </w:tc>
        <w:tc>
          <w:tcPr>
            <w:tcW w:w="640" w:type="dxa"/>
          </w:tcPr>
          <w:p w:rsidR="00557A6F" w:rsidRDefault="00557A6F" w:rsidP="00AF5F55">
            <w:pPr>
              <w:jc w:val="right"/>
            </w:pPr>
            <w:r>
              <w:t>T</w:t>
            </w:r>
            <w:r>
              <w:t>o</w:t>
            </w:r>
            <w:r>
              <w:t>tal</w:t>
            </w:r>
          </w:p>
        </w:tc>
        <w:tc>
          <w:tcPr>
            <w:tcW w:w="1040" w:type="dxa"/>
          </w:tcPr>
          <w:p w:rsidR="00557A6F" w:rsidRDefault="00557A6F" w:rsidP="00AF5F55">
            <w:pPr>
              <w:jc w:val="right"/>
            </w:pPr>
            <w:r>
              <w:t>(kr</w:t>
            </w:r>
            <w:proofErr w:type="gramStart"/>
            <w:r>
              <w:t>/%</w:t>
            </w:r>
            <w:proofErr w:type="gramEnd"/>
            <w:r>
              <w:t>)</w:t>
            </w:r>
          </w:p>
        </w:tc>
        <w:tc>
          <w:tcPr>
            <w:tcW w:w="520" w:type="dxa"/>
          </w:tcPr>
          <w:p w:rsidR="00557A6F" w:rsidRDefault="00557A6F" w:rsidP="00AF5F55">
            <w:pPr>
              <w:jc w:val="right"/>
            </w:pPr>
            <w:proofErr w:type="gramStart"/>
            <w:r>
              <w:t>M%</w:t>
            </w:r>
            <w:proofErr w:type="gramEnd"/>
          </w:p>
        </w:tc>
        <w:tc>
          <w:tcPr>
            <w:tcW w:w="520" w:type="dxa"/>
          </w:tcPr>
          <w:p w:rsidR="00557A6F" w:rsidRDefault="00557A6F" w:rsidP="00AF5F55">
            <w:pPr>
              <w:jc w:val="right"/>
            </w:pPr>
            <w:proofErr w:type="gramStart"/>
            <w:r>
              <w:t>K%</w:t>
            </w:r>
            <w:proofErr w:type="gramEnd"/>
          </w:p>
        </w:tc>
        <w:tc>
          <w:tcPr>
            <w:tcW w:w="520" w:type="dxa"/>
          </w:tcPr>
          <w:p w:rsidR="00557A6F" w:rsidRDefault="00557A6F" w:rsidP="00AF5F55">
            <w:pPr>
              <w:jc w:val="right"/>
            </w:pPr>
            <w:proofErr w:type="gramStart"/>
            <w:r>
              <w:t>M%</w:t>
            </w:r>
            <w:proofErr w:type="gramEnd"/>
          </w:p>
        </w:tc>
        <w:tc>
          <w:tcPr>
            <w:tcW w:w="520" w:type="dxa"/>
          </w:tcPr>
          <w:p w:rsidR="00557A6F" w:rsidRDefault="00557A6F" w:rsidP="00AF5F55">
            <w:pPr>
              <w:jc w:val="right"/>
            </w:pPr>
            <w:proofErr w:type="gramStart"/>
            <w:r>
              <w:t>K%</w:t>
            </w:r>
            <w:proofErr w:type="gramEnd"/>
          </w:p>
        </w:tc>
        <w:tc>
          <w:tcPr>
            <w:tcW w:w="520" w:type="dxa"/>
          </w:tcPr>
          <w:p w:rsidR="00557A6F" w:rsidRDefault="00557A6F" w:rsidP="00AF5F55">
            <w:pPr>
              <w:jc w:val="right"/>
            </w:pPr>
            <w:proofErr w:type="gramStart"/>
            <w:r>
              <w:t>M%</w:t>
            </w:r>
            <w:proofErr w:type="gramEnd"/>
          </w:p>
        </w:tc>
        <w:tc>
          <w:tcPr>
            <w:tcW w:w="520" w:type="dxa"/>
          </w:tcPr>
          <w:p w:rsidR="00557A6F" w:rsidRDefault="00557A6F" w:rsidP="00AF5F55">
            <w:pPr>
              <w:jc w:val="right"/>
            </w:pPr>
            <w:proofErr w:type="gramStart"/>
            <w:r>
              <w:t>K%</w:t>
            </w:r>
            <w:proofErr w:type="gramEnd"/>
          </w:p>
        </w:tc>
        <w:tc>
          <w:tcPr>
            <w:tcW w:w="520" w:type="dxa"/>
          </w:tcPr>
          <w:p w:rsidR="00557A6F" w:rsidRDefault="00557A6F" w:rsidP="00AF5F55">
            <w:pPr>
              <w:jc w:val="right"/>
            </w:pPr>
            <w:proofErr w:type="gramStart"/>
            <w:r>
              <w:t>M%</w:t>
            </w:r>
            <w:proofErr w:type="gramEnd"/>
          </w:p>
        </w:tc>
        <w:tc>
          <w:tcPr>
            <w:tcW w:w="520" w:type="dxa"/>
          </w:tcPr>
          <w:p w:rsidR="00557A6F" w:rsidRDefault="00557A6F" w:rsidP="00AF5F55">
            <w:pPr>
              <w:jc w:val="right"/>
            </w:pPr>
            <w:proofErr w:type="gramStart"/>
            <w:r>
              <w:t>K%</w:t>
            </w:r>
            <w:proofErr w:type="gramEnd"/>
          </w:p>
        </w:tc>
      </w:tr>
      <w:tr w:rsidR="00557A6F" w:rsidTr="00557A6F">
        <w:trPr>
          <w:trHeight w:val="380"/>
        </w:trPr>
        <w:tc>
          <w:tcPr>
            <w:tcW w:w="1880" w:type="dxa"/>
            <w:vMerge w:val="restart"/>
          </w:tcPr>
          <w:p w:rsidR="00557A6F" w:rsidRDefault="00557A6F" w:rsidP="00557A6F">
            <w:r>
              <w:t>Datatilsynet</w:t>
            </w:r>
          </w:p>
        </w:tc>
        <w:tc>
          <w:tcPr>
            <w:tcW w:w="640" w:type="dxa"/>
          </w:tcPr>
          <w:p w:rsidR="00557A6F" w:rsidRDefault="00557A6F" w:rsidP="00557A6F">
            <w:r>
              <w:t>2018</w:t>
            </w:r>
          </w:p>
        </w:tc>
        <w:tc>
          <w:tcPr>
            <w:tcW w:w="520" w:type="dxa"/>
          </w:tcPr>
          <w:p w:rsidR="00557A6F" w:rsidRDefault="00557A6F" w:rsidP="00AF5F55">
            <w:pPr>
              <w:jc w:val="right"/>
            </w:pPr>
            <w:r>
              <w:t>34</w:t>
            </w:r>
          </w:p>
        </w:tc>
        <w:tc>
          <w:tcPr>
            <w:tcW w:w="520" w:type="dxa"/>
          </w:tcPr>
          <w:p w:rsidR="00557A6F" w:rsidRDefault="00557A6F" w:rsidP="00AF5F55">
            <w:pPr>
              <w:jc w:val="right"/>
            </w:pPr>
            <w:r>
              <w:t>66</w:t>
            </w:r>
          </w:p>
        </w:tc>
        <w:tc>
          <w:tcPr>
            <w:tcW w:w="640" w:type="dxa"/>
          </w:tcPr>
          <w:p w:rsidR="00557A6F" w:rsidRDefault="00557A6F" w:rsidP="00AF5F55">
            <w:pPr>
              <w:jc w:val="right"/>
            </w:pPr>
            <w:r>
              <w:t>41</w:t>
            </w:r>
          </w:p>
        </w:tc>
        <w:tc>
          <w:tcPr>
            <w:tcW w:w="1040" w:type="dxa"/>
          </w:tcPr>
          <w:p w:rsidR="00557A6F" w:rsidRDefault="00557A6F" w:rsidP="00AF5F55">
            <w:pPr>
              <w:jc w:val="right"/>
            </w:pPr>
            <w:r>
              <w:t>89</w:t>
            </w:r>
          </w:p>
        </w:tc>
        <w:tc>
          <w:tcPr>
            <w:tcW w:w="520" w:type="dxa"/>
          </w:tcPr>
          <w:p w:rsidR="00557A6F" w:rsidRDefault="00557A6F" w:rsidP="00AF5F55">
            <w:pPr>
              <w:jc w:val="right"/>
            </w:pPr>
            <w:r>
              <w:t>0,0</w:t>
            </w:r>
          </w:p>
        </w:tc>
        <w:tc>
          <w:tcPr>
            <w:tcW w:w="520" w:type="dxa"/>
          </w:tcPr>
          <w:p w:rsidR="00557A6F" w:rsidRDefault="00557A6F" w:rsidP="00AF5F55">
            <w:pPr>
              <w:jc w:val="right"/>
            </w:pPr>
            <w:r>
              <w:t>3,7</w:t>
            </w:r>
          </w:p>
        </w:tc>
        <w:tc>
          <w:tcPr>
            <w:tcW w:w="520" w:type="dxa"/>
          </w:tcPr>
          <w:p w:rsidR="00557A6F" w:rsidRDefault="00557A6F" w:rsidP="00AF5F55">
            <w:pPr>
              <w:jc w:val="right"/>
            </w:pPr>
            <w:r>
              <w:t>7,1</w:t>
            </w:r>
          </w:p>
        </w:tc>
        <w:tc>
          <w:tcPr>
            <w:tcW w:w="520" w:type="dxa"/>
          </w:tcPr>
          <w:p w:rsidR="00557A6F" w:rsidRDefault="00557A6F" w:rsidP="00AF5F55">
            <w:pPr>
              <w:jc w:val="right"/>
            </w:pPr>
            <w:r>
              <w:t>4,7</w:t>
            </w:r>
          </w:p>
        </w:tc>
        <w:tc>
          <w:tcPr>
            <w:tcW w:w="520" w:type="dxa"/>
          </w:tcPr>
          <w:p w:rsidR="00557A6F" w:rsidRDefault="00557A6F" w:rsidP="00AF5F55">
            <w:pPr>
              <w:jc w:val="right"/>
            </w:pPr>
            <w:r>
              <w:t>0</w:t>
            </w:r>
          </w:p>
        </w:tc>
        <w:tc>
          <w:tcPr>
            <w:tcW w:w="520" w:type="dxa"/>
          </w:tcPr>
          <w:p w:rsidR="00557A6F" w:rsidRDefault="00557A6F" w:rsidP="00AF5F55">
            <w:pPr>
              <w:jc w:val="right"/>
            </w:pPr>
            <w:r>
              <w:t>0</w:t>
            </w:r>
          </w:p>
        </w:tc>
        <w:tc>
          <w:tcPr>
            <w:tcW w:w="520" w:type="dxa"/>
          </w:tcPr>
          <w:p w:rsidR="00557A6F" w:rsidRDefault="00557A6F" w:rsidP="00AF5F55">
            <w:pPr>
              <w:jc w:val="right"/>
            </w:pPr>
            <w:r>
              <w:t>0,0</w:t>
            </w:r>
          </w:p>
        </w:tc>
        <w:tc>
          <w:tcPr>
            <w:tcW w:w="520" w:type="dxa"/>
          </w:tcPr>
          <w:p w:rsidR="00557A6F" w:rsidRDefault="00557A6F" w:rsidP="00AF5F55">
            <w:pPr>
              <w:jc w:val="right"/>
            </w:pPr>
            <w:r>
              <w:t>0,8</w:t>
            </w:r>
          </w:p>
        </w:tc>
      </w:tr>
      <w:tr w:rsidR="00557A6F" w:rsidTr="00557A6F">
        <w:trPr>
          <w:trHeight w:val="380"/>
        </w:trPr>
        <w:tc>
          <w:tcPr>
            <w:tcW w:w="1880" w:type="dxa"/>
            <w:vMerge/>
          </w:tcPr>
          <w:p w:rsidR="00557A6F" w:rsidRDefault="00557A6F" w:rsidP="004769CB"/>
        </w:tc>
        <w:tc>
          <w:tcPr>
            <w:tcW w:w="640" w:type="dxa"/>
          </w:tcPr>
          <w:p w:rsidR="00557A6F" w:rsidRDefault="00557A6F" w:rsidP="00557A6F">
            <w:r>
              <w:t>2017</w:t>
            </w:r>
          </w:p>
        </w:tc>
        <w:tc>
          <w:tcPr>
            <w:tcW w:w="520" w:type="dxa"/>
          </w:tcPr>
          <w:p w:rsidR="00557A6F" w:rsidRDefault="00557A6F" w:rsidP="00AF5F55">
            <w:pPr>
              <w:jc w:val="right"/>
            </w:pPr>
            <w:r>
              <w:t>44</w:t>
            </w:r>
          </w:p>
        </w:tc>
        <w:tc>
          <w:tcPr>
            <w:tcW w:w="520" w:type="dxa"/>
          </w:tcPr>
          <w:p w:rsidR="00557A6F" w:rsidRDefault="00557A6F" w:rsidP="00AF5F55">
            <w:pPr>
              <w:jc w:val="right"/>
            </w:pPr>
            <w:r>
              <w:t>56</w:t>
            </w:r>
          </w:p>
        </w:tc>
        <w:tc>
          <w:tcPr>
            <w:tcW w:w="640" w:type="dxa"/>
          </w:tcPr>
          <w:p w:rsidR="00557A6F" w:rsidRDefault="00557A6F" w:rsidP="00AF5F55">
            <w:pPr>
              <w:jc w:val="right"/>
            </w:pPr>
            <w:r>
              <w:t>47</w:t>
            </w:r>
          </w:p>
        </w:tc>
        <w:tc>
          <w:tcPr>
            <w:tcW w:w="1040" w:type="dxa"/>
          </w:tcPr>
          <w:p w:rsidR="00557A6F" w:rsidRDefault="00557A6F" w:rsidP="00AF5F55">
            <w:pPr>
              <w:jc w:val="right"/>
            </w:pPr>
            <w:r>
              <w:t>93</w:t>
            </w:r>
          </w:p>
        </w:tc>
        <w:tc>
          <w:tcPr>
            <w:tcW w:w="520" w:type="dxa"/>
          </w:tcPr>
          <w:p w:rsidR="00557A6F" w:rsidRDefault="00557A6F" w:rsidP="00AF5F55">
            <w:pPr>
              <w:jc w:val="right"/>
            </w:pPr>
            <w:r>
              <w:t>0,0</w:t>
            </w:r>
          </w:p>
        </w:tc>
        <w:tc>
          <w:tcPr>
            <w:tcW w:w="520" w:type="dxa"/>
          </w:tcPr>
          <w:p w:rsidR="00557A6F" w:rsidRDefault="00557A6F" w:rsidP="00AF5F55">
            <w:pPr>
              <w:jc w:val="right"/>
            </w:pPr>
            <w:r>
              <w:t>3,9</w:t>
            </w:r>
          </w:p>
        </w:tc>
        <w:tc>
          <w:tcPr>
            <w:tcW w:w="520" w:type="dxa"/>
          </w:tcPr>
          <w:p w:rsidR="00557A6F" w:rsidRDefault="00557A6F" w:rsidP="00AF5F55">
            <w:pPr>
              <w:jc w:val="right"/>
            </w:pPr>
            <w:r>
              <w:t>7,8</w:t>
            </w:r>
          </w:p>
        </w:tc>
        <w:tc>
          <w:tcPr>
            <w:tcW w:w="520" w:type="dxa"/>
          </w:tcPr>
          <w:p w:rsidR="00557A6F" w:rsidRDefault="00557A6F" w:rsidP="00AF5F55">
            <w:pPr>
              <w:jc w:val="right"/>
            </w:pPr>
            <w:r>
              <w:t>5,9</w:t>
            </w:r>
          </w:p>
        </w:tc>
        <w:tc>
          <w:tcPr>
            <w:tcW w:w="520" w:type="dxa"/>
          </w:tcPr>
          <w:p w:rsidR="00557A6F" w:rsidRDefault="00557A6F" w:rsidP="00AF5F55">
            <w:pPr>
              <w:jc w:val="right"/>
            </w:pPr>
            <w:r>
              <w:t>40</w:t>
            </w:r>
          </w:p>
        </w:tc>
        <w:tc>
          <w:tcPr>
            <w:tcW w:w="520" w:type="dxa"/>
          </w:tcPr>
          <w:p w:rsidR="00557A6F" w:rsidRDefault="00557A6F" w:rsidP="00AF5F55">
            <w:pPr>
              <w:jc w:val="right"/>
            </w:pPr>
            <w:r>
              <w:t>60</w:t>
            </w:r>
          </w:p>
        </w:tc>
        <w:tc>
          <w:tcPr>
            <w:tcW w:w="520" w:type="dxa"/>
          </w:tcPr>
          <w:p w:rsidR="00557A6F" w:rsidRDefault="00557A6F" w:rsidP="00AF5F55">
            <w:pPr>
              <w:jc w:val="right"/>
            </w:pPr>
            <w:r>
              <w:t>0,5</w:t>
            </w:r>
          </w:p>
        </w:tc>
        <w:tc>
          <w:tcPr>
            <w:tcW w:w="520" w:type="dxa"/>
          </w:tcPr>
          <w:p w:rsidR="00557A6F" w:rsidRDefault="00557A6F" w:rsidP="00AF5F55">
            <w:pPr>
              <w:jc w:val="right"/>
            </w:pPr>
            <w:r>
              <w:t>1,0</w:t>
            </w:r>
          </w:p>
        </w:tc>
      </w:tr>
      <w:tr w:rsidR="00557A6F" w:rsidTr="00557A6F">
        <w:trPr>
          <w:trHeight w:val="380"/>
        </w:trPr>
        <w:tc>
          <w:tcPr>
            <w:tcW w:w="1880" w:type="dxa"/>
            <w:vMerge w:val="restart"/>
          </w:tcPr>
          <w:p w:rsidR="00557A6F" w:rsidRDefault="00557A6F" w:rsidP="00557A6F">
            <w:r>
              <w:t>Departementenes sikkerhets- og serviceorganis</w:t>
            </w:r>
            <w:r>
              <w:t>a</w:t>
            </w:r>
            <w:r>
              <w:t>sjon</w:t>
            </w:r>
          </w:p>
        </w:tc>
        <w:tc>
          <w:tcPr>
            <w:tcW w:w="640" w:type="dxa"/>
          </w:tcPr>
          <w:p w:rsidR="00557A6F" w:rsidRDefault="00557A6F" w:rsidP="00557A6F">
            <w:r>
              <w:t>2018</w:t>
            </w:r>
          </w:p>
        </w:tc>
        <w:tc>
          <w:tcPr>
            <w:tcW w:w="520" w:type="dxa"/>
          </w:tcPr>
          <w:p w:rsidR="00557A6F" w:rsidRDefault="00557A6F" w:rsidP="00AF5F55">
            <w:pPr>
              <w:jc w:val="right"/>
            </w:pPr>
            <w:r>
              <w:t>58</w:t>
            </w:r>
          </w:p>
        </w:tc>
        <w:tc>
          <w:tcPr>
            <w:tcW w:w="520" w:type="dxa"/>
          </w:tcPr>
          <w:p w:rsidR="00557A6F" w:rsidRDefault="00557A6F" w:rsidP="00AF5F55">
            <w:pPr>
              <w:jc w:val="right"/>
            </w:pPr>
            <w:r>
              <w:t>42</w:t>
            </w:r>
          </w:p>
        </w:tc>
        <w:tc>
          <w:tcPr>
            <w:tcW w:w="640" w:type="dxa"/>
          </w:tcPr>
          <w:p w:rsidR="00557A6F" w:rsidRDefault="00557A6F" w:rsidP="00AF5F55">
            <w:pPr>
              <w:jc w:val="right"/>
            </w:pPr>
            <w:r>
              <w:t>748</w:t>
            </w:r>
          </w:p>
        </w:tc>
        <w:tc>
          <w:tcPr>
            <w:tcW w:w="1040" w:type="dxa"/>
          </w:tcPr>
          <w:p w:rsidR="00557A6F" w:rsidRDefault="00557A6F" w:rsidP="00AF5F55">
            <w:pPr>
              <w:jc w:val="right"/>
            </w:pPr>
            <w:r>
              <w:t>100</w:t>
            </w:r>
          </w:p>
        </w:tc>
        <w:tc>
          <w:tcPr>
            <w:tcW w:w="520" w:type="dxa"/>
          </w:tcPr>
          <w:p w:rsidR="00557A6F" w:rsidRDefault="00557A6F" w:rsidP="00AF5F55">
            <w:pPr>
              <w:jc w:val="right"/>
            </w:pPr>
            <w:r>
              <w:t>2,0</w:t>
            </w:r>
          </w:p>
        </w:tc>
        <w:tc>
          <w:tcPr>
            <w:tcW w:w="520" w:type="dxa"/>
          </w:tcPr>
          <w:p w:rsidR="00557A6F" w:rsidRDefault="00557A6F" w:rsidP="00AF5F55">
            <w:pPr>
              <w:jc w:val="right"/>
            </w:pPr>
            <w:r>
              <w:t>7,0</w:t>
            </w:r>
          </w:p>
        </w:tc>
        <w:tc>
          <w:tcPr>
            <w:tcW w:w="520" w:type="dxa"/>
          </w:tcPr>
          <w:p w:rsidR="00557A6F" w:rsidRDefault="00557A6F" w:rsidP="00AF5F55">
            <w:pPr>
              <w:jc w:val="right"/>
            </w:pPr>
            <w:r>
              <w:t>11,0</w:t>
            </w:r>
          </w:p>
        </w:tc>
        <w:tc>
          <w:tcPr>
            <w:tcW w:w="520" w:type="dxa"/>
          </w:tcPr>
          <w:p w:rsidR="00557A6F" w:rsidRDefault="00557A6F" w:rsidP="00AF5F55">
            <w:pPr>
              <w:jc w:val="right"/>
            </w:pPr>
            <w:r>
              <w:t>18,0</w:t>
            </w:r>
          </w:p>
        </w:tc>
        <w:tc>
          <w:tcPr>
            <w:tcW w:w="520" w:type="dxa"/>
          </w:tcPr>
          <w:p w:rsidR="00557A6F" w:rsidRDefault="00557A6F" w:rsidP="00AF5F55">
            <w:pPr>
              <w:jc w:val="right"/>
            </w:pPr>
            <w:r>
              <w:t>48</w:t>
            </w:r>
          </w:p>
        </w:tc>
        <w:tc>
          <w:tcPr>
            <w:tcW w:w="520" w:type="dxa"/>
          </w:tcPr>
          <w:p w:rsidR="00557A6F" w:rsidRDefault="00557A6F" w:rsidP="00AF5F55">
            <w:pPr>
              <w:jc w:val="right"/>
            </w:pPr>
            <w:r>
              <w:t>52</w:t>
            </w:r>
          </w:p>
        </w:tc>
        <w:tc>
          <w:tcPr>
            <w:tcW w:w="520" w:type="dxa"/>
          </w:tcPr>
          <w:p w:rsidR="00557A6F" w:rsidRDefault="00557A6F" w:rsidP="00AF5F55">
            <w:pPr>
              <w:jc w:val="right"/>
            </w:pPr>
            <w:r>
              <w:t>4,3</w:t>
            </w:r>
          </w:p>
        </w:tc>
        <w:tc>
          <w:tcPr>
            <w:tcW w:w="520" w:type="dxa"/>
          </w:tcPr>
          <w:p w:rsidR="00557A6F" w:rsidRDefault="00557A6F" w:rsidP="00AF5F55">
            <w:pPr>
              <w:jc w:val="right"/>
            </w:pPr>
            <w:r>
              <w:t>7,1</w:t>
            </w:r>
          </w:p>
        </w:tc>
      </w:tr>
      <w:tr w:rsidR="00557A6F" w:rsidTr="00557A6F">
        <w:trPr>
          <w:trHeight w:val="500"/>
        </w:trPr>
        <w:tc>
          <w:tcPr>
            <w:tcW w:w="1880" w:type="dxa"/>
            <w:vMerge/>
          </w:tcPr>
          <w:p w:rsidR="00557A6F" w:rsidRDefault="00557A6F" w:rsidP="004769CB"/>
        </w:tc>
        <w:tc>
          <w:tcPr>
            <w:tcW w:w="640" w:type="dxa"/>
          </w:tcPr>
          <w:p w:rsidR="00557A6F" w:rsidRDefault="00557A6F" w:rsidP="00557A6F">
            <w:r>
              <w:t>2017</w:t>
            </w:r>
          </w:p>
        </w:tc>
        <w:tc>
          <w:tcPr>
            <w:tcW w:w="520" w:type="dxa"/>
          </w:tcPr>
          <w:p w:rsidR="00557A6F" w:rsidRDefault="00557A6F" w:rsidP="00AF5F55">
            <w:pPr>
              <w:jc w:val="right"/>
            </w:pPr>
            <w:r>
              <w:t>58</w:t>
            </w:r>
          </w:p>
        </w:tc>
        <w:tc>
          <w:tcPr>
            <w:tcW w:w="520" w:type="dxa"/>
          </w:tcPr>
          <w:p w:rsidR="00557A6F" w:rsidRDefault="00557A6F" w:rsidP="00AF5F55">
            <w:pPr>
              <w:jc w:val="right"/>
            </w:pPr>
            <w:r>
              <w:t>42</w:t>
            </w:r>
          </w:p>
        </w:tc>
        <w:tc>
          <w:tcPr>
            <w:tcW w:w="640" w:type="dxa"/>
          </w:tcPr>
          <w:p w:rsidR="00557A6F" w:rsidRDefault="00557A6F" w:rsidP="00AF5F55">
            <w:pPr>
              <w:jc w:val="right"/>
            </w:pPr>
            <w:r>
              <w:t>770</w:t>
            </w:r>
          </w:p>
        </w:tc>
        <w:tc>
          <w:tcPr>
            <w:tcW w:w="1040" w:type="dxa"/>
          </w:tcPr>
          <w:p w:rsidR="00557A6F" w:rsidRDefault="00557A6F" w:rsidP="00AF5F55">
            <w:pPr>
              <w:jc w:val="right"/>
            </w:pPr>
            <w:r>
              <w:t>100</w:t>
            </w:r>
          </w:p>
        </w:tc>
        <w:tc>
          <w:tcPr>
            <w:tcW w:w="520" w:type="dxa"/>
          </w:tcPr>
          <w:p w:rsidR="00557A6F" w:rsidRDefault="00557A6F" w:rsidP="00AF5F55">
            <w:pPr>
              <w:jc w:val="right"/>
            </w:pPr>
            <w:r>
              <w:t>3,0</w:t>
            </w:r>
          </w:p>
        </w:tc>
        <w:tc>
          <w:tcPr>
            <w:tcW w:w="520" w:type="dxa"/>
          </w:tcPr>
          <w:p w:rsidR="00557A6F" w:rsidRDefault="00557A6F" w:rsidP="00AF5F55">
            <w:pPr>
              <w:jc w:val="right"/>
            </w:pPr>
            <w:r>
              <w:t>7,0</w:t>
            </w:r>
          </w:p>
        </w:tc>
        <w:tc>
          <w:tcPr>
            <w:tcW w:w="520" w:type="dxa"/>
          </w:tcPr>
          <w:p w:rsidR="00557A6F" w:rsidRDefault="00557A6F" w:rsidP="00AF5F55">
            <w:pPr>
              <w:jc w:val="right"/>
            </w:pPr>
            <w:r>
              <w:t>11,0</w:t>
            </w:r>
          </w:p>
        </w:tc>
        <w:tc>
          <w:tcPr>
            <w:tcW w:w="520" w:type="dxa"/>
          </w:tcPr>
          <w:p w:rsidR="00557A6F" w:rsidRDefault="00557A6F" w:rsidP="00AF5F55">
            <w:pPr>
              <w:jc w:val="right"/>
            </w:pPr>
            <w:r>
              <w:t>18,0</w:t>
            </w:r>
          </w:p>
        </w:tc>
        <w:tc>
          <w:tcPr>
            <w:tcW w:w="520" w:type="dxa"/>
          </w:tcPr>
          <w:p w:rsidR="00557A6F" w:rsidRDefault="00557A6F" w:rsidP="00AF5F55">
            <w:pPr>
              <w:jc w:val="right"/>
            </w:pPr>
            <w:r>
              <w:t>47</w:t>
            </w:r>
          </w:p>
        </w:tc>
        <w:tc>
          <w:tcPr>
            <w:tcW w:w="520" w:type="dxa"/>
          </w:tcPr>
          <w:p w:rsidR="00557A6F" w:rsidRDefault="00557A6F" w:rsidP="00AF5F55">
            <w:pPr>
              <w:jc w:val="right"/>
            </w:pPr>
            <w:r>
              <w:t>53</w:t>
            </w:r>
          </w:p>
        </w:tc>
        <w:tc>
          <w:tcPr>
            <w:tcW w:w="520" w:type="dxa"/>
          </w:tcPr>
          <w:p w:rsidR="00557A6F" w:rsidRDefault="00557A6F" w:rsidP="00AF5F55">
            <w:pPr>
              <w:jc w:val="right"/>
            </w:pPr>
            <w:r>
              <w:t>3,1</w:t>
            </w:r>
          </w:p>
        </w:tc>
        <w:tc>
          <w:tcPr>
            <w:tcW w:w="520" w:type="dxa"/>
          </w:tcPr>
          <w:p w:rsidR="00557A6F" w:rsidRDefault="00557A6F" w:rsidP="00AF5F55">
            <w:pPr>
              <w:jc w:val="right"/>
            </w:pPr>
            <w:r>
              <w:t>5,2</w:t>
            </w:r>
          </w:p>
        </w:tc>
      </w:tr>
      <w:tr w:rsidR="00557A6F" w:rsidTr="00557A6F">
        <w:trPr>
          <w:trHeight w:val="380"/>
        </w:trPr>
        <w:tc>
          <w:tcPr>
            <w:tcW w:w="1880" w:type="dxa"/>
            <w:vMerge w:val="restart"/>
          </w:tcPr>
          <w:p w:rsidR="00557A6F" w:rsidRDefault="00557A6F" w:rsidP="00557A6F">
            <w:r>
              <w:t>Direktoratet for byggkvalitet</w:t>
            </w:r>
          </w:p>
        </w:tc>
        <w:tc>
          <w:tcPr>
            <w:tcW w:w="640" w:type="dxa"/>
          </w:tcPr>
          <w:p w:rsidR="00557A6F" w:rsidRDefault="00557A6F" w:rsidP="00557A6F">
            <w:r>
              <w:t>2018</w:t>
            </w:r>
          </w:p>
        </w:tc>
        <w:tc>
          <w:tcPr>
            <w:tcW w:w="520" w:type="dxa"/>
          </w:tcPr>
          <w:p w:rsidR="00557A6F" w:rsidRDefault="00557A6F" w:rsidP="00AF5F55">
            <w:pPr>
              <w:jc w:val="right"/>
            </w:pPr>
            <w:r>
              <w:t>43</w:t>
            </w:r>
          </w:p>
        </w:tc>
        <w:tc>
          <w:tcPr>
            <w:tcW w:w="520" w:type="dxa"/>
          </w:tcPr>
          <w:p w:rsidR="00557A6F" w:rsidRDefault="00557A6F" w:rsidP="00AF5F55">
            <w:pPr>
              <w:jc w:val="right"/>
            </w:pPr>
            <w:r>
              <w:t>57</w:t>
            </w:r>
          </w:p>
        </w:tc>
        <w:tc>
          <w:tcPr>
            <w:tcW w:w="640" w:type="dxa"/>
          </w:tcPr>
          <w:p w:rsidR="00557A6F" w:rsidRDefault="00557A6F" w:rsidP="00AF5F55">
            <w:pPr>
              <w:jc w:val="right"/>
            </w:pPr>
            <w:r>
              <w:t>86</w:t>
            </w:r>
          </w:p>
        </w:tc>
        <w:tc>
          <w:tcPr>
            <w:tcW w:w="1040" w:type="dxa"/>
          </w:tcPr>
          <w:p w:rsidR="00557A6F" w:rsidRDefault="00557A6F" w:rsidP="00AF5F55">
            <w:pPr>
              <w:jc w:val="right"/>
            </w:pPr>
            <w:r>
              <w:t>91</w:t>
            </w:r>
          </w:p>
        </w:tc>
        <w:tc>
          <w:tcPr>
            <w:tcW w:w="520" w:type="dxa"/>
          </w:tcPr>
          <w:p w:rsidR="00557A6F" w:rsidRDefault="00557A6F" w:rsidP="00AF5F55">
            <w:pPr>
              <w:jc w:val="right"/>
            </w:pPr>
            <w:r>
              <w:t>3,0</w:t>
            </w:r>
          </w:p>
        </w:tc>
        <w:tc>
          <w:tcPr>
            <w:tcW w:w="520" w:type="dxa"/>
          </w:tcPr>
          <w:p w:rsidR="00557A6F" w:rsidRDefault="00557A6F" w:rsidP="00AF5F55">
            <w:pPr>
              <w:jc w:val="right"/>
            </w:pPr>
            <w:r>
              <w:t>4,0</w:t>
            </w:r>
          </w:p>
        </w:tc>
        <w:tc>
          <w:tcPr>
            <w:tcW w:w="520" w:type="dxa"/>
          </w:tcPr>
          <w:p w:rsidR="00557A6F" w:rsidRDefault="00557A6F" w:rsidP="00AF5F55">
            <w:pPr>
              <w:jc w:val="right"/>
            </w:pPr>
            <w:r>
              <w:t>0,0</w:t>
            </w:r>
          </w:p>
        </w:tc>
        <w:tc>
          <w:tcPr>
            <w:tcW w:w="520" w:type="dxa"/>
          </w:tcPr>
          <w:p w:rsidR="00557A6F" w:rsidRDefault="00557A6F" w:rsidP="00AF5F55">
            <w:pPr>
              <w:jc w:val="right"/>
            </w:pPr>
            <w:r>
              <w:t>2,0</w:t>
            </w:r>
          </w:p>
        </w:tc>
        <w:tc>
          <w:tcPr>
            <w:tcW w:w="520" w:type="dxa"/>
          </w:tcPr>
          <w:p w:rsidR="00557A6F" w:rsidRDefault="00557A6F" w:rsidP="00AF5F55">
            <w:pPr>
              <w:jc w:val="right"/>
            </w:pPr>
            <w:r>
              <w:t>75</w:t>
            </w:r>
          </w:p>
        </w:tc>
        <w:tc>
          <w:tcPr>
            <w:tcW w:w="520" w:type="dxa"/>
          </w:tcPr>
          <w:p w:rsidR="00557A6F" w:rsidRDefault="00557A6F" w:rsidP="00AF5F55">
            <w:pPr>
              <w:jc w:val="right"/>
            </w:pPr>
            <w:r>
              <w:t>25</w:t>
            </w:r>
          </w:p>
        </w:tc>
        <w:tc>
          <w:tcPr>
            <w:tcW w:w="520" w:type="dxa"/>
          </w:tcPr>
          <w:p w:rsidR="00557A6F" w:rsidRDefault="00557A6F" w:rsidP="00AF5F55">
            <w:pPr>
              <w:jc w:val="right"/>
            </w:pPr>
            <w:r>
              <w:t>6,0</w:t>
            </w:r>
          </w:p>
        </w:tc>
        <w:tc>
          <w:tcPr>
            <w:tcW w:w="520" w:type="dxa"/>
          </w:tcPr>
          <w:p w:rsidR="00557A6F" w:rsidRDefault="00557A6F" w:rsidP="00AF5F55">
            <w:pPr>
              <w:jc w:val="right"/>
            </w:pPr>
            <w:r>
              <w:t>8,0</w:t>
            </w:r>
          </w:p>
        </w:tc>
      </w:tr>
      <w:tr w:rsidR="00557A6F" w:rsidTr="00557A6F">
        <w:trPr>
          <w:trHeight w:val="380"/>
        </w:trPr>
        <w:tc>
          <w:tcPr>
            <w:tcW w:w="1880" w:type="dxa"/>
            <w:vMerge/>
          </w:tcPr>
          <w:p w:rsidR="00557A6F" w:rsidRDefault="00557A6F" w:rsidP="004769CB"/>
        </w:tc>
        <w:tc>
          <w:tcPr>
            <w:tcW w:w="640" w:type="dxa"/>
          </w:tcPr>
          <w:p w:rsidR="00557A6F" w:rsidRDefault="00557A6F" w:rsidP="00557A6F">
            <w:r>
              <w:t>2017</w:t>
            </w:r>
          </w:p>
        </w:tc>
        <w:tc>
          <w:tcPr>
            <w:tcW w:w="520" w:type="dxa"/>
          </w:tcPr>
          <w:p w:rsidR="00557A6F" w:rsidRDefault="00557A6F" w:rsidP="00AF5F55">
            <w:pPr>
              <w:jc w:val="right"/>
            </w:pPr>
            <w:r>
              <w:t>48</w:t>
            </w:r>
          </w:p>
        </w:tc>
        <w:tc>
          <w:tcPr>
            <w:tcW w:w="520" w:type="dxa"/>
          </w:tcPr>
          <w:p w:rsidR="00557A6F" w:rsidRDefault="00557A6F" w:rsidP="00AF5F55">
            <w:pPr>
              <w:jc w:val="right"/>
            </w:pPr>
            <w:r>
              <w:t>52</w:t>
            </w:r>
          </w:p>
        </w:tc>
        <w:tc>
          <w:tcPr>
            <w:tcW w:w="640" w:type="dxa"/>
          </w:tcPr>
          <w:p w:rsidR="00557A6F" w:rsidRDefault="00557A6F" w:rsidP="00AF5F55">
            <w:pPr>
              <w:jc w:val="right"/>
            </w:pPr>
            <w:r>
              <w:t>81</w:t>
            </w:r>
          </w:p>
        </w:tc>
        <w:tc>
          <w:tcPr>
            <w:tcW w:w="1040" w:type="dxa"/>
          </w:tcPr>
          <w:p w:rsidR="00557A6F" w:rsidRDefault="00557A6F" w:rsidP="00AF5F55">
            <w:pPr>
              <w:jc w:val="right"/>
            </w:pPr>
            <w:r>
              <w:t>91</w:t>
            </w:r>
          </w:p>
        </w:tc>
        <w:tc>
          <w:tcPr>
            <w:tcW w:w="520" w:type="dxa"/>
          </w:tcPr>
          <w:p w:rsidR="00557A6F" w:rsidRDefault="00557A6F" w:rsidP="00AF5F55">
            <w:pPr>
              <w:jc w:val="right"/>
            </w:pPr>
            <w:r>
              <w:t>3,0</w:t>
            </w:r>
          </w:p>
        </w:tc>
        <w:tc>
          <w:tcPr>
            <w:tcW w:w="520" w:type="dxa"/>
          </w:tcPr>
          <w:p w:rsidR="00557A6F" w:rsidRDefault="00557A6F" w:rsidP="00AF5F55">
            <w:pPr>
              <w:jc w:val="right"/>
            </w:pPr>
            <w:r>
              <w:t>2,0</w:t>
            </w:r>
          </w:p>
        </w:tc>
        <w:tc>
          <w:tcPr>
            <w:tcW w:w="520" w:type="dxa"/>
          </w:tcPr>
          <w:p w:rsidR="00557A6F" w:rsidRDefault="00557A6F" w:rsidP="00AF5F55">
            <w:pPr>
              <w:jc w:val="right"/>
            </w:pPr>
            <w:r>
              <w:t>3,0</w:t>
            </w:r>
          </w:p>
        </w:tc>
        <w:tc>
          <w:tcPr>
            <w:tcW w:w="520" w:type="dxa"/>
          </w:tcPr>
          <w:p w:rsidR="00557A6F" w:rsidRDefault="00557A6F" w:rsidP="00AF5F55">
            <w:pPr>
              <w:jc w:val="right"/>
            </w:pPr>
            <w:r>
              <w:t>4,0</w:t>
            </w:r>
          </w:p>
        </w:tc>
        <w:tc>
          <w:tcPr>
            <w:tcW w:w="520" w:type="dxa"/>
          </w:tcPr>
          <w:p w:rsidR="00557A6F" w:rsidRDefault="00557A6F" w:rsidP="00AF5F55">
            <w:pPr>
              <w:jc w:val="right"/>
            </w:pPr>
            <w:r>
              <w:t>100</w:t>
            </w:r>
          </w:p>
        </w:tc>
        <w:tc>
          <w:tcPr>
            <w:tcW w:w="520" w:type="dxa"/>
          </w:tcPr>
          <w:p w:rsidR="00557A6F" w:rsidRDefault="00557A6F" w:rsidP="00AF5F55">
            <w:pPr>
              <w:jc w:val="right"/>
            </w:pPr>
            <w:r>
              <w:t>0</w:t>
            </w:r>
          </w:p>
        </w:tc>
        <w:tc>
          <w:tcPr>
            <w:tcW w:w="520" w:type="dxa"/>
          </w:tcPr>
          <w:p w:rsidR="00557A6F" w:rsidRDefault="00557A6F" w:rsidP="00AF5F55">
            <w:pPr>
              <w:jc w:val="right"/>
            </w:pPr>
            <w:r>
              <w:t>5,0</w:t>
            </w:r>
          </w:p>
        </w:tc>
        <w:tc>
          <w:tcPr>
            <w:tcW w:w="520" w:type="dxa"/>
          </w:tcPr>
          <w:p w:rsidR="00557A6F" w:rsidRDefault="00557A6F" w:rsidP="00AF5F55">
            <w:pPr>
              <w:jc w:val="right"/>
            </w:pPr>
            <w:r>
              <w:t>8,0</w:t>
            </w:r>
          </w:p>
        </w:tc>
      </w:tr>
      <w:tr w:rsidR="00557A6F" w:rsidTr="00557A6F">
        <w:trPr>
          <w:trHeight w:val="380"/>
        </w:trPr>
        <w:tc>
          <w:tcPr>
            <w:tcW w:w="1880" w:type="dxa"/>
            <w:vMerge w:val="restart"/>
          </w:tcPr>
          <w:p w:rsidR="00557A6F" w:rsidRDefault="00557A6F" w:rsidP="00557A6F">
            <w:r>
              <w:t xml:space="preserve">Direktoratet for </w:t>
            </w:r>
            <w:r>
              <w:br/>
              <w:t>forvaltning og IKT</w:t>
            </w:r>
          </w:p>
        </w:tc>
        <w:tc>
          <w:tcPr>
            <w:tcW w:w="640" w:type="dxa"/>
          </w:tcPr>
          <w:p w:rsidR="00557A6F" w:rsidRDefault="00557A6F" w:rsidP="00557A6F">
            <w:r>
              <w:t>2018</w:t>
            </w:r>
          </w:p>
        </w:tc>
        <w:tc>
          <w:tcPr>
            <w:tcW w:w="520" w:type="dxa"/>
          </w:tcPr>
          <w:p w:rsidR="00557A6F" w:rsidRDefault="00557A6F" w:rsidP="00AF5F55">
            <w:pPr>
              <w:jc w:val="right"/>
            </w:pPr>
            <w:r>
              <w:t>54</w:t>
            </w:r>
          </w:p>
        </w:tc>
        <w:tc>
          <w:tcPr>
            <w:tcW w:w="520" w:type="dxa"/>
          </w:tcPr>
          <w:p w:rsidR="00557A6F" w:rsidRDefault="00557A6F" w:rsidP="00AF5F55">
            <w:pPr>
              <w:jc w:val="right"/>
            </w:pPr>
            <w:r>
              <w:t>46</w:t>
            </w:r>
          </w:p>
        </w:tc>
        <w:tc>
          <w:tcPr>
            <w:tcW w:w="640" w:type="dxa"/>
          </w:tcPr>
          <w:p w:rsidR="00557A6F" w:rsidRDefault="00557A6F" w:rsidP="00AF5F55">
            <w:pPr>
              <w:jc w:val="right"/>
            </w:pPr>
            <w:r>
              <w:t>322</w:t>
            </w:r>
          </w:p>
        </w:tc>
        <w:tc>
          <w:tcPr>
            <w:tcW w:w="1040" w:type="dxa"/>
          </w:tcPr>
          <w:p w:rsidR="00557A6F" w:rsidRDefault="00557A6F" w:rsidP="00AF5F55">
            <w:pPr>
              <w:jc w:val="right"/>
            </w:pPr>
            <w:r>
              <w:t>95</w:t>
            </w:r>
          </w:p>
        </w:tc>
        <w:tc>
          <w:tcPr>
            <w:tcW w:w="520" w:type="dxa"/>
          </w:tcPr>
          <w:p w:rsidR="00557A6F" w:rsidRDefault="00557A6F" w:rsidP="00AF5F55">
            <w:pPr>
              <w:jc w:val="right"/>
            </w:pPr>
            <w:r>
              <w:t>1,0</w:t>
            </w:r>
          </w:p>
        </w:tc>
        <w:tc>
          <w:tcPr>
            <w:tcW w:w="520" w:type="dxa"/>
          </w:tcPr>
          <w:p w:rsidR="00557A6F" w:rsidRDefault="00557A6F" w:rsidP="00AF5F55">
            <w:pPr>
              <w:jc w:val="right"/>
            </w:pPr>
            <w:r>
              <w:t>3,0</w:t>
            </w:r>
          </w:p>
        </w:tc>
        <w:tc>
          <w:tcPr>
            <w:tcW w:w="520" w:type="dxa"/>
          </w:tcPr>
          <w:p w:rsidR="00557A6F" w:rsidRDefault="00557A6F" w:rsidP="00AF5F55">
            <w:pPr>
              <w:jc w:val="right"/>
            </w:pPr>
            <w:r>
              <w:t>3,0</w:t>
            </w:r>
          </w:p>
        </w:tc>
        <w:tc>
          <w:tcPr>
            <w:tcW w:w="520" w:type="dxa"/>
          </w:tcPr>
          <w:p w:rsidR="00557A6F" w:rsidRDefault="00557A6F" w:rsidP="00AF5F55">
            <w:pPr>
              <w:jc w:val="right"/>
            </w:pPr>
            <w:r>
              <w:t>7,0</w:t>
            </w:r>
          </w:p>
        </w:tc>
        <w:tc>
          <w:tcPr>
            <w:tcW w:w="520" w:type="dxa"/>
          </w:tcPr>
          <w:p w:rsidR="00557A6F" w:rsidRDefault="00557A6F" w:rsidP="00AF5F55">
            <w:pPr>
              <w:jc w:val="right"/>
            </w:pPr>
            <w:r>
              <w:t>33</w:t>
            </w:r>
          </w:p>
        </w:tc>
        <w:tc>
          <w:tcPr>
            <w:tcW w:w="520" w:type="dxa"/>
          </w:tcPr>
          <w:p w:rsidR="00557A6F" w:rsidRDefault="00557A6F" w:rsidP="00AF5F55">
            <w:pPr>
              <w:jc w:val="right"/>
            </w:pPr>
            <w:r>
              <w:t>67</w:t>
            </w:r>
          </w:p>
        </w:tc>
        <w:tc>
          <w:tcPr>
            <w:tcW w:w="520" w:type="dxa"/>
          </w:tcPr>
          <w:p w:rsidR="00557A6F" w:rsidRDefault="00557A6F" w:rsidP="00AF5F55">
            <w:pPr>
              <w:jc w:val="right"/>
            </w:pPr>
            <w:r>
              <w:t>0,0</w:t>
            </w:r>
          </w:p>
        </w:tc>
        <w:tc>
          <w:tcPr>
            <w:tcW w:w="520" w:type="dxa"/>
          </w:tcPr>
          <w:p w:rsidR="00557A6F" w:rsidRDefault="00557A6F" w:rsidP="00AF5F55">
            <w:pPr>
              <w:jc w:val="right"/>
            </w:pPr>
            <w:r>
              <w:t>0,1</w:t>
            </w:r>
          </w:p>
        </w:tc>
      </w:tr>
      <w:tr w:rsidR="00557A6F" w:rsidTr="00557A6F">
        <w:trPr>
          <w:trHeight w:val="380"/>
        </w:trPr>
        <w:tc>
          <w:tcPr>
            <w:tcW w:w="1880" w:type="dxa"/>
            <w:vMerge/>
          </w:tcPr>
          <w:p w:rsidR="00557A6F" w:rsidRDefault="00557A6F" w:rsidP="004769CB"/>
        </w:tc>
        <w:tc>
          <w:tcPr>
            <w:tcW w:w="640" w:type="dxa"/>
          </w:tcPr>
          <w:p w:rsidR="00557A6F" w:rsidRDefault="00557A6F" w:rsidP="00557A6F">
            <w:r>
              <w:t>2017</w:t>
            </w:r>
          </w:p>
        </w:tc>
        <w:tc>
          <w:tcPr>
            <w:tcW w:w="520" w:type="dxa"/>
          </w:tcPr>
          <w:p w:rsidR="00557A6F" w:rsidRDefault="00557A6F" w:rsidP="00AF5F55">
            <w:pPr>
              <w:jc w:val="right"/>
            </w:pPr>
            <w:r>
              <w:t>45</w:t>
            </w:r>
          </w:p>
        </w:tc>
        <w:tc>
          <w:tcPr>
            <w:tcW w:w="520" w:type="dxa"/>
          </w:tcPr>
          <w:p w:rsidR="00557A6F" w:rsidRDefault="00557A6F" w:rsidP="00AF5F55">
            <w:pPr>
              <w:jc w:val="right"/>
            </w:pPr>
            <w:r>
              <w:t>55</w:t>
            </w:r>
          </w:p>
        </w:tc>
        <w:tc>
          <w:tcPr>
            <w:tcW w:w="640" w:type="dxa"/>
          </w:tcPr>
          <w:p w:rsidR="00557A6F" w:rsidRDefault="00557A6F" w:rsidP="00AF5F55">
            <w:pPr>
              <w:jc w:val="right"/>
            </w:pPr>
            <w:r>
              <w:t>306</w:t>
            </w:r>
          </w:p>
        </w:tc>
        <w:tc>
          <w:tcPr>
            <w:tcW w:w="1040" w:type="dxa"/>
          </w:tcPr>
          <w:p w:rsidR="00557A6F" w:rsidRDefault="00557A6F" w:rsidP="00AF5F55">
            <w:pPr>
              <w:jc w:val="right"/>
            </w:pPr>
            <w:r>
              <w:t>95</w:t>
            </w:r>
          </w:p>
        </w:tc>
        <w:tc>
          <w:tcPr>
            <w:tcW w:w="520" w:type="dxa"/>
          </w:tcPr>
          <w:p w:rsidR="00557A6F" w:rsidRDefault="00557A6F" w:rsidP="00AF5F55">
            <w:pPr>
              <w:jc w:val="right"/>
            </w:pPr>
            <w:r>
              <w:t>3,0</w:t>
            </w:r>
          </w:p>
        </w:tc>
        <w:tc>
          <w:tcPr>
            <w:tcW w:w="520" w:type="dxa"/>
          </w:tcPr>
          <w:p w:rsidR="00557A6F" w:rsidRDefault="00557A6F" w:rsidP="00AF5F55">
            <w:pPr>
              <w:jc w:val="right"/>
            </w:pPr>
            <w:r>
              <w:t>5,0</w:t>
            </w:r>
          </w:p>
        </w:tc>
        <w:tc>
          <w:tcPr>
            <w:tcW w:w="520" w:type="dxa"/>
          </w:tcPr>
          <w:p w:rsidR="00557A6F" w:rsidRDefault="00557A6F" w:rsidP="00AF5F55">
            <w:pPr>
              <w:jc w:val="right"/>
            </w:pPr>
            <w:r>
              <w:t>7,0</w:t>
            </w:r>
          </w:p>
        </w:tc>
        <w:tc>
          <w:tcPr>
            <w:tcW w:w="520" w:type="dxa"/>
          </w:tcPr>
          <w:p w:rsidR="00557A6F" w:rsidRDefault="00557A6F" w:rsidP="00AF5F55">
            <w:pPr>
              <w:jc w:val="right"/>
            </w:pPr>
            <w:r>
              <w:t>7,0</w:t>
            </w:r>
          </w:p>
        </w:tc>
        <w:tc>
          <w:tcPr>
            <w:tcW w:w="520" w:type="dxa"/>
          </w:tcPr>
          <w:p w:rsidR="00557A6F" w:rsidRDefault="00557A6F" w:rsidP="00AF5F55">
            <w:pPr>
              <w:jc w:val="right"/>
            </w:pPr>
            <w:r>
              <w:t>33</w:t>
            </w:r>
          </w:p>
        </w:tc>
        <w:tc>
          <w:tcPr>
            <w:tcW w:w="520" w:type="dxa"/>
          </w:tcPr>
          <w:p w:rsidR="00557A6F" w:rsidRDefault="00557A6F" w:rsidP="00AF5F55">
            <w:pPr>
              <w:jc w:val="right"/>
            </w:pPr>
            <w:r>
              <w:t>67</w:t>
            </w:r>
          </w:p>
        </w:tc>
        <w:tc>
          <w:tcPr>
            <w:tcW w:w="520" w:type="dxa"/>
          </w:tcPr>
          <w:p w:rsidR="00557A6F" w:rsidRDefault="00557A6F" w:rsidP="00AF5F55">
            <w:pPr>
              <w:jc w:val="right"/>
            </w:pPr>
            <w:r>
              <w:t>0,1</w:t>
            </w:r>
          </w:p>
        </w:tc>
        <w:tc>
          <w:tcPr>
            <w:tcW w:w="520" w:type="dxa"/>
          </w:tcPr>
          <w:p w:rsidR="00557A6F" w:rsidRDefault="00557A6F" w:rsidP="00AF5F55">
            <w:pPr>
              <w:jc w:val="right"/>
            </w:pPr>
            <w:r>
              <w:t>0,3</w:t>
            </w:r>
          </w:p>
        </w:tc>
      </w:tr>
      <w:tr w:rsidR="00557A6F" w:rsidTr="00557A6F">
        <w:trPr>
          <w:trHeight w:val="380"/>
        </w:trPr>
        <w:tc>
          <w:tcPr>
            <w:tcW w:w="1880" w:type="dxa"/>
            <w:vMerge w:val="restart"/>
          </w:tcPr>
          <w:p w:rsidR="00557A6F" w:rsidRDefault="00557A6F" w:rsidP="00557A6F">
            <w:r>
              <w:t>Distriktssenteret</w:t>
            </w:r>
          </w:p>
        </w:tc>
        <w:tc>
          <w:tcPr>
            <w:tcW w:w="640" w:type="dxa"/>
          </w:tcPr>
          <w:p w:rsidR="00557A6F" w:rsidRDefault="00557A6F" w:rsidP="00557A6F">
            <w:r>
              <w:t>2018</w:t>
            </w:r>
          </w:p>
        </w:tc>
        <w:tc>
          <w:tcPr>
            <w:tcW w:w="520" w:type="dxa"/>
          </w:tcPr>
          <w:p w:rsidR="00557A6F" w:rsidRDefault="00557A6F" w:rsidP="00AF5F55">
            <w:pPr>
              <w:jc w:val="right"/>
            </w:pPr>
            <w:r>
              <w:t>39</w:t>
            </w:r>
          </w:p>
        </w:tc>
        <w:tc>
          <w:tcPr>
            <w:tcW w:w="520" w:type="dxa"/>
          </w:tcPr>
          <w:p w:rsidR="00557A6F" w:rsidRDefault="00557A6F" w:rsidP="00AF5F55">
            <w:pPr>
              <w:jc w:val="right"/>
            </w:pPr>
            <w:r>
              <w:t>61</w:t>
            </w:r>
          </w:p>
        </w:tc>
        <w:tc>
          <w:tcPr>
            <w:tcW w:w="640" w:type="dxa"/>
          </w:tcPr>
          <w:p w:rsidR="00557A6F" w:rsidRDefault="00557A6F" w:rsidP="00AF5F55">
            <w:pPr>
              <w:jc w:val="right"/>
            </w:pPr>
            <w:r>
              <w:t>23</w:t>
            </w:r>
          </w:p>
        </w:tc>
        <w:tc>
          <w:tcPr>
            <w:tcW w:w="1040" w:type="dxa"/>
          </w:tcPr>
          <w:p w:rsidR="00557A6F" w:rsidRDefault="00557A6F" w:rsidP="00AF5F55">
            <w:pPr>
              <w:jc w:val="right"/>
            </w:pPr>
            <w:r>
              <w:t>87</w:t>
            </w:r>
          </w:p>
        </w:tc>
        <w:tc>
          <w:tcPr>
            <w:tcW w:w="520" w:type="dxa"/>
          </w:tcPr>
          <w:p w:rsidR="00557A6F" w:rsidRDefault="00557A6F" w:rsidP="00AF5F55">
            <w:pPr>
              <w:jc w:val="right"/>
            </w:pPr>
            <w:r>
              <w:t>0,0</w:t>
            </w:r>
          </w:p>
        </w:tc>
        <w:tc>
          <w:tcPr>
            <w:tcW w:w="520" w:type="dxa"/>
          </w:tcPr>
          <w:p w:rsidR="00557A6F" w:rsidRDefault="00557A6F" w:rsidP="00AF5F55">
            <w:pPr>
              <w:jc w:val="right"/>
            </w:pPr>
            <w:r>
              <w:t>0,0</w:t>
            </w:r>
          </w:p>
        </w:tc>
        <w:tc>
          <w:tcPr>
            <w:tcW w:w="520" w:type="dxa"/>
          </w:tcPr>
          <w:p w:rsidR="00557A6F" w:rsidRDefault="00557A6F" w:rsidP="00AF5F55">
            <w:pPr>
              <w:jc w:val="right"/>
            </w:pPr>
            <w:r>
              <w:t>0,0</w:t>
            </w:r>
          </w:p>
        </w:tc>
        <w:tc>
          <w:tcPr>
            <w:tcW w:w="520" w:type="dxa"/>
          </w:tcPr>
          <w:p w:rsidR="00557A6F" w:rsidRDefault="00557A6F" w:rsidP="00AF5F55">
            <w:pPr>
              <w:jc w:val="right"/>
            </w:pPr>
            <w:r>
              <w:t>1,0</w:t>
            </w:r>
          </w:p>
        </w:tc>
        <w:tc>
          <w:tcPr>
            <w:tcW w:w="520" w:type="dxa"/>
          </w:tcPr>
          <w:p w:rsidR="00557A6F" w:rsidRDefault="00557A6F" w:rsidP="00AF5F55">
            <w:pPr>
              <w:jc w:val="right"/>
            </w:pPr>
            <w:r>
              <w:t>0</w:t>
            </w:r>
          </w:p>
        </w:tc>
        <w:tc>
          <w:tcPr>
            <w:tcW w:w="520" w:type="dxa"/>
          </w:tcPr>
          <w:p w:rsidR="00557A6F" w:rsidRDefault="00557A6F" w:rsidP="00AF5F55">
            <w:pPr>
              <w:jc w:val="right"/>
            </w:pPr>
            <w:r>
              <w:t>0</w:t>
            </w:r>
          </w:p>
        </w:tc>
        <w:tc>
          <w:tcPr>
            <w:tcW w:w="520" w:type="dxa"/>
          </w:tcPr>
          <w:p w:rsidR="00557A6F" w:rsidRDefault="00557A6F" w:rsidP="00AF5F55">
            <w:pPr>
              <w:jc w:val="right"/>
            </w:pPr>
            <w:r>
              <w:t>0,0</w:t>
            </w:r>
          </w:p>
        </w:tc>
        <w:tc>
          <w:tcPr>
            <w:tcW w:w="520" w:type="dxa"/>
          </w:tcPr>
          <w:p w:rsidR="00557A6F" w:rsidRDefault="00557A6F" w:rsidP="00AF5F55">
            <w:pPr>
              <w:jc w:val="right"/>
            </w:pPr>
            <w:r>
              <w:t>1,0</w:t>
            </w:r>
          </w:p>
        </w:tc>
      </w:tr>
      <w:tr w:rsidR="00557A6F" w:rsidTr="00557A6F">
        <w:trPr>
          <w:trHeight w:val="380"/>
        </w:trPr>
        <w:tc>
          <w:tcPr>
            <w:tcW w:w="1880" w:type="dxa"/>
            <w:vMerge/>
          </w:tcPr>
          <w:p w:rsidR="00557A6F" w:rsidRDefault="00557A6F" w:rsidP="004769CB"/>
        </w:tc>
        <w:tc>
          <w:tcPr>
            <w:tcW w:w="640" w:type="dxa"/>
          </w:tcPr>
          <w:p w:rsidR="00557A6F" w:rsidRDefault="00557A6F" w:rsidP="00557A6F">
            <w:r>
              <w:t>2017</w:t>
            </w:r>
          </w:p>
        </w:tc>
        <w:tc>
          <w:tcPr>
            <w:tcW w:w="520" w:type="dxa"/>
          </w:tcPr>
          <w:p w:rsidR="00557A6F" w:rsidRDefault="00557A6F" w:rsidP="00AF5F55">
            <w:pPr>
              <w:jc w:val="right"/>
            </w:pPr>
            <w:r>
              <w:t>39</w:t>
            </w:r>
          </w:p>
        </w:tc>
        <w:tc>
          <w:tcPr>
            <w:tcW w:w="520" w:type="dxa"/>
          </w:tcPr>
          <w:p w:rsidR="00557A6F" w:rsidRDefault="00557A6F" w:rsidP="00AF5F55">
            <w:pPr>
              <w:jc w:val="right"/>
            </w:pPr>
            <w:r>
              <w:t>61</w:t>
            </w:r>
          </w:p>
        </w:tc>
        <w:tc>
          <w:tcPr>
            <w:tcW w:w="640" w:type="dxa"/>
          </w:tcPr>
          <w:p w:rsidR="00557A6F" w:rsidRDefault="00557A6F" w:rsidP="00AF5F55">
            <w:pPr>
              <w:jc w:val="right"/>
            </w:pPr>
            <w:r>
              <w:t>23</w:t>
            </w:r>
          </w:p>
        </w:tc>
        <w:tc>
          <w:tcPr>
            <w:tcW w:w="1040" w:type="dxa"/>
          </w:tcPr>
          <w:p w:rsidR="00557A6F" w:rsidRDefault="00557A6F" w:rsidP="00AF5F55">
            <w:pPr>
              <w:jc w:val="right"/>
            </w:pPr>
            <w:r>
              <w:t>83</w:t>
            </w:r>
          </w:p>
        </w:tc>
        <w:tc>
          <w:tcPr>
            <w:tcW w:w="520" w:type="dxa"/>
          </w:tcPr>
          <w:p w:rsidR="00557A6F" w:rsidRDefault="00557A6F" w:rsidP="00AF5F55">
            <w:pPr>
              <w:jc w:val="right"/>
            </w:pPr>
            <w:r>
              <w:t>0,0</w:t>
            </w:r>
          </w:p>
        </w:tc>
        <w:tc>
          <w:tcPr>
            <w:tcW w:w="520" w:type="dxa"/>
          </w:tcPr>
          <w:p w:rsidR="00557A6F" w:rsidRDefault="00557A6F" w:rsidP="00AF5F55">
            <w:pPr>
              <w:jc w:val="right"/>
            </w:pPr>
            <w:r>
              <w:t>0,0</w:t>
            </w:r>
          </w:p>
        </w:tc>
        <w:tc>
          <w:tcPr>
            <w:tcW w:w="520" w:type="dxa"/>
          </w:tcPr>
          <w:p w:rsidR="00557A6F" w:rsidRDefault="00557A6F" w:rsidP="00AF5F55">
            <w:pPr>
              <w:jc w:val="right"/>
            </w:pPr>
            <w:r>
              <w:t>0,0</w:t>
            </w:r>
          </w:p>
        </w:tc>
        <w:tc>
          <w:tcPr>
            <w:tcW w:w="520" w:type="dxa"/>
          </w:tcPr>
          <w:p w:rsidR="00557A6F" w:rsidRDefault="00557A6F" w:rsidP="00AF5F55">
            <w:pPr>
              <w:jc w:val="right"/>
            </w:pPr>
            <w:r>
              <w:t>1,0</w:t>
            </w:r>
          </w:p>
        </w:tc>
        <w:tc>
          <w:tcPr>
            <w:tcW w:w="520" w:type="dxa"/>
          </w:tcPr>
          <w:p w:rsidR="00557A6F" w:rsidRDefault="00557A6F" w:rsidP="00AF5F55">
            <w:pPr>
              <w:jc w:val="right"/>
            </w:pPr>
            <w:r>
              <w:t>0</w:t>
            </w:r>
          </w:p>
        </w:tc>
        <w:tc>
          <w:tcPr>
            <w:tcW w:w="520" w:type="dxa"/>
          </w:tcPr>
          <w:p w:rsidR="00557A6F" w:rsidRDefault="00557A6F" w:rsidP="00AF5F55">
            <w:pPr>
              <w:jc w:val="right"/>
            </w:pPr>
            <w:r>
              <w:t>0</w:t>
            </w:r>
          </w:p>
        </w:tc>
        <w:tc>
          <w:tcPr>
            <w:tcW w:w="520" w:type="dxa"/>
          </w:tcPr>
          <w:p w:rsidR="00557A6F" w:rsidRDefault="00557A6F" w:rsidP="00AF5F55">
            <w:pPr>
              <w:jc w:val="right"/>
            </w:pPr>
            <w:r>
              <w:t>0,6</w:t>
            </w:r>
          </w:p>
        </w:tc>
        <w:tc>
          <w:tcPr>
            <w:tcW w:w="520" w:type="dxa"/>
          </w:tcPr>
          <w:p w:rsidR="00557A6F" w:rsidRDefault="00557A6F" w:rsidP="00AF5F55">
            <w:pPr>
              <w:jc w:val="right"/>
            </w:pPr>
            <w:r>
              <w:t>0,8</w:t>
            </w:r>
          </w:p>
        </w:tc>
      </w:tr>
      <w:tr w:rsidR="00557A6F" w:rsidTr="00557A6F">
        <w:trPr>
          <w:trHeight w:val="380"/>
        </w:trPr>
        <w:tc>
          <w:tcPr>
            <w:tcW w:w="1880" w:type="dxa"/>
            <w:vMerge w:val="restart"/>
          </w:tcPr>
          <w:p w:rsidR="00557A6F" w:rsidRDefault="00557A6F" w:rsidP="00557A6F">
            <w:r>
              <w:t>Fylkesmannse</w:t>
            </w:r>
            <w:r>
              <w:t>m</w:t>
            </w:r>
            <w:r>
              <w:t>betene</w:t>
            </w:r>
          </w:p>
        </w:tc>
        <w:tc>
          <w:tcPr>
            <w:tcW w:w="640" w:type="dxa"/>
          </w:tcPr>
          <w:p w:rsidR="00557A6F" w:rsidRDefault="00557A6F" w:rsidP="00557A6F">
            <w:r>
              <w:t>2018</w:t>
            </w:r>
          </w:p>
        </w:tc>
        <w:tc>
          <w:tcPr>
            <w:tcW w:w="520" w:type="dxa"/>
          </w:tcPr>
          <w:p w:rsidR="00557A6F" w:rsidRDefault="00557A6F" w:rsidP="00AF5F55">
            <w:pPr>
              <w:jc w:val="right"/>
            </w:pPr>
            <w:r>
              <w:t>33</w:t>
            </w:r>
          </w:p>
        </w:tc>
        <w:tc>
          <w:tcPr>
            <w:tcW w:w="520" w:type="dxa"/>
          </w:tcPr>
          <w:p w:rsidR="00557A6F" w:rsidRDefault="00557A6F" w:rsidP="00AF5F55">
            <w:pPr>
              <w:jc w:val="right"/>
            </w:pPr>
            <w:r>
              <w:t>67</w:t>
            </w:r>
          </w:p>
        </w:tc>
        <w:tc>
          <w:tcPr>
            <w:tcW w:w="640" w:type="dxa"/>
          </w:tcPr>
          <w:p w:rsidR="00557A6F" w:rsidRDefault="00557A6F" w:rsidP="00AF5F55">
            <w:pPr>
              <w:jc w:val="right"/>
            </w:pPr>
            <w:r>
              <w:t>2 707</w:t>
            </w:r>
          </w:p>
        </w:tc>
        <w:tc>
          <w:tcPr>
            <w:tcW w:w="1040" w:type="dxa"/>
          </w:tcPr>
          <w:p w:rsidR="00557A6F" w:rsidRDefault="00557A6F" w:rsidP="00AF5F55">
            <w:pPr>
              <w:jc w:val="right"/>
            </w:pPr>
            <w:r>
              <w:t>92</w:t>
            </w:r>
          </w:p>
        </w:tc>
        <w:tc>
          <w:tcPr>
            <w:tcW w:w="520" w:type="dxa"/>
          </w:tcPr>
          <w:p w:rsidR="00557A6F" w:rsidRDefault="00557A6F" w:rsidP="00AF5F55">
            <w:pPr>
              <w:jc w:val="right"/>
            </w:pPr>
            <w:r>
              <w:t>5,8</w:t>
            </w:r>
          </w:p>
        </w:tc>
        <w:tc>
          <w:tcPr>
            <w:tcW w:w="520" w:type="dxa"/>
          </w:tcPr>
          <w:p w:rsidR="00557A6F" w:rsidRDefault="00557A6F" w:rsidP="00AF5F55">
            <w:pPr>
              <w:jc w:val="right"/>
            </w:pPr>
            <w:r>
              <w:t>12,4</w:t>
            </w:r>
          </w:p>
        </w:tc>
        <w:tc>
          <w:tcPr>
            <w:tcW w:w="520" w:type="dxa"/>
          </w:tcPr>
          <w:p w:rsidR="00557A6F" w:rsidRDefault="00557A6F" w:rsidP="00AF5F55">
            <w:pPr>
              <w:jc w:val="right"/>
            </w:pPr>
            <w:r>
              <w:t>7,1</w:t>
            </w:r>
          </w:p>
        </w:tc>
        <w:tc>
          <w:tcPr>
            <w:tcW w:w="520" w:type="dxa"/>
          </w:tcPr>
          <w:p w:rsidR="00557A6F" w:rsidRDefault="00557A6F" w:rsidP="00AF5F55">
            <w:pPr>
              <w:jc w:val="right"/>
            </w:pPr>
            <w:r>
              <w:t>9,3</w:t>
            </w:r>
          </w:p>
        </w:tc>
        <w:tc>
          <w:tcPr>
            <w:tcW w:w="520" w:type="dxa"/>
          </w:tcPr>
          <w:p w:rsidR="00557A6F" w:rsidRDefault="00557A6F" w:rsidP="00AF5F55">
            <w:pPr>
              <w:jc w:val="right"/>
            </w:pPr>
            <w:r>
              <w:t>18</w:t>
            </w:r>
          </w:p>
        </w:tc>
        <w:tc>
          <w:tcPr>
            <w:tcW w:w="520" w:type="dxa"/>
          </w:tcPr>
          <w:p w:rsidR="00557A6F" w:rsidRDefault="00557A6F" w:rsidP="00AF5F55">
            <w:pPr>
              <w:jc w:val="right"/>
            </w:pPr>
            <w:r>
              <w:t>82</w:t>
            </w:r>
          </w:p>
        </w:tc>
        <w:tc>
          <w:tcPr>
            <w:tcW w:w="520" w:type="dxa"/>
          </w:tcPr>
          <w:p w:rsidR="00557A6F" w:rsidRDefault="00557A6F" w:rsidP="00AF5F55">
            <w:pPr>
              <w:jc w:val="right"/>
            </w:pPr>
            <w:r>
              <w:t>1,9</w:t>
            </w:r>
          </w:p>
        </w:tc>
        <w:tc>
          <w:tcPr>
            <w:tcW w:w="520" w:type="dxa"/>
          </w:tcPr>
          <w:p w:rsidR="00557A6F" w:rsidRDefault="00557A6F" w:rsidP="00AF5F55">
            <w:pPr>
              <w:jc w:val="right"/>
            </w:pPr>
            <w:r>
              <w:t>3,7</w:t>
            </w:r>
          </w:p>
        </w:tc>
      </w:tr>
      <w:tr w:rsidR="00557A6F" w:rsidTr="00557A6F">
        <w:trPr>
          <w:trHeight w:val="380"/>
        </w:trPr>
        <w:tc>
          <w:tcPr>
            <w:tcW w:w="1880" w:type="dxa"/>
            <w:vMerge/>
          </w:tcPr>
          <w:p w:rsidR="00557A6F" w:rsidRDefault="00557A6F" w:rsidP="004769CB"/>
        </w:tc>
        <w:tc>
          <w:tcPr>
            <w:tcW w:w="640" w:type="dxa"/>
          </w:tcPr>
          <w:p w:rsidR="00557A6F" w:rsidRDefault="00557A6F" w:rsidP="00557A6F">
            <w:r>
              <w:t>2017</w:t>
            </w:r>
          </w:p>
        </w:tc>
        <w:tc>
          <w:tcPr>
            <w:tcW w:w="520" w:type="dxa"/>
          </w:tcPr>
          <w:p w:rsidR="00557A6F" w:rsidRDefault="00557A6F" w:rsidP="00AF5F55">
            <w:pPr>
              <w:jc w:val="right"/>
            </w:pPr>
            <w:r>
              <w:t>34</w:t>
            </w:r>
          </w:p>
        </w:tc>
        <w:tc>
          <w:tcPr>
            <w:tcW w:w="520" w:type="dxa"/>
          </w:tcPr>
          <w:p w:rsidR="00557A6F" w:rsidRDefault="00557A6F" w:rsidP="00AF5F55">
            <w:pPr>
              <w:jc w:val="right"/>
            </w:pPr>
            <w:r>
              <w:t>66</w:t>
            </w:r>
          </w:p>
        </w:tc>
        <w:tc>
          <w:tcPr>
            <w:tcW w:w="640" w:type="dxa"/>
          </w:tcPr>
          <w:p w:rsidR="00557A6F" w:rsidRDefault="00557A6F" w:rsidP="00AF5F55">
            <w:pPr>
              <w:jc w:val="right"/>
            </w:pPr>
            <w:r>
              <w:t>2 731</w:t>
            </w:r>
          </w:p>
        </w:tc>
        <w:tc>
          <w:tcPr>
            <w:tcW w:w="1040" w:type="dxa"/>
          </w:tcPr>
          <w:p w:rsidR="00557A6F" w:rsidRDefault="00557A6F" w:rsidP="00AF5F55">
            <w:pPr>
              <w:jc w:val="right"/>
            </w:pPr>
            <w:r>
              <w:t>92</w:t>
            </w:r>
          </w:p>
        </w:tc>
        <w:tc>
          <w:tcPr>
            <w:tcW w:w="520" w:type="dxa"/>
          </w:tcPr>
          <w:p w:rsidR="00557A6F" w:rsidRDefault="00557A6F" w:rsidP="00AF5F55">
            <w:pPr>
              <w:jc w:val="right"/>
            </w:pPr>
            <w:r>
              <w:t>7,3</w:t>
            </w:r>
          </w:p>
        </w:tc>
        <w:tc>
          <w:tcPr>
            <w:tcW w:w="520" w:type="dxa"/>
          </w:tcPr>
          <w:p w:rsidR="00557A6F" w:rsidRDefault="00557A6F" w:rsidP="00AF5F55">
            <w:pPr>
              <w:jc w:val="right"/>
            </w:pPr>
            <w:r>
              <w:t>13,3</w:t>
            </w:r>
          </w:p>
        </w:tc>
        <w:tc>
          <w:tcPr>
            <w:tcW w:w="520" w:type="dxa"/>
          </w:tcPr>
          <w:p w:rsidR="00557A6F" w:rsidRDefault="00557A6F" w:rsidP="00AF5F55">
            <w:pPr>
              <w:jc w:val="right"/>
            </w:pPr>
            <w:r>
              <w:t>7,9</w:t>
            </w:r>
          </w:p>
        </w:tc>
        <w:tc>
          <w:tcPr>
            <w:tcW w:w="520" w:type="dxa"/>
          </w:tcPr>
          <w:p w:rsidR="00557A6F" w:rsidRDefault="00557A6F" w:rsidP="00AF5F55">
            <w:pPr>
              <w:jc w:val="right"/>
            </w:pPr>
            <w:r>
              <w:t>14,7</w:t>
            </w:r>
          </w:p>
        </w:tc>
        <w:tc>
          <w:tcPr>
            <w:tcW w:w="520" w:type="dxa"/>
          </w:tcPr>
          <w:p w:rsidR="00557A6F" w:rsidRDefault="00557A6F" w:rsidP="00AF5F55">
            <w:pPr>
              <w:jc w:val="right"/>
            </w:pPr>
            <w:r>
              <w:t>29</w:t>
            </w:r>
          </w:p>
        </w:tc>
        <w:tc>
          <w:tcPr>
            <w:tcW w:w="520" w:type="dxa"/>
          </w:tcPr>
          <w:p w:rsidR="00557A6F" w:rsidRDefault="00557A6F" w:rsidP="00AF5F55">
            <w:pPr>
              <w:jc w:val="right"/>
            </w:pPr>
            <w:r>
              <w:t>71</w:t>
            </w:r>
          </w:p>
        </w:tc>
        <w:tc>
          <w:tcPr>
            <w:tcW w:w="520" w:type="dxa"/>
          </w:tcPr>
          <w:p w:rsidR="00557A6F" w:rsidRDefault="00557A6F" w:rsidP="00AF5F55">
            <w:pPr>
              <w:jc w:val="right"/>
            </w:pPr>
            <w:r>
              <w:t>1,5</w:t>
            </w:r>
          </w:p>
        </w:tc>
        <w:tc>
          <w:tcPr>
            <w:tcW w:w="520" w:type="dxa"/>
          </w:tcPr>
          <w:p w:rsidR="00557A6F" w:rsidRDefault="00557A6F" w:rsidP="00AF5F55">
            <w:pPr>
              <w:jc w:val="right"/>
            </w:pPr>
            <w:r>
              <w:t>4,3</w:t>
            </w:r>
          </w:p>
        </w:tc>
      </w:tr>
      <w:tr w:rsidR="00557A6F" w:rsidTr="00557A6F">
        <w:trPr>
          <w:trHeight w:val="380"/>
        </w:trPr>
        <w:tc>
          <w:tcPr>
            <w:tcW w:w="1880" w:type="dxa"/>
            <w:vMerge w:val="restart"/>
          </w:tcPr>
          <w:p w:rsidR="00557A6F" w:rsidRDefault="00557A6F" w:rsidP="00557A6F">
            <w:r>
              <w:t>Husbanken</w:t>
            </w:r>
          </w:p>
        </w:tc>
        <w:tc>
          <w:tcPr>
            <w:tcW w:w="640" w:type="dxa"/>
          </w:tcPr>
          <w:p w:rsidR="00557A6F" w:rsidRDefault="00557A6F" w:rsidP="00557A6F">
            <w:r>
              <w:t>2018</w:t>
            </w:r>
          </w:p>
        </w:tc>
        <w:tc>
          <w:tcPr>
            <w:tcW w:w="520" w:type="dxa"/>
          </w:tcPr>
          <w:p w:rsidR="00557A6F" w:rsidRDefault="00557A6F" w:rsidP="00AF5F55">
            <w:pPr>
              <w:jc w:val="right"/>
            </w:pPr>
            <w:r>
              <w:t>40</w:t>
            </w:r>
          </w:p>
        </w:tc>
        <w:tc>
          <w:tcPr>
            <w:tcW w:w="520" w:type="dxa"/>
          </w:tcPr>
          <w:p w:rsidR="00557A6F" w:rsidRDefault="00557A6F" w:rsidP="00AF5F55">
            <w:pPr>
              <w:jc w:val="right"/>
            </w:pPr>
            <w:r>
              <w:t>60</w:t>
            </w:r>
          </w:p>
        </w:tc>
        <w:tc>
          <w:tcPr>
            <w:tcW w:w="640" w:type="dxa"/>
          </w:tcPr>
          <w:p w:rsidR="00557A6F" w:rsidRDefault="00557A6F" w:rsidP="00AF5F55">
            <w:pPr>
              <w:jc w:val="right"/>
            </w:pPr>
            <w:r>
              <w:t>304</w:t>
            </w:r>
          </w:p>
        </w:tc>
        <w:tc>
          <w:tcPr>
            <w:tcW w:w="1040" w:type="dxa"/>
          </w:tcPr>
          <w:p w:rsidR="00557A6F" w:rsidRDefault="00557A6F" w:rsidP="00AF5F55">
            <w:pPr>
              <w:jc w:val="right"/>
            </w:pPr>
            <w:r>
              <w:t>89</w:t>
            </w:r>
          </w:p>
        </w:tc>
        <w:tc>
          <w:tcPr>
            <w:tcW w:w="520" w:type="dxa"/>
          </w:tcPr>
          <w:p w:rsidR="00557A6F" w:rsidRDefault="00557A6F" w:rsidP="00AF5F55">
            <w:pPr>
              <w:jc w:val="right"/>
            </w:pPr>
            <w:r>
              <w:t>4,1</w:t>
            </w:r>
          </w:p>
        </w:tc>
        <w:tc>
          <w:tcPr>
            <w:tcW w:w="520" w:type="dxa"/>
          </w:tcPr>
          <w:p w:rsidR="00557A6F" w:rsidRDefault="00557A6F" w:rsidP="00AF5F55">
            <w:pPr>
              <w:jc w:val="right"/>
            </w:pPr>
            <w:r>
              <w:t>10,4</w:t>
            </w:r>
          </w:p>
        </w:tc>
        <w:tc>
          <w:tcPr>
            <w:tcW w:w="520" w:type="dxa"/>
          </w:tcPr>
          <w:p w:rsidR="00557A6F" w:rsidRDefault="00557A6F" w:rsidP="00AF5F55">
            <w:pPr>
              <w:jc w:val="right"/>
            </w:pPr>
            <w:r>
              <w:t>0,8</w:t>
            </w:r>
          </w:p>
        </w:tc>
        <w:tc>
          <w:tcPr>
            <w:tcW w:w="520" w:type="dxa"/>
          </w:tcPr>
          <w:p w:rsidR="00557A6F" w:rsidRDefault="00557A6F" w:rsidP="00AF5F55">
            <w:pPr>
              <w:jc w:val="right"/>
            </w:pPr>
            <w:r>
              <w:t>2,2</w:t>
            </w:r>
          </w:p>
        </w:tc>
        <w:tc>
          <w:tcPr>
            <w:tcW w:w="520" w:type="dxa"/>
          </w:tcPr>
          <w:p w:rsidR="00557A6F" w:rsidRDefault="00557A6F" w:rsidP="00AF5F55">
            <w:pPr>
              <w:jc w:val="right"/>
            </w:pPr>
            <w:r>
              <w:t>0</w:t>
            </w:r>
          </w:p>
        </w:tc>
        <w:tc>
          <w:tcPr>
            <w:tcW w:w="520" w:type="dxa"/>
          </w:tcPr>
          <w:p w:rsidR="00557A6F" w:rsidRDefault="00557A6F" w:rsidP="00AF5F55">
            <w:pPr>
              <w:jc w:val="right"/>
            </w:pPr>
            <w:r>
              <w:t>100</w:t>
            </w:r>
          </w:p>
        </w:tc>
        <w:tc>
          <w:tcPr>
            <w:tcW w:w="520" w:type="dxa"/>
          </w:tcPr>
          <w:p w:rsidR="00557A6F" w:rsidRDefault="00557A6F" w:rsidP="00AF5F55">
            <w:pPr>
              <w:jc w:val="right"/>
            </w:pPr>
            <w:r>
              <w:t>2,7</w:t>
            </w:r>
          </w:p>
        </w:tc>
        <w:tc>
          <w:tcPr>
            <w:tcW w:w="520" w:type="dxa"/>
          </w:tcPr>
          <w:p w:rsidR="00557A6F" w:rsidRDefault="00557A6F" w:rsidP="00AF5F55">
            <w:pPr>
              <w:jc w:val="right"/>
            </w:pPr>
            <w:r>
              <w:t>6,4</w:t>
            </w:r>
          </w:p>
        </w:tc>
      </w:tr>
      <w:tr w:rsidR="00557A6F" w:rsidTr="00557A6F">
        <w:trPr>
          <w:trHeight w:val="380"/>
        </w:trPr>
        <w:tc>
          <w:tcPr>
            <w:tcW w:w="1880" w:type="dxa"/>
            <w:vMerge/>
          </w:tcPr>
          <w:p w:rsidR="00557A6F" w:rsidRDefault="00557A6F" w:rsidP="004769CB"/>
        </w:tc>
        <w:tc>
          <w:tcPr>
            <w:tcW w:w="640" w:type="dxa"/>
          </w:tcPr>
          <w:p w:rsidR="00557A6F" w:rsidRDefault="00557A6F" w:rsidP="00557A6F">
            <w:r>
              <w:t>2017</w:t>
            </w:r>
          </w:p>
        </w:tc>
        <w:tc>
          <w:tcPr>
            <w:tcW w:w="520" w:type="dxa"/>
          </w:tcPr>
          <w:p w:rsidR="00557A6F" w:rsidRDefault="00557A6F" w:rsidP="00AF5F55">
            <w:pPr>
              <w:jc w:val="right"/>
            </w:pPr>
            <w:r>
              <w:t>41</w:t>
            </w:r>
          </w:p>
        </w:tc>
        <w:tc>
          <w:tcPr>
            <w:tcW w:w="520" w:type="dxa"/>
          </w:tcPr>
          <w:p w:rsidR="00557A6F" w:rsidRDefault="00557A6F" w:rsidP="00AF5F55">
            <w:pPr>
              <w:jc w:val="right"/>
            </w:pPr>
            <w:r>
              <w:t>59</w:t>
            </w:r>
          </w:p>
        </w:tc>
        <w:tc>
          <w:tcPr>
            <w:tcW w:w="640" w:type="dxa"/>
          </w:tcPr>
          <w:p w:rsidR="00557A6F" w:rsidRDefault="00557A6F" w:rsidP="00AF5F55">
            <w:pPr>
              <w:jc w:val="right"/>
            </w:pPr>
            <w:r>
              <w:t>330</w:t>
            </w:r>
          </w:p>
        </w:tc>
        <w:tc>
          <w:tcPr>
            <w:tcW w:w="1040" w:type="dxa"/>
          </w:tcPr>
          <w:p w:rsidR="00557A6F" w:rsidRDefault="00557A6F" w:rsidP="00AF5F55">
            <w:pPr>
              <w:jc w:val="right"/>
            </w:pPr>
            <w:r>
              <w:t>90</w:t>
            </w:r>
          </w:p>
        </w:tc>
        <w:tc>
          <w:tcPr>
            <w:tcW w:w="520" w:type="dxa"/>
          </w:tcPr>
          <w:p w:rsidR="00557A6F" w:rsidRDefault="00557A6F" w:rsidP="00AF5F55">
            <w:pPr>
              <w:jc w:val="right"/>
            </w:pPr>
            <w:r>
              <w:t>1,1</w:t>
            </w:r>
          </w:p>
        </w:tc>
        <w:tc>
          <w:tcPr>
            <w:tcW w:w="520" w:type="dxa"/>
          </w:tcPr>
          <w:p w:rsidR="00557A6F" w:rsidRDefault="00557A6F" w:rsidP="00AF5F55">
            <w:pPr>
              <w:jc w:val="right"/>
            </w:pPr>
            <w:r>
              <w:t>3,1</w:t>
            </w:r>
          </w:p>
        </w:tc>
        <w:tc>
          <w:tcPr>
            <w:tcW w:w="520" w:type="dxa"/>
          </w:tcPr>
          <w:p w:rsidR="00557A6F" w:rsidRDefault="00557A6F" w:rsidP="00AF5F55">
            <w:pPr>
              <w:jc w:val="right"/>
            </w:pPr>
            <w:r>
              <w:t>0,7</w:t>
            </w:r>
          </w:p>
        </w:tc>
        <w:tc>
          <w:tcPr>
            <w:tcW w:w="520" w:type="dxa"/>
          </w:tcPr>
          <w:p w:rsidR="00557A6F" w:rsidRDefault="00557A6F" w:rsidP="00AF5F55">
            <w:pPr>
              <w:jc w:val="right"/>
            </w:pPr>
            <w:r>
              <w:t>0,6</w:t>
            </w:r>
          </w:p>
        </w:tc>
        <w:tc>
          <w:tcPr>
            <w:tcW w:w="520" w:type="dxa"/>
          </w:tcPr>
          <w:p w:rsidR="00557A6F" w:rsidRDefault="00557A6F" w:rsidP="00AF5F55">
            <w:pPr>
              <w:jc w:val="right"/>
            </w:pPr>
            <w:r>
              <w:t>0</w:t>
            </w:r>
          </w:p>
        </w:tc>
        <w:tc>
          <w:tcPr>
            <w:tcW w:w="520" w:type="dxa"/>
          </w:tcPr>
          <w:p w:rsidR="00557A6F" w:rsidRDefault="00557A6F" w:rsidP="00AF5F55">
            <w:pPr>
              <w:jc w:val="right"/>
            </w:pPr>
            <w:r>
              <w:t>100</w:t>
            </w:r>
          </w:p>
        </w:tc>
        <w:tc>
          <w:tcPr>
            <w:tcW w:w="520" w:type="dxa"/>
          </w:tcPr>
          <w:p w:rsidR="00557A6F" w:rsidRDefault="00557A6F" w:rsidP="00AF5F55">
            <w:pPr>
              <w:jc w:val="right"/>
            </w:pPr>
            <w:r>
              <w:t>0,6</w:t>
            </w:r>
          </w:p>
        </w:tc>
        <w:tc>
          <w:tcPr>
            <w:tcW w:w="520" w:type="dxa"/>
          </w:tcPr>
          <w:p w:rsidR="00557A6F" w:rsidRDefault="00557A6F" w:rsidP="00AF5F55">
            <w:pPr>
              <w:jc w:val="right"/>
            </w:pPr>
            <w:r>
              <w:t>1,1</w:t>
            </w:r>
          </w:p>
        </w:tc>
      </w:tr>
      <w:tr w:rsidR="00557A6F" w:rsidTr="00557A6F">
        <w:trPr>
          <w:trHeight w:val="380"/>
        </w:trPr>
        <w:tc>
          <w:tcPr>
            <w:tcW w:w="1880" w:type="dxa"/>
            <w:vMerge w:val="restart"/>
          </w:tcPr>
          <w:p w:rsidR="00557A6F" w:rsidRDefault="00557A6F" w:rsidP="00557A6F">
            <w:r>
              <w:t>Husleietvistutva</w:t>
            </w:r>
            <w:r>
              <w:t>l</w:t>
            </w:r>
            <w:r>
              <w:t>get</w:t>
            </w:r>
          </w:p>
        </w:tc>
        <w:tc>
          <w:tcPr>
            <w:tcW w:w="640" w:type="dxa"/>
          </w:tcPr>
          <w:p w:rsidR="00557A6F" w:rsidRDefault="00557A6F" w:rsidP="00557A6F">
            <w:r>
              <w:t>2018</w:t>
            </w:r>
          </w:p>
        </w:tc>
        <w:tc>
          <w:tcPr>
            <w:tcW w:w="520" w:type="dxa"/>
          </w:tcPr>
          <w:p w:rsidR="00557A6F" w:rsidRDefault="00557A6F" w:rsidP="00AF5F55">
            <w:pPr>
              <w:jc w:val="right"/>
            </w:pPr>
            <w:r>
              <w:t>34</w:t>
            </w:r>
          </w:p>
        </w:tc>
        <w:tc>
          <w:tcPr>
            <w:tcW w:w="520" w:type="dxa"/>
          </w:tcPr>
          <w:p w:rsidR="00557A6F" w:rsidRDefault="00557A6F" w:rsidP="00AF5F55">
            <w:pPr>
              <w:jc w:val="right"/>
            </w:pPr>
            <w:r>
              <w:t>66</w:t>
            </w:r>
          </w:p>
        </w:tc>
        <w:tc>
          <w:tcPr>
            <w:tcW w:w="640" w:type="dxa"/>
          </w:tcPr>
          <w:p w:rsidR="00557A6F" w:rsidRDefault="00557A6F" w:rsidP="00AF5F55">
            <w:pPr>
              <w:jc w:val="right"/>
            </w:pPr>
            <w:r>
              <w:t>32</w:t>
            </w:r>
          </w:p>
        </w:tc>
        <w:tc>
          <w:tcPr>
            <w:tcW w:w="1040" w:type="dxa"/>
          </w:tcPr>
          <w:p w:rsidR="00557A6F" w:rsidRDefault="00557A6F" w:rsidP="00AF5F55">
            <w:pPr>
              <w:jc w:val="right"/>
            </w:pPr>
            <w:r>
              <w:t>76</w:t>
            </w:r>
          </w:p>
        </w:tc>
        <w:tc>
          <w:tcPr>
            <w:tcW w:w="520" w:type="dxa"/>
          </w:tcPr>
          <w:p w:rsidR="00557A6F" w:rsidRDefault="00557A6F" w:rsidP="00AF5F55">
            <w:pPr>
              <w:jc w:val="right"/>
            </w:pPr>
            <w:r>
              <w:t>0,0</w:t>
            </w:r>
          </w:p>
        </w:tc>
        <w:tc>
          <w:tcPr>
            <w:tcW w:w="520" w:type="dxa"/>
          </w:tcPr>
          <w:p w:rsidR="00557A6F" w:rsidRDefault="00557A6F" w:rsidP="00AF5F55">
            <w:pPr>
              <w:jc w:val="right"/>
            </w:pPr>
            <w:r>
              <w:t>19,5</w:t>
            </w:r>
          </w:p>
        </w:tc>
        <w:tc>
          <w:tcPr>
            <w:tcW w:w="520" w:type="dxa"/>
          </w:tcPr>
          <w:p w:rsidR="00557A6F" w:rsidRDefault="00557A6F" w:rsidP="00AF5F55">
            <w:pPr>
              <w:jc w:val="right"/>
            </w:pPr>
            <w:r>
              <w:t>0,0</w:t>
            </w:r>
          </w:p>
        </w:tc>
        <w:tc>
          <w:tcPr>
            <w:tcW w:w="520" w:type="dxa"/>
          </w:tcPr>
          <w:p w:rsidR="00557A6F" w:rsidRDefault="00557A6F" w:rsidP="00AF5F55">
            <w:pPr>
              <w:jc w:val="right"/>
            </w:pPr>
            <w:r>
              <w:t>19,0</w:t>
            </w:r>
          </w:p>
        </w:tc>
        <w:tc>
          <w:tcPr>
            <w:tcW w:w="520" w:type="dxa"/>
          </w:tcPr>
          <w:p w:rsidR="00557A6F" w:rsidRDefault="00557A6F" w:rsidP="00AF5F55">
            <w:pPr>
              <w:jc w:val="right"/>
            </w:pPr>
            <w:r>
              <w:t>33</w:t>
            </w:r>
          </w:p>
        </w:tc>
        <w:tc>
          <w:tcPr>
            <w:tcW w:w="520" w:type="dxa"/>
          </w:tcPr>
          <w:p w:rsidR="00557A6F" w:rsidRDefault="00557A6F" w:rsidP="00AF5F55">
            <w:pPr>
              <w:jc w:val="right"/>
            </w:pPr>
            <w:r>
              <w:t>67</w:t>
            </w:r>
          </w:p>
        </w:tc>
        <w:tc>
          <w:tcPr>
            <w:tcW w:w="520" w:type="dxa"/>
          </w:tcPr>
          <w:p w:rsidR="00557A6F" w:rsidRDefault="00557A6F" w:rsidP="00AF5F55">
            <w:pPr>
              <w:jc w:val="right"/>
            </w:pPr>
            <w:r>
              <w:t>3,7</w:t>
            </w:r>
          </w:p>
        </w:tc>
        <w:tc>
          <w:tcPr>
            <w:tcW w:w="520" w:type="dxa"/>
          </w:tcPr>
          <w:p w:rsidR="00557A6F" w:rsidRDefault="00557A6F" w:rsidP="00AF5F55">
            <w:pPr>
              <w:jc w:val="right"/>
            </w:pPr>
            <w:r>
              <w:t>6,2</w:t>
            </w:r>
          </w:p>
        </w:tc>
      </w:tr>
      <w:tr w:rsidR="00557A6F" w:rsidTr="00557A6F">
        <w:trPr>
          <w:trHeight w:val="380"/>
        </w:trPr>
        <w:tc>
          <w:tcPr>
            <w:tcW w:w="1880" w:type="dxa"/>
            <w:vMerge/>
          </w:tcPr>
          <w:p w:rsidR="00557A6F" w:rsidRDefault="00557A6F" w:rsidP="004769CB"/>
        </w:tc>
        <w:tc>
          <w:tcPr>
            <w:tcW w:w="640" w:type="dxa"/>
          </w:tcPr>
          <w:p w:rsidR="00557A6F" w:rsidRDefault="00557A6F" w:rsidP="00557A6F">
            <w:r>
              <w:t>2017</w:t>
            </w:r>
          </w:p>
        </w:tc>
        <w:tc>
          <w:tcPr>
            <w:tcW w:w="520" w:type="dxa"/>
          </w:tcPr>
          <w:p w:rsidR="00557A6F" w:rsidRDefault="00557A6F" w:rsidP="00AF5F55">
            <w:pPr>
              <w:jc w:val="right"/>
            </w:pPr>
            <w:r>
              <w:t>39</w:t>
            </w:r>
          </w:p>
        </w:tc>
        <w:tc>
          <w:tcPr>
            <w:tcW w:w="520" w:type="dxa"/>
          </w:tcPr>
          <w:p w:rsidR="00557A6F" w:rsidRDefault="00557A6F" w:rsidP="00AF5F55">
            <w:pPr>
              <w:jc w:val="right"/>
            </w:pPr>
            <w:r>
              <w:t>61</w:t>
            </w:r>
          </w:p>
        </w:tc>
        <w:tc>
          <w:tcPr>
            <w:tcW w:w="640" w:type="dxa"/>
          </w:tcPr>
          <w:p w:rsidR="00557A6F" w:rsidRDefault="00557A6F" w:rsidP="00AF5F55">
            <w:pPr>
              <w:jc w:val="right"/>
            </w:pPr>
            <w:r>
              <w:t>31</w:t>
            </w:r>
          </w:p>
        </w:tc>
        <w:tc>
          <w:tcPr>
            <w:tcW w:w="1040" w:type="dxa"/>
          </w:tcPr>
          <w:p w:rsidR="00557A6F" w:rsidRDefault="00557A6F" w:rsidP="00AF5F55">
            <w:pPr>
              <w:jc w:val="right"/>
            </w:pPr>
            <w:r>
              <w:t>77</w:t>
            </w:r>
          </w:p>
        </w:tc>
        <w:tc>
          <w:tcPr>
            <w:tcW w:w="520" w:type="dxa"/>
          </w:tcPr>
          <w:p w:rsidR="00557A6F" w:rsidRDefault="00557A6F" w:rsidP="00AF5F55">
            <w:pPr>
              <w:jc w:val="right"/>
            </w:pPr>
            <w:r>
              <w:t>9,6</w:t>
            </w:r>
          </w:p>
        </w:tc>
        <w:tc>
          <w:tcPr>
            <w:tcW w:w="520" w:type="dxa"/>
          </w:tcPr>
          <w:p w:rsidR="00557A6F" w:rsidRDefault="00557A6F" w:rsidP="00AF5F55">
            <w:pPr>
              <w:jc w:val="right"/>
            </w:pPr>
            <w:r>
              <w:t>6,4</w:t>
            </w:r>
          </w:p>
        </w:tc>
        <w:tc>
          <w:tcPr>
            <w:tcW w:w="520" w:type="dxa"/>
          </w:tcPr>
          <w:p w:rsidR="00557A6F" w:rsidRDefault="00557A6F" w:rsidP="00AF5F55">
            <w:pPr>
              <w:jc w:val="right"/>
            </w:pPr>
            <w:r>
              <w:t>3,2</w:t>
            </w:r>
          </w:p>
        </w:tc>
        <w:tc>
          <w:tcPr>
            <w:tcW w:w="520" w:type="dxa"/>
          </w:tcPr>
          <w:p w:rsidR="00557A6F" w:rsidRDefault="00557A6F" w:rsidP="00AF5F55">
            <w:pPr>
              <w:jc w:val="right"/>
            </w:pPr>
            <w:r>
              <w:t>6,4</w:t>
            </w:r>
          </w:p>
        </w:tc>
        <w:tc>
          <w:tcPr>
            <w:tcW w:w="520" w:type="dxa"/>
          </w:tcPr>
          <w:p w:rsidR="00557A6F" w:rsidRDefault="00557A6F" w:rsidP="00AF5F55">
            <w:pPr>
              <w:jc w:val="right"/>
            </w:pPr>
            <w:r>
              <w:t>36</w:t>
            </w:r>
          </w:p>
        </w:tc>
        <w:tc>
          <w:tcPr>
            <w:tcW w:w="520" w:type="dxa"/>
          </w:tcPr>
          <w:p w:rsidR="00557A6F" w:rsidRDefault="00557A6F" w:rsidP="00AF5F55">
            <w:pPr>
              <w:jc w:val="right"/>
            </w:pPr>
            <w:r>
              <w:t>64</w:t>
            </w:r>
          </w:p>
        </w:tc>
        <w:tc>
          <w:tcPr>
            <w:tcW w:w="520" w:type="dxa"/>
          </w:tcPr>
          <w:p w:rsidR="00557A6F" w:rsidRDefault="00557A6F" w:rsidP="00AF5F55">
            <w:pPr>
              <w:jc w:val="right"/>
            </w:pPr>
            <w:r>
              <w:t>2,1</w:t>
            </w:r>
          </w:p>
        </w:tc>
        <w:tc>
          <w:tcPr>
            <w:tcW w:w="520" w:type="dxa"/>
          </w:tcPr>
          <w:p w:rsidR="00557A6F" w:rsidRDefault="00557A6F" w:rsidP="00AF5F55">
            <w:pPr>
              <w:jc w:val="right"/>
            </w:pPr>
            <w:r>
              <w:t>5,1</w:t>
            </w:r>
          </w:p>
        </w:tc>
      </w:tr>
      <w:tr w:rsidR="00557A6F" w:rsidTr="00557A6F">
        <w:trPr>
          <w:trHeight w:val="380"/>
        </w:trPr>
        <w:tc>
          <w:tcPr>
            <w:tcW w:w="1880" w:type="dxa"/>
            <w:vMerge w:val="restart"/>
          </w:tcPr>
          <w:p w:rsidR="00557A6F" w:rsidRDefault="00557A6F" w:rsidP="00557A6F">
            <w:r>
              <w:t>Internasjonalt reindriftssenter</w:t>
            </w:r>
          </w:p>
        </w:tc>
        <w:tc>
          <w:tcPr>
            <w:tcW w:w="640" w:type="dxa"/>
          </w:tcPr>
          <w:p w:rsidR="00557A6F" w:rsidRDefault="00557A6F" w:rsidP="00557A6F">
            <w:r>
              <w:t>2018</w:t>
            </w:r>
          </w:p>
        </w:tc>
        <w:tc>
          <w:tcPr>
            <w:tcW w:w="520" w:type="dxa"/>
          </w:tcPr>
          <w:p w:rsidR="00557A6F" w:rsidRDefault="00557A6F" w:rsidP="00AF5F55">
            <w:pPr>
              <w:jc w:val="right"/>
            </w:pPr>
            <w:r>
              <w:t>78</w:t>
            </w:r>
          </w:p>
        </w:tc>
        <w:tc>
          <w:tcPr>
            <w:tcW w:w="520" w:type="dxa"/>
          </w:tcPr>
          <w:p w:rsidR="00557A6F" w:rsidRDefault="00557A6F" w:rsidP="00AF5F55">
            <w:pPr>
              <w:jc w:val="right"/>
            </w:pPr>
            <w:r>
              <w:t>22</w:t>
            </w:r>
          </w:p>
        </w:tc>
        <w:tc>
          <w:tcPr>
            <w:tcW w:w="640" w:type="dxa"/>
          </w:tcPr>
          <w:p w:rsidR="00557A6F" w:rsidRDefault="00557A6F" w:rsidP="00AF5F55">
            <w:pPr>
              <w:jc w:val="right"/>
            </w:pPr>
            <w:r>
              <w:t>9</w:t>
            </w:r>
          </w:p>
        </w:tc>
        <w:tc>
          <w:tcPr>
            <w:tcW w:w="1040" w:type="dxa"/>
          </w:tcPr>
          <w:p w:rsidR="00557A6F" w:rsidRDefault="00557A6F" w:rsidP="00AF5F55">
            <w:pPr>
              <w:jc w:val="right"/>
            </w:pPr>
            <w:r>
              <w:t>64</w:t>
            </w:r>
          </w:p>
        </w:tc>
        <w:tc>
          <w:tcPr>
            <w:tcW w:w="520" w:type="dxa"/>
          </w:tcPr>
          <w:p w:rsidR="00557A6F" w:rsidRDefault="00557A6F" w:rsidP="00AF5F55">
            <w:pPr>
              <w:jc w:val="right"/>
            </w:pPr>
            <w:r>
              <w:t>22,0</w:t>
            </w:r>
          </w:p>
        </w:tc>
        <w:tc>
          <w:tcPr>
            <w:tcW w:w="520" w:type="dxa"/>
          </w:tcPr>
          <w:p w:rsidR="00557A6F" w:rsidRDefault="00557A6F" w:rsidP="00AF5F55">
            <w:pPr>
              <w:jc w:val="right"/>
            </w:pPr>
            <w:r>
              <w:t>11,0</w:t>
            </w:r>
          </w:p>
        </w:tc>
        <w:tc>
          <w:tcPr>
            <w:tcW w:w="520" w:type="dxa"/>
          </w:tcPr>
          <w:p w:rsidR="00557A6F" w:rsidRDefault="00557A6F" w:rsidP="00AF5F55">
            <w:pPr>
              <w:jc w:val="right"/>
            </w:pPr>
            <w:r>
              <w:t>22,0</w:t>
            </w:r>
          </w:p>
        </w:tc>
        <w:tc>
          <w:tcPr>
            <w:tcW w:w="520" w:type="dxa"/>
          </w:tcPr>
          <w:p w:rsidR="00557A6F" w:rsidRDefault="00557A6F" w:rsidP="00AF5F55">
            <w:pPr>
              <w:jc w:val="right"/>
            </w:pPr>
            <w:r>
              <w:t>0,0</w:t>
            </w:r>
          </w:p>
        </w:tc>
        <w:tc>
          <w:tcPr>
            <w:tcW w:w="520" w:type="dxa"/>
          </w:tcPr>
          <w:p w:rsidR="00557A6F" w:rsidRDefault="00557A6F" w:rsidP="00AF5F55">
            <w:pPr>
              <w:jc w:val="right"/>
            </w:pPr>
            <w:r>
              <w:t>0</w:t>
            </w:r>
          </w:p>
        </w:tc>
        <w:tc>
          <w:tcPr>
            <w:tcW w:w="520" w:type="dxa"/>
          </w:tcPr>
          <w:p w:rsidR="00557A6F" w:rsidRDefault="00557A6F" w:rsidP="00AF5F55">
            <w:pPr>
              <w:jc w:val="right"/>
            </w:pPr>
            <w:r>
              <w:t>0</w:t>
            </w:r>
          </w:p>
        </w:tc>
        <w:tc>
          <w:tcPr>
            <w:tcW w:w="520" w:type="dxa"/>
          </w:tcPr>
          <w:p w:rsidR="00557A6F" w:rsidRDefault="00557A6F" w:rsidP="00AF5F55">
            <w:pPr>
              <w:jc w:val="right"/>
            </w:pPr>
            <w:r>
              <w:t>0,0</w:t>
            </w:r>
          </w:p>
        </w:tc>
        <w:tc>
          <w:tcPr>
            <w:tcW w:w="520" w:type="dxa"/>
          </w:tcPr>
          <w:p w:rsidR="00557A6F" w:rsidRDefault="00557A6F" w:rsidP="00AF5F55">
            <w:pPr>
              <w:jc w:val="right"/>
            </w:pPr>
            <w:r>
              <w:t>0,0</w:t>
            </w:r>
          </w:p>
        </w:tc>
      </w:tr>
      <w:tr w:rsidR="00557A6F" w:rsidTr="00557A6F">
        <w:trPr>
          <w:trHeight w:val="380"/>
        </w:trPr>
        <w:tc>
          <w:tcPr>
            <w:tcW w:w="1880" w:type="dxa"/>
            <w:vMerge/>
          </w:tcPr>
          <w:p w:rsidR="00557A6F" w:rsidRDefault="00557A6F" w:rsidP="004769CB"/>
        </w:tc>
        <w:tc>
          <w:tcPr>
            <w:tcW w:w="640" w:type="dxa"/>
          </w:tcPr>
          <w:p w:rsidR="00557A6F" w:rsidRDefault="00557A6F" w:rsidP="00557A6F">
            <w:r>
              <w:t>2017</w:t>
            </w:r>
          </w:p>
        </w:tc>
        <w:tc>
          <w:tcPr>
            <w:tcW w:w="520" w:type="dxa"/>
          </w:tcPr>
          <w:p w:rsidR="00557A6F" w:rsidRDefault="00557A6F" w:rsidP="00AF5F55">
            <w:pPr>
              <w:jc w:val="right"/>
            </w:pPr>
            <w:r>
              <w:t>73</w:t>
            </w:r>
          </w:p>
        </w:tc>
        <w:tc>
          <w:tcPr>
            <w:tcW w:w="520" w:type="dxa"/>
          </w:tcPr>
          <w:p w:rsidR="00557A6F" w:rsidRDefault="00557A6F" w:rsidP="00AF5F55">
            <w:pPr>
              <w:jc w:val="right"/>
            </w:pPr>
            <w:r>
              <w:t>27</w:t>
            </w:r>
          </w:p>
        </w:tc>
        <w:tc>
          <w:tcPr>
            <w:tcW w:w="640" w:type="dxa"/>
          </w:tcPr>
          <w:p w:rsidR="00557A6F" w:rsidRDefault="00557A6F" w:rsidP="00AF5F55">
            <w:pPr>
              <w:jc w:val="right"/>
            </w:pPr>
            <w:r>
              <w:t>6</w:t>
            </w:r>
          </w:p>
        </w:tc>
        <w:tc>
          <w:tcPr>
            <w:tcW w:w="1040" w:type="dxa"/>
          </w:tcPr>
          <w:p w:rsidR="00557A6F" w:rsidRDefault="00557A6F" w:rsidP="00AF5F55">
            <w:pPr>
              <w:jc w:val="right"/>
            </w:pPr>
            <w:r>
              <w:t>56</w:t>
            </w:r>
          </w:p>
        </w:tc>
        <w:tc>
          <w:tcPr>
            <w:tcW w:w="520" w:type="dxa"/>
          </w:tcPr>
          <w:p w:rsidR="00557A6F" w:rsidRDefault="00557A6F" w:rsidP="00AF5F55">
            <w:pPr>
              <w:jc w:val="right"/>
            </w:pPr>
            <w:r>
              <w:t>-</w:t>
            </w:r>
          </w:p>
        </w:tc>
        <w:tc>
          <w:tcPr>
            <w:tcW w:w="520" w:type="dxa"/>
          </w:tcPr>
          <w:p w:rsidR="00557A6F" w:rsidRDefault="00557A6F" w:rsidP="00AF5F55">
            <w:pPr>
              <w:jc w:val="right"/>
            </w:pPr>
            <w:r>
              <w:t>-</w:t>
            </w:r>
          </w:p>
        </w:tc>
        <w:tc>
          <w:tcPr>
            <w:tcW w:w="520" w:type="dxa"/>
          </w:tcPr>
          <w:p w:rsidR="00557A6F" w:rsidRDefault="00557A6F" w:rsidP="00AF5F55">
            <w:pPr>
              <w:jc w:val="right"/>
            </w:pPr>
            <w:r>
              <w:t>-</w:t>
            </w:r>
          </w:p>
        </w:tc>
        <w:tc>
          <w:tcPr>
            <w:tcW w:w="520" w:type="dxa"/>
          </w:tcPr>
          <w:p w:rsidR="00557A6F" w:rsidRDefault="00557A6F" w:rsidP="00AF5F55">
            <w:pPr>
              <w:jc w:val="right"/>
            </w:pPr>
            <w:r>
              <w:t>-</w:t>
            </w:r>
          </w:p>
        </w:tc>
        <w:tc>
          <w:tcPr>
            <w:tcW w:w="520" w:type="dxa"/>
          </w:tcPr>
          <w:p w:rsidR="00557A6F" w:rsidRDefault="00557A6F" w:rsidP="00AF5F55">
            <w:pPr>
              <w:jc w:val="right"/>
            </w:pPr>
            <w:r>
              <w:t>-</w:t>
            </w:r>
          </w:p>
        </w:tc>
        <w:tc>
          <w:tcPr>
            <w:tcW w:w="520" w:type="dxa"/>
          </w:tcPr>
          <w:p w:rsidR="00557A6F" w:rsidRDefault="00557A6F" w:rsidP="00AF5F55">
            <w:pPr>
              <w:jc w:val="right"/>
            </w:pPr>
            <w:r>
              <w:t>-</w:t>
            </w:r>
          </w:p>
        </w:tc>
        <w:tc>
          <w:tcPr>
            <w:tcW w:w="520" w:type="dxa"/>
          </w:tcPr>
          <w:p w:rsidR="00557A6F" w:rsidRDefault="00557A6F" w:rsidP="00AF5F55">
            <w:pPr>
              <w:jc w:val="right"/>
            </w:pPr>
            <w:r>
              <w:t>-</w:t>
            </w:r>
          </w:p>
        </w:tc>
        <w:tc>
          <w:tcPr>
            <w:tcW w:w="520" w:type="dxa"/>
          </w:tcPr>
          <w:p w:rsidR="00557A6F" w:rsidRDefault="00557A6F" w:rsidP="00AF5F55">
            <w:pPr>
              <w:jc w:val="right"/>
            </w:pPr>
            <w:r>
              <w:t>-</w:t>
            </w:r>
          </w:p>
        </w:tc>
      </w:tr>
      <w:tr w:rsidR="00557A6F" w:rsidTr="00557A6F">
        <w:trPr>
          <w:trHeight w:val="380"/>
        </w:trPr>
        <w:tc>
          <w:tcPr>
            <w:tcW w:w="1880" w:type="dxa"/>
            <w:vMerge w:val="restart"/>
          </w:tcPr>
          <w:p w:rsidR="00557A6F" w:rsidRDefault="00557A6F" w:rsidP="00557A6F">
            <w:r>
              <w:t>Kartverket</w:t>
            </w:r>
          </w:p>
        </w:tc>
        <w:tc>
          <w:tcPr>
            <w:tcW w:w="640" w:type="dxa"/>
          </w:tcPr>
          <w:p w:rsidR="00557A6F" w:rsidRDefault="00557A6F" w:rsidP="00557A6F">
            <w:r>
              <w:t>2018</w:t>
            </w:r>
          </w:p>
        </w:tc>
        <w:tc>
          <w:tcPr>
            <w:tcW w:w="520" w:type="dxa"/>
          </w:tcPr>
          <w:p w:rsidR="00557A6F" w:rsidRDefault="00557A6F" w:rsidP="00AF5F55">
            <w:pPr>
              <w:jc w:val="right"/>
            </w:pPr>
            <w:r>
              <w:t>46</w:t>
            </w:r>
          </w:p>
        </w:tc>
        <w:tc>
          <w:tcPr>
            <w:tcW w:w="520" w:type="dxa"/>
          </w:tcPr>
          <w:p w:rsidR="00557A6F" w:rsidRDefault="00557A6F" w:rsidP="00AF5F55">
            <w:pPr>
              <w:jc w:val="right"/>
            </w:pPr>
            <w:r>
              <w:t>54</w:t>
            </w:r>
          </w:p>
        </w:tc>
        <w:tc>
          <w:tcPr>
            <w:tcW w:w="640" w:type="dxa"/>
          </w:tcPr>
          <w:p w:rsidR="00557A6F" w:rsidRDefault="00557A6F" w:rsidP="00AF5F55">
            <w:pPr>
              <w:jc w:val="right"/>
            </w:pPr>
            <w:r>
              <w:t>848</w:t>
            </w:r>
          </w:p>
        </w:tc>
        <w:tc>
          <w:tcPr>
            <w:tcW w:w="1040" w:type="dxa"/>
          </w:tcPr>
          <w:p w:rsidR="00557A6F" w:rsidRDefault="00557A6F" w:rsidP="00AF5F55">
            <w:pPr>
              <w:jc w:val="right"/>
            </w:pPr>
            <w:r>
              <w:t>86</w:t>
            </w:r>
          </w:p>
        </w:tc>
        <w:tc>
          <w:tcPr>
            <w:tcW w:w="520" w:type="dxa"/>
          </w:tcPr>
          <w:p w:rsidR="00557A6F" w:rsidRDefault="00557A6F" w:rsidP="00AF5F55">
            <w:pPr>
              <w:jc w:val="right"/>
            </w:pPr>
            <w:r>
              <w:t>5,7</w:t>
            </w:r>
          </w:p>
        </w:tc>
        <w:tc>
          <w:tcPr>
            <w:tcW w:w="520" w:type="dxa"/>
          </w:tcPr>
          <w:p w:rsidR="00557A6F" w:rsidRDefault="00557A6F" w:rsidP="00AF5F55">
            <w:pPr>
              <w:jc w:val="right"/>
            </w:pPr>
            <w:r>
              <w:t>18,7</w:t>
            </w:r>
          </w:p>
        </w:tc>
        <w:tc>
          <w:tcPr>
            <w:tcW w:w="520" w:type="dxa"/>
          </w:tcPr>
          <w:p w:rsidR="00557A6F" w:rsidRDefault="00557A6F" w:rsidP="00AF5F55">
            <w:pPr>
              <w:jc w:val="right"/>
            </w:pPr>
            <w:r>
              <w:t>3,3</w:t>
            </w:r>
          </w:p>
        </w:tc>
        <w:tc>
          <w:tcPr>
            <w:tcW w:w="520" w:type="dxa"/>
          </w:tcPr>
          <w:p w:rsidR="00557A6F" w:rsidRDefault="00557A6F" w:rsidP="00AF5F55">
            <w:pPr>
              <w:jc w:val="right"/>
            </w:pPr>
            <w:r>
              <w:t>2,0</w:t>
            </w:r>
          </w:p>
        </w:tc>
        <w:tc>
          <w:tcPr>
            <w:tcW w:w="520" w:type="dxa"/>
          </w:tcPr>
          <w:p w:rsidR="00557A6F" w:rsidRDefault="00557A6F" w:rsidP="00AF5F55">
            <w:pPr>
              <w:jc w:val="right"/>
            </w:pPr>
            <w:r>
              <w:t>22</w:t>
            </w:r>
          </w:p>
        </w:tc>
        <w:tc>
          <w:tcPr>
            <w:tcW w:w="520" w:type="dxa"/>
          </w:tcPr>
          <w:p w:rsidR="00557A6F" w:rsidRDefault="00557A6F" w:rsidP="00AF5F55">
            <w:pPr>
              <w:jc w:val="right"/>
            </w:pPr>
            <w:r>
              <w:t>78</w:t>
            </w:r>
          </w:p>
        </w:tc>
        <w:tc>
          <w:tcPr>
            <w:tcW w:w="520" w:type="dxa"/>
          </w:tcPr>
          <w:p w:rsidR="00557A6F" w:rsidRDefault="00557A6F" w:rsidP="00AF5F55">
            <w:pPr>
              <w:jc w:val="right"/>
            </w:pPr>
            <w:r>
              <w:t>2,3</w:t>
            </w:r>
          </w:p>
        </w:tc>
        <w:tc>
          <w:tcPr>
            <w:tcW w:w="520" w:type="dxa"/>
          </w:tcPr>
          <w:p w:rsidR="00557A6F" w:rsidRDefault="00557A6F" w:rsidP="00AF5F55">
            <w:pPr>
              <w:jc w:val="right"/>
            </w:pPr>
            <w:r>
              <w:t>6,3</w:t>
            </w:r>
          </w:p>
        </w:tc>
      </w:tr>
      <w:tr w:rsidR="00557A6F" w:rsidTr="00557A6F">
        <w:trPr>
          <w:trHeight w:val="380"/>
        </w:trPr>
        <w:tc>
          <w:tcPr>
            <w:tcW w:w="1880" w:type="dxa"/>
            <w:vMerge/>
          </w:tcPr>
          <w:p w:rsidR="00557A6F" w:rsidRDefault="00557A6F" w:rsidP="004769CB"/>
        </w:tc>
        <w:tc>
          <w:tcPr>
            <w:tcW w:w="640" w:type="dxa"/>
          </w:tcPr>
          <w:p w:rsidR="00557A6F" w:rsidRDefault="00557A6F" w:rsidP="00557A6F">
            <w:r>
              <w:t>2017</w:t>
            </w:r>
          </w:p>
        </w:tc>
        <w:tc>
          <w:tcPr>
            <w:tcW w:w="520" w:type="dxa"/>
          </w:tcPr>
          <w:p w:rsidR="00557A6F" w:rsidRDefault="00557A6F" w:rsidP="00AF5F55">
            <w:pPr>
              <w:jc w:val="right"/>
            </w:pPr>
            <w:r>
              <w:t>46</w:t>
            </w:r>
          </w:p>
        </w:tc>
        <w:tc>
          <w:tcPr>
            <w:tcW w:w="520" w:type="dxa"/>
          </w:tcPr>
          <w:p w:rsidR="00557A6F" w:rsidRDefault="00557A6F" w:rsidP="00AF5F55">
            <w:pPr>
              <w:jc w:val="right"/>
            </w:pPr>
            <w:r>
              <w:t>54</w:t>
            </w:r>
          </w:p>
        </w:tc>
        <w:tc>
          <w:tcPr>
            <w:tcW w:w="640" w:type="dxa"/>
          </w:tcPr>
          <w:p w:rsidR="00557A6F" w:rsidRDefault="00557A6F" w:rsidP="00AF5F55">
            <w:pPr>
              <w:jc w:val="right"/>
            </w:pPr>
            <w:r>
              <w:t>869</w:t>
            </w:r>
          </w:p>
        </w:tc>
        <w:tc>
          <w:tcPr>
            <w:tcW w:w="1040" w:type="dxa"/>
          </w:tcPr>
          <w:p w:rsidR="00557A6F" w:rsidRDefault="00557A6F" w:rsidP="00AF5F55">
            <w:pPr>
              <w:jc w:val="right"/>
            </w:pPr>
            <w:r>
              <w:t>86</w:t>
            </w:r>
          </w:p>
        </w:tc>
        <w:tc>
          <w:tcPr>
            <w:tcW w:w="520" w:type="dxa"/>
          </w:tcPr>
          <w:p w:rsidR="00557A6F" w:rsidRDefault="00557A6F" w:rsidP="00AF5F55">
            <w:pPr>
              <w:jc w:val="right"/>
            </w:pPr>
            <w:r>
              <w:t>6,5</w:t>
            </w:r>
          </w:p>
        </w:tc>
        <w:tc>
          <w:tcPr>
            <w:tcW w:w="520" w:type="dxa"/>
          </w:tcPr>
          <w:p w:rsidR="00557A6F" w:rsidRDefault="00557A6F" w:rsidP="00AF5F55">
            <w:pPr>
              <w:jc w:val="right"/>
            </w:pPr>
            <w:r>
              <w:t>19,1</w:t>
            </w:r>
          </w:p>
        </w:tc>
        <w:tc>
          <w:tcPr>
            <w:tcW w:w="520" w:type="dxa"/>
          </w:tcPr>
          <w:p w:rsidR="00557A6F" w:rsidRDefault="00557A6F" w:rsidP="00AF5F55">
            <w:pPr>
              <w:jc w:val="right"/>
            </w:pPr>
            <w:r>
              <w:t>6,3</w:t>
            </w:r>
          </w:p>
        </w:tc>
        <w:tc>
          <w:tcPr>
            <w:tcW w:w="520" w:type="dxa"/>
          </w:tcPr>
          <w:p w:rsidR="00557A6F" w:rsidRDefault="00557A6F" w:rsidP="00AF5F55">
            <w:pPr>
              <w:jc w:val="right"/>
            </w:pPr>
            <w:r>
              <w:t>8,5</w:t>
            </w:r>
          </w:p>
        </w:tc>
        <w:tc>
          <w:tcPr>
            <w:tcW w:w="520" w:type="dxa"/>
          </w:tcPr>
          <w:p w:rsidR="00557A6F" w:rsidRDefault="00557A6F" w:rsidP="00AF5F55">
            <w:pPr>
              <w:jc w:val="right"/>
            </w:pPr>
            <w:r>
              <w:t>34</w:t>
            </w:r>
          </w:p>
        </w:tc>
        <w:tc>
          <w:tcPr>
            <w:tcW w:w="520" w:type="dxa"/>
          </w:tcPr>
          <w:p w:rsidR="00557A6F" w:rsidRDefault="00557A6F" w:rsidP="00AF5F55">
            <w:pPr>
              <w:jc w:val="right"/>
            </w:pPr>
            <w:r>
              <w:t>66</w:t>
            </w:r>
          </w:p>
        </w:tc>
        <w:tc>
          <w:tcPr>
            <w:tcW w:w="520" w:type="dxa"/>
          </w:tcPr>
          <w:p w:rsidR="00557A6F" w:rsidRDefault="00557A6F" w:rsidP="00AF5F55">
            <w:pPr>
              <w:jc w:val="right"/>
            </w:pPr>
            <w:r>
              <w:t>2,2</w:t>
            </w:r>
          </w:p>
        </w:tc>
        <w:tc>
          <w:tcPr>
            <w:tcW w:w="520" w:type="dxa"/>
          </w:tcPr>
          <w:p w:rsidR="00557A6F" w:rsidRDefault="00557A6F" w:rsidP="00AF5F55">
            <w:pPr>
              <w:jc w:val="right"/>
            </w:pPr>
            <w:r>
              <w:t>5,4</w:t>
            </w:r>
          </w:p>
        </w:tc>
      </w:tr>
      <w:tr w:rsidR="00557A6F" w:rsidTr="00557A6F">
        <w:trPr>
          <w:trHeight w:val="380"/>
        </w:trPr>
        <w:tc>
          <w:tcPr>
            <w:tcW w:w="1880" w:type="dxa"/>
            <w:vMerge w:val="restart"/>
          </w:tcPr>
          <w:p w:rsidR="00557A6F" w:rsidRDefault="00557A6F" w:rsidP="00557A6F">
            <w:r>
              <w:lastRenderedPageBreak/>
              <w:t>Nasjonal komm</w:t>
            </w:r>
            <w:r>
              <w:t>u</w:t>
            </w:r>
            <w:r>
              <w:t>nikasjonsmyndi</w:t>
            </w:r>
            <w:r>
              <w:t>g</w:t>
            </w:r>
            <w:r>
              <w:t>het</w:t>
            </w:r>
          </w:p>
        </w:tc>
        <w:tc>
          <w:tcPr>
            <w:tcW w:w="640" w:type="dxa"/>
          </w:tcPr>
          <w:p w:rsidR="00557A6F" w:rsidRDefault="00557A6F" w:rsidP="00557A6F">
            <w:r>
              <w:t>2018</w:t>
            </w:r>
          </w:p>
        </w:tc>
        <w:tc>
          <w:tcPr>
            <w:tcW w:w="520" w:type="dxa"/>
          </w:tcPr>
          <w:p w:rsidR="00557A6F" w:rsidRDefault="00557A6F" w:rsidP="00AF5F55">
            <w:pPr>
              <w:jc w:val="right"/>
            </w:pPr>
            <w:r>
              <w:t>61</w:t>
            </w:r>
          </w:p>
        </w:tc>
        <w:tc>
          <w:tcPr>
            <w:tcW w:w="520" w:type="dxa"/>
          </w:tcPr>
          <w:p w:rsidR="00557A6F" w:rsidRDefault="00557A6F" w:rsidP="00AF5F55">
            <w:pPr>
              <w:jc w:val="right"/>
            </w:pPr>
            <w:r>
              <w:t>39</w:t>
            </w:r>
          </w:p>
        </w:tc>
        <w:tc>
          <w:tcPr>
            <w:tcW w:w="640" w:type="dxa"/>
          </w:tcPr>
          <w:p w:rsidR="00557A6F" w:rsidRDefault="00557A6F" w:rsidP="00AF5F55">
            <w:pPr>
              <w:jc w:val="right"/>
            </w:pPr>
            <w:r>
              <w:t>161</w:t>
            </w:r>
          </w:p>
        </w:tc>
        <w:tc>
          <w:tcPr>
            <w:tcW w:w="1040" w:type="dxa"/>
          </w:tcPr>
          <w:p w:rsidR="00557A6F" w:rsidRDefault="00557A6F" w:rsidP="00AF5F55">
            <w:pPr>
              <w:jc w:val="right"/>
            </w:pPr>
            <w:r>
              <w:t>93</w:t>
            </w:r>
          </w:p>
        </w:tc>
        <w:tc>
          <w:tcPr>
            <w:tcW w:w="520" w:type="dxa"/>
          </w:tcPr>
          <w:p w:rsidR="00557A6F" w:rsidRDefault="00557A6F" w:rsidP="00AF5F55">
            <w:pPr>
              <w:jc w:val="right"/>
            </w:pPr>
            <w:r>
              <w:t>0,0</w:t>
            </w:r>
          </w:p>
        </w:tc>
        <w:tc>
          <w:tcPr>
            <w:tcW w:w="520" w:type="dxa"/>
          </w:tcPr>
          <w:p w:rsidR="00557A6F" w:rsidRDefault="00557A6F" w:rsidP="00AF5F55">
            <w:pPr>
              <w:jc w:val="right"/>
            </w:pPr>
            <w:r>
              <w:t>3,2</w:t>
            </w:r>
          </w:p>
        </w:tc>
        <w:tc>
          <w:tcPr>
            <w:tcW w:w="520" w:type="dxa"/>
          </w:tcPr>
          <w:p w:rsidR="00557A6F" w:rsidRDefault="00557A6F" w:rsidP="00AF5F55">
            <w:pPr>
              <w:jc w:val="right"/>
            </w:pPr>
            <w:r>
              <w:t>3,1</w:t>
            </w:r>
          </w:p>
        </w:tc>
        <w:tc>
          <w:tcPr>
            <w:tcW w:w="520" w:type="dxa"/>
          </w:tcPr>
          <w:p w:rsidR="00557A6F" w:rsidRDefault="00557A6F" w:rsidP="00AF5F55">
            <w:pPr>
              <w:jc w:val="right"/>
            </w:pPr>
            <w:r>
              <w:t>4,8</w:t>
            </w:r>
          </w:p>
        </w:tc>
        <w:tc>
          <w:tcPr>
            <w:tcW w:w="520" w:type="dxa"/>
          </w:tcPr>
          <w:p w:rsidR="00557A6F" w:rsidRDefault="00557A6F" w:rsidP="00AF5F55">
            <w:pPr>
              <w:jc w:val="right"/>
            </w:pPr>
            <w:r>
              <w:t>45</w:t>
            </w:r>
          </w:p>
        </w:tc>
        <w:tc>
          <w:tcPr>
            <w:tcW w:w="520" w:type="dxa"/>
          </w:tcPr>
          <w:p w:rsidR="00557A6F" w:rsidRDefault="00557A6F" w:rsidP="00AF5F55">
            <w:pPr>
              <w:jc w:val="right"/>
            </w:pPr>
            <w:r>
              <w:t>55</w:t>
            </w:r>
          </w:p>
        </w:tc>
        <w:tc>
          <w:tcPr>
            <w:tcW w:w="520" w:type="dxa"/>
          </w:tcPr>
          <w:p w:rsidR="00557A6F" w:rsidRDefault="00557A6F" w:rsidP="00AF5F55">
            <w:pPr>
              <w:jc w:val="right"/>
            </w:pPr>
            <w:r>
              <w:t>1,1</w:t>
            </w:r>
          </w:p>
        </w:tc>
        <w:tc>
          <w:tcPr>
            <w:tcW w:w="520" w:type="dxa"/>
          </w:tcPr>
          <w:p w:rsidR="00557A6F" w:rsidRDefault="00557A6F" w:rsidP="00AF5F55">
            <w:pPr>
              <w:jc w:val="right"/>
            </w:pPr>
            <w:r>
              <w:t>2,4</w:t>
            </w:r>
          </w:p>
        </w:tc>
      </w:tr>
      <w:tr w:rsidR="00557A6F" w:rsidTr="00557A6F">
        <w:trPr>
          <w:trHeight w:val="380"/>
        </w:trPr>
        <w:tc>
          <w:tcPr>
            <w:tcW w:w="1880" w:type="dxa"/>
            <w:vMerge/>
          </w:tcPr>
          <w:p w:rsidR="00557A6F" w:rsidRDefault="00557A6F" w:rsidP="004769CB"/>
        </w:tc>
        <w:tc>
          <w:tcPr>
            <w:tcW w:w="640" w:type="dxa"/>
          </w:tcPr>
          <w:p w:rsidR="00557A6F" w:rsidRDefault="00557A6F" w:rsidP="00557A6F">
            <w:r>
              <w:t>2017</w:t>
            </w:r>
          </w:p>
        </w:tc>
        <w:tc>
          <w:tcPr>
            <w:tcW w:w="520" w:type="dxa"/>
          </w:tcPr>
          <w:p w:rsidR="00557A6F" w:rsidRDefault="00557A6F" w:rsidP="00AF5F55">
            <w:pPr>
              <w:jc w:val="right"/>
            </w:pPr>
            <w:r>
              <w:t>62</w:t>
            </w:r>
          </w:p>
        </w:tc>
        <w:tc>
          <w:tcPr>
            <w:tcW w:w="520" w:type="dxa"/>
          </w:tcPr>
          <w:p w:rsidR="00557A6F" w:rsidRDefault="00557A6F" w:rsidP="00AF5F55">
            <w:pPr>
              <w:jc w:val="right"/>
            </w:pPr>
            <w:r>
              <w:t>38</w:t>
            </w:r>
          </w:p>
        </w:tc>
        <w:tc>
          <w:tcPr>
            <w:tcW w:w="640" w:type="dxa"/>
          </w:tcPr>
          <w:p w:rsidR="00557A6F" w:rsidRDefault="00557A6F" w:rsidP="00AF5F55">
            <w:pPr>
              <w:jc w:val="right"/>
            </w:pPr>
            <w:r>
              <w:t>161</w:t>
            </w:r>
          </w:p>
        </w:tc>
        <w:tc>
          <w:tcPr>
            <w:tcW w:w="1040" w:type="dxa"/>
          </w:tcPr>
          <w:p w:rsidR="00557A6F" w:rsidRDefault="00557A6F" w:rsidP="00AF5F55">
            <w:pPr>
              <w:jc w:val="right"/>
            </w:pPr>
            <w:r>
              <w:t>91</w:t>
            </w:r>
          </w:p>
        </w:tc>
        <w:tc>
          <w:tcPr>
            <w:tcW w:w="520" w:type="dxa"/>
          </w:tcPr>
          <w:p w:rsidR="00557A6F" w:rsidRDefault="00557A6F" w:rsidP="00AF5F55">
            <w:pPr>
              <w:jc w:val="right"/>
            </w:pPr>
            <w:r>
              <w:t>0,0</w:t>
            </w:r>
          </w:p>
        </w:tc>
        <w:tc>
          <w:tcPr>
            <w:tcW w:w="520" w:type="dxa"/>
          </w:tcPr>
          <w:p w:rsidR="00557A6F" w:rsidRDefault="00557A6F" w:rsidP="00AF5F55">
            <w:pPr>
              <w:jc w:val="right"/>
            </w:pPr>
            <w:r>
              <w:t>3,2</w:t>
            </w:r>
          </w:p>
        </w:tc>
        <w:tc>
          <w:tcPr>
            <w:tcW w:w="520" w:type="dxa"/>
          </w:tcPr>
          <w:p w:rsidR="00557A6F" w:rsidRDefault="00557A6F" w:rsidP="00AF5F55">
            <w:pPr>
              <w:jc w:val="right"/>
            </w:pPr>
            <w:r>
              <w:t>2,0</w:t>
            </w:r>
          </w:p>
        </w:tc>
        <w:tc>
          <w:tcPr>
            <w:tcW w:w="520" w:type="dxa"/>
          </w:tcPr>
          <w:p w:rsidR="00557A6F" w:rsidRDefault="00557A6F" w:rsidP="00AF5F55">
            <w:pPr>
              <w:jc w:val="right"/>
            </w:pPr>
            <w:r>
              <w:t>6,5</w:t>
            </w:r>
          </w:p>
        </w:tc>
        <w:tc>
          <w:tcPr>
            <w:tcW w:w="520" w:type="dxa"/>
          </w:tcPr>
          <w:p w:rsidR="00557A6F" w:rsidRDefault="00557A6F" w:rsidP="00AF5F55">
            <w:pPr>
              <w:jc w:val="right"/>
            </w:pPr>
            <w:r>
              <w:t>34</w:t>
            </w:r>
          </w:p>
        </w:tc>
        <w:tc>
          <w:tcPr>
            <w:tcW w:w="520" w:type="dxa"/>
          </w:tcPr>
          <w:p w:rsidR="00557A6F" w:rsidRDefault="00557A6F" w:rsidP="00AF5F55">
            <w:pPr>
              <w:jc w:val="right"/>
            </w:pPr>
            <w:r>
              <w:t>66</w:t>
            </w:r>
          </w:p>
        </w:tc>
        <w:tc>
          <w:tcPr>
            <w:tcW w:w="520" w:type="dxa"/>
          </w:tcPr>
          <w:p w:rsidR="00557A6F" w:rsidRDefault="00557A6F" w:rsidP="00AF5F55">
            <w:pPr>
              <w:jc w:val="right"/>
            </w:pPr>
            <w:r>
              <w:t>0,8</w:t>
            </w:r>
          </w:p>
        </w:tc>
        <w:tc>
          <w:tcPr>
            <w:tcW w:w="520" w:type="dxa"/>
          </w:tcPr>
          <w:p w:rsidR="00557A6F" w:rsidRDefault="00557A6F" w:rsidP="00AF5F55">
            <w:pPr>
              <w:jc w:val="right"/>
            </w:pPr>
            <w:r>
              <w:t>1,9</w:t>
            </w:r>
          </w:p>
        </w:tc>
      </w:tr>
      <w:tr w:rsidR="00557A6F" w:rsidTr="00557A6F">
        <w:trPr>
          <w:trHeight w:val="380"/>
        </w:trPr>
        <w:tc>
          <w:tcPr>
            <w:tcW w:w="1880" w:type="dxa"/>
            <w:vMerge w:val="restart"/>
          </w:tcPr>
          <w:p w:rsidR="00557A6F" w:rsidRDefault="00557A6F" w:rsidP="00557A6F">
            <w:r>
              <w:t>Statsbygg</w:t>
            </w:r>
          </w:p>
        </w:tc>
        <w:tc>
          <w:tcPr>
            <w:tcW w:w="640" w:type="dxa"/>
          </w:tcPr>
          <w:p w:rsidR="00557A6F" w:rsidRDefault="00557A6F" w:rsidP="00557A6F">
            <w:r>
              <w:t>2018</w:t>
            </w:r>
          </w:p>
        </w:tc>
        <w:tc>
          <w:tcPr>
            <w:tcW w:w="520" w:type="dxa"/>
          </w:tcPr>
          <w:p w:rsidR="00557A6F" w:rsidRDefault="00557A6F" w:rsidP="00AF5F55">
            <w:pPr>
              <w:jc w:val="right"/>
            </w:pPr>
            <w:r>
              <w:t>64</w:t>
            </w:r>
          </w:p>
        </w:tc>
        <w:tc>
          <w:tcPr>
            <w:tcW w:w="520" w:type="dxa"/>
          </w:tcPr>
          <w:p w:rsidR="00557A6F" w:rsidRDefault="00557A6F" w:rsidP="00AF5F55">
            <w:pPr>
              <w:jc w:val="right"/>
            </w:pPr>
            <w:r>
              <w:t>36</w:t>
            </w:r>
          </w:p>
        </w:tc>
        <w:tc>
          <w:tcPr>
            <w:tcW w:w="640" w:type="dxa"/>
          </w:tcPr>
          <w:p w:rsidR="00557A6F" w:rsidRDefault="00557A6F" w:rsidP="00AF5F55">
            <w:pPr>
              <w:jc w:val="right"/>
            </w:pPr>
            <w:r>
              <w:t>883</w:t>
            </w:r>
          </w:p>
        </w:tc>
        <w:tc>
          <w:tcPr>
            <w:tcW w:w="1040" w:type="dxa"/>
          </w:tcPr>
          <w:p w:rsidR="00557A6F" w:rsidRDefault="00557A6F" w:rsidP="00AF5F55">
            <w:pPr>
              <w:jc w:val="right"/>
            </w:pPr>
            <w:r>
              <w:t>111</w:t>
            </w:r>
          </w:p>
        </w:tc>
        <w:tc>
          <w:tcPr>
            <w:tcW w:w="520" w:type="dxa"/>
          </w:tcPr>
          <w:p w:rsidR="00557A6F" w:rsidRDefault="00557A6F" w:rsidP="00AF5F55">
            <w:pPr>
              <w:jc w:val="right"/>
            </w:pPr>
            <w:r>
              <w:t>4,0</w:t>
            </w:r>
          </w:p>
        </w:tc>
        <w:tc>
          <w:tcPr>
            <w:tcW w:w="520" w:type="dxa"/>
          </w:tcPr>
          <w:p w:rsidR="00557A6F" w:rsidRDefault="00557A6F" w:rsidP="00AF5F55">
            <w:pPr>
              <w:jc w:val="right"/>
            </w:pPr>
            <w:r>
              <w:t>10,0</w:t>
            </w:r>
          </w:p>
        </w:tc>
        <w:tc>
          <w:tcPr>
            <w:tcW w:w="520" w:type="dxa"/>
          </w:tcPr>
          <w:p w:rsidR="00557A6F" w:rsidRDefault="00557A6F" w:rsidP="00AF5F55">
            <w:pPr>
              <w:jc w:val="right"/>
            </w:pPr>
            <w:r>
              <w:t>0,7</w:t>
            </w:r>
          </w:p>
        </w:tc>
        <w:tc>
          <w:tcPr>
            <w:tcW w:w="520" w:type="dxa"/>
          </w:tcPr>
          <w:p w:rsidR="00557A6F" w:rsidRDefault="00557A6F" w:rsidP="00AF5F55">
            <w:pPr>
              <w:jc w:val="right"/>
            </w:pPr>
            <w:r>
              <w:t>0,6</w:t>
            </w:r>
          </w:p>
        </w:tc>
        <w:tc>
          <w:tcPr>
            <w:tcW w:w="520" w:type="dxa"/>
          </w:tcPr>
          <w:p w:rsidR="00557A6F" w:rsidRDefault="00557A6F" w:rsidP="00AF5F55">
            <w:pPr>
              <w:jc w:val="right"/>
            </w:pPr>
            <w:r>
              <w:t>34</w:t>
            </w:r>
          </w:p>
        </w:tc>
        <w:tc>
          <w:tcPr>
            <w:tcW w:w="520" w:type="dxa"/>
          </w:tcPr>
          <w:p w:rsidR="00557A6F" w:rsidRDefault="00557A6F" w:rsidP="00AF5F55">
            <w:pPr>
              <w:jc w:val="right"/>
            </w:pPr>
            <w:r>
              <w:t>66</w:t>
            </w:r>
          </w:p>
        </w:tc>
        <w:tc>
          <w:tcPr>
            <w:tcW w:w="520" w:type="dxa"/>
          </w:tcPr>
          <w:p w:rsidR="00557A6F" w:rsidRDefault="00557A6F" w:rsidP="00AF5F55">
            <w:pPr>
              <w:jc w:val="right"/>
            </w:pPr>
            <w:r>
              <w:t>2,7</w:t>
            </w:r>
          </w:p>
        </w:tc>
        <w:tc>
          <w:tcPr>
            <w:tcW w:w="520" w:type="dxa"/>
          </w:tcPr>
          <w:p w:rsidR="00557A6F" w:rsidRDefault="00557A6F" w:rsidP="00AF5F55">
            <w:pPr>
              <w:jc w:val="right"/>
            </w:pPr>
            <w:r>
              <w:t>5,3</w:t>
            </w:r>
          </w:p>
        </w:tc>
      </w:tr>
      <w:tr w:rsidR="00557A6F" w:rsidTr="00557A6F">
        <w:trPr>
          <w:trHeight w:val="380"/>
        </w:trPr>
        <w:tc>
          <w:tcPr>
            <w:tcW w:w="1880" w:type="dxa"/>
            <w:vMerge/>
          </w:tcPr>
          <w:p w:rsidR="00557A6F" w:rsidRDefault="00557A6F" w:rsidP="004769CB"/>
        </w:tc>
        <w:tc>
          <w:tcPr>
            <w:tcW w:w="640" w:type="dxa"/>
          </w:tcPr>
          <w:p w:rsidR="00557A6F" w:rsidRDefault="00557A6F" w:rsidP="00557A6F">
            <w:r>
              <w:t>2017</w:t>
            </w:r>
          </w:p>
        </w:tc>
        <w:tc>
          <w:tcPr>
            <w:tcW w:w="520" w:type="dxa"/>
          </w:tcPr>
          <w:p w:rsidR="00557A6F" w:rsidRDefault="00557A6F" w:rsidP="00AF5F55">
            <w:pPr>
              <w:jc w:val="right"/>
            </w:pPr>
            <w:r>
              <w:t>66</w:t>
            </w:r>
          </w:p>
        </w:tc>
        <w:tc>
          <w:tcPr>
            <w:tcW w:w="520" w:type="dxa"/>
          </w:tcPr>
          <w:p w:rsidR="00557A6F" w:rsidRDefault="00557A6F" w:rsidP="00AF5F55">
            <w:pPr>
              <w:jc w:val="right"/>
            </w:pPr>
            <w:r>
              <w:t>34</w:t>
            </w:r>
          </w:p>
        </w:tc>
        <w:tc>
          <w:tcPr>
            <w:tcW w:w="640" w:type="dxa"/>
          </w:tcPr>
          <w:p w:rsidR="00557A6F" w:rsidRDefault="00557A6F" w:rsidP="00AF5F55">
            <w:pPr>
              <w:jc w:val="right"/>
            </w:pPr>
            <w:r>
              <w:t>902</w:t>
            </w:r>
          </w:p>
        </w:tc>
        <w:tc>
          <w:tcPr>
            <w:tcW w:w="1040" w:type="dxa"/>
          </w:tcPr>
          <w:p w:rsidR="00557A6F" w:rsidRDefault="00557A6F" w:rsidP="00AF5F55">
            <w:pPr>
              <w:jc w:val="right"/>
            </w:pPr>
            <w:r>
              <w:t>111</w:t>
            </w:r>
          </w:p>
        </w:tc>
        <w:tc>
          <w:tcPr>
            <w:tcW w:w="520" w:type="dxa"/>
          </w:tcPr>
          <w:p w:rsidR="00557A6F" w:rsidRDefault="00557A6F" w:rsidP="00AF5F55">
            <w:pPr>
              <w:jc w:val="right"/>
            </w:pPr>
            <w:r>
              <w:t>5,0</w:t>
            </w:r>
          </w:p>
        </w:tc>
        <w:tc>
          <w:tcPr>
            <w:tcW w:w="520" w:type="dxa"/>
          </w:tcPr>
          <w:p w:rsidR="00557A6F" w:rsidRDefault="00557A6F" w:rsidP="00AF5F55">
            <w:pPr>
              <w:jc w:val="right"/>
            </w:pPr>
            <w:r>
              <w:t>13,0</w:t>
            </w:r>
          </w:p>
        </w:tc>
        <w:tc>
          <w:tcPr>
            <w:tcW w:w="520" w:type="dxa"/>
          </w:tcPr>
          <w:p w:rsidR="00557A6F" w:rsidRDefault="00557A6F" w:rsidP="00AF5F55">
            <w:pPr>
              <w:jc w:val="right"/>
            </w:pPr>
            <w:r>
              <w:t>1,8</w:t>
            </w:r>
          </w:p>
        </w:tc>
        <w:tc>
          <w:tcPr>
            <w:tcW w:w="520" w:type="dxa"/>
          </w:tcPr>
          <w:p w:rsidR="00557A6F" w:rsidRDefault="00557A6F" w:rsidP="00AF5F55">
            <w:pPr>
              <w:jc w:val="right"/>
            </w:pPr>
            <w:r>
              <w:t>4,5</w:t>
            </w:r>
          </w:p>
        </w:tc>
        <w:tc>
          <w:tcPr>
            <w:tcW w:w="520" w:type="dxa"/>
          </w:tcPr>
          <w:p w:rsidR="00557A6F" w:rsidRDefault="00557A6F" w:rsidP="00AF5F55">
            <w:pPr>
              <w:jc w:val="right"/>
            </w:pPr>
            <w:r>
              <w:t>9</w:t>
            </w:r>
          </w:p>
        </w:tc>
        <w:tc>
          <w:tcPr>
            <w:tcW w:w="520" w:type="dxa"/>
          </w:tcPr>
          <w:p w:rsidR="00557A6F" w:rsidRDefault="00557A6F" w:rsidP="00AF5F55">
            <w:pPr>
              <w:jc w:val="right"/>
            </w:pPr>
            <w:r>
              <w:t>91</w:t>
            </w:r>
          </w:p>
        </w:tc>
        <w:tc>
          <w:tcPr>
            <w:tcW w:w="520" w:type="dxa"/>
          </w:tcPr>
          <w:p w:rsidR="00557A6F" w:rsidRDefault="00557A6F" w:rsidP="00AF5F55">
            <w:pPr>
              <w:jc w:val="right"/>
            </w:pPr>
            <w:r>
              <w:t>3,4</w:t>
            </w:r>
          </w:p>
        </w:tc>
        <w:tc>
          <w:tcPr>
            <w:tcW w:w="520" w:type="dxa"/>
          </w:tcPr>
          <w:p w:rsidR="00557A6F" w:rsidRDefault="00557A6F" w:rsidP="00AF5F55">
            <w:pPr>
              <w:jc w:val="right"/>
            </w:pPr>
            <w:r>
              <w:t>5,0</w:t>
            </w:r>
          </w:p>
        </w:tc>
      </w:tr>
      <w:tr w:rsidR="00557A6F" w:rsidTr="00557A6F">
        <w:trPr>
          <w:trHeight w:val="380"/>
        </w:trPr>
        <w:tc>
          <w:tcPr>
            <w:tcW w:w="1880" w:type="dxa"/>
            <w:vMerge w:val="restart"/>
          </w:tcPr>
          <w:p w:rsidR="00557A6F" w:rsidRDefault="00557A6F" w:rsidP="00557A6F">
            <w:r>
              <w:t>Valgdirektoratet</w:t>
            </w:r>
          </w:p>
        </w:tc>
        <w:tc>
          <w:tcPr>
            <w:tcW w:w="640" w:type="dxa"/>
          </w:tcPr>
          <w:p w:rsidR="00557A6F" w:rsidRDefault="00557A6F" w:rsidP="00557A6F">
            <w:r>
              <w:t>2018</w:t>
            </w:r>
          </w:p>
        </w:tc>
        <w:tc>
          <w:tcPr>
            <w:tcW w:w="520" w:type="dxa"/>
          </w:tcPr>
          <w:p w:rsidR="00557A6F" w:rsidRDefault="00557A6F" w:rsidP="00AF5F55">
            <w:pPr>
              <w:jc w:val="right"/>
            </w:pPr>
            <w:r>
              <w:t>59</w:t>
            </w:r>
          </w:p>
        </w:tc>
        <w:tc>
          <w:tcPr>
            <w:tcW w:w="520" w:type="dxa"/>
          </w:tcPr>
          <w:p w:rsidR="00557A6F" w:rsidRDefault="00557A6F" w:rsidP="00AF5F55">
            <w:pPr>
              <w:jc w:val="right"/>
            </w:pPr>
            <w:r>
              <w:t>41</w:t>
            </w:r>
          </w:p>
        </w:tc>
        <w:tc>
          <w:tcPr>
            <w:tcW w:w="640" w:type="dxa"/>
          </w:tcPr>
          <w:p w:rsidR="00557A6F" w:rsidRDefault="00557A6F" w:rsidP="00AF5F55">
            <w:pPr>
              <w:jc w:val="right"/>
            </w:pPr>
            <w:r>
              <w:t>27</w:t>
            </w:r>
          </w:p>
        </w:tc>
        <w:tc>
          <w:tcPr>
            <w:tcW w:w="1040" w:type="dxa"/>
          </w:tcPr>
          <w:p w:rsidR="00557A6F" w:rsidRDefault="00557A6F" w:rsidP="00AF5F55">
            <w:pPr>
              <w:jc w:val="right"/>
            </w:pPr>
            <w:r>
              <w:t>111</w:t>
            </w:r>
          </w:p>
        </w:tc>
        <w:tc>
          <w:tcPr>
            <w:tcW w:w="520" w:type="dxa"/>
          </w:tcPr>
          <w:p w:rsidR="00557A6F" w:rsidRDefault="00557A6F" w:rsidP="00AF5F55">
            <w:pPr>
              <w:jc w:val="right"/>
            </w:pPr>
            <w:r>
              <w:t>0,0</w:t>
            </w:r>
          </w:p>
        </w:tc>
        <w:tc>
          <w:tcPr>
            <w:tcW w:w="520" w:type="dxa"/>
          </w:tcPr>
          <w:p w:rsidR="00557A6F" w:rsidRDefault="00557A6F" w:rsidP="00AF5F55">
            <w:pPr>
              <w:jc w:val="right"/>
            </w:pPr>
            <w:r>
              <w:t>0,0</w:t>
            </w:r>
          </w:p>
        </w:tc>
        <w:tc>
          <w:tcPr>
            <w:tcW w:w="520" w:type="dxa"/>
          </w:tcPr>
          <w:p w:rsidR="00557A6F" w:rsidRDefault="00557A6F" w:rsidP="00AF5F55">
            <w:pPr>
              <w:jc w:val="right"/>
            </w:pPr>
            <w:r>
              <w:t>3,7</w:t>
            </w:r>
          </w:p>
        </w:tc>
        <w:tc>
          <w:tcPr>
            <w:tcW w:w="520" w:type="dxa"/>
          </w:tcPr>
          <w:p w:rsidR="00557A6F" w:rsidRDefault="00557A6F" w:rsidP="00AF5F55">
            <w:pPr>
              <w:jc w:val="right"/>
            </w:pPr>
            <w:r>
              <w:t>0,0</w:t>
            </w:r>
          </w:p>
        </w:tc>
        <w:tc>
          <w:tcPr>
            <w:tcW w:w="520" w:type="dxa"/>
          </w:tcPr>
          <w:p w:rsidR="00557A6F" w:rsidRDefault="00557A6F" w:rsidP="00AF5F55">
            <w:pPr>
              <w:jc w:val="right"/>
            </w:pPr>
            <w:r>
              <w:t>100</w:t>
            </w:r>
          </w:p>
        </w:tc>
        <w:tc>
          <w:tcPr>
            <w:tcW w:w="520" w:type="dxa"/>
          </w:tcPr>
          <w:p w:rsidR="00557A6F" w:rsidRDefault="00557A6F" w:rsidP="00AF5F55">
            <w:pPr>
              <w:jc w:val="right"/>
            </w:pPr>
            <w:r>
              <w:t>0</w:t>
            </w:r>
          </w:p>
        </w:tc>
        <w:tc>
          <w:tcPr>
            <w:tcW w:w="520" w:type="dxa"/>
          </w:tcPr>
          <w:p w:rsidR="00557A6F" w:rsidRDefault="00557A6F" w:rsidP="00AF5F55">
            <w:pPr>
              <w:jc w:val="right"/>
            </w:pPr>
            <w:r>
              <w:t>4,4</w:t>
            </w:r>
          </w:p>
        </w:tc>
        <w:tc>
          <w:tcPr>
            <w:tcW w:w="520" w:type="dxa"/>
          </w:tcPr>
          <w:p w:rsidR="00557A6F" w:rsidRDefault="00557A6F" w:rsidP="00AF5F55">
            <w:pPr>
              <w:jc w:val="right"/>
            </w:pPr>
            <w:r>
              <w:t>6,6</w:t>
            </w:r>
          </w:p>
        </w:tc>
      </w:tr>
      <w:tr w:rsidR="00557A6F" w:rsidTr="00557A6F">
        <w:trPr>
          <w:trHeight w:val="380"/>
        </w:trPr>
        <w:tc>
          <w:tcPr>
            <w:tcW w:w="1880" w:type="dxa"/>
            <w:vMerge/>
          </w:tcPr>
          <w:p w:rsidR="00557A6F" w:rsidRDefault="00557A6F" w:rsidP="004769CB"/>
        </w:tc>
        <w:tc>
          <w:tcPr>
            <w:tcW w:w="640" w:type="dxa"/>
          </w:tcPr>
          <w:p w:rsidR="00557A6F" w:rsidRDefault="00557A6F" w:rsidP="00557A6F">
            <w:r>
              <w:t>2017</w:t>
            </w:r>
          </w:p>
        </w:tc>
        <w:tc>
          <w:tcPr>
            <w:tcW w:w="520" w:type="dxa"/>
          </w:tcPr>
          <w:p w:rsidR="00557A6F" w:rsidRDefault="00557A6F" w:rsidP="00AF5F55">
            <w:pPr>
              <w:jc w:val="right"/>
            </w:pPr>
            <w:r>
              <w:t>57</w:t>
            </w:r>
          </w:p>
        </w:tc>
        <w:tc>
          <w:tcPr>
            <w:tcW w:w="520" w:type="dxa"/>
          </w:tcPr>
          <w:p w:rsidR="00557A6F" w:rsidRDefault="00557A6F" w:rsidP="00AF5F55">
            <w:pPr>
              <w:jc w:val="right"/>
            </w:pPr>
            <w:r>
              <w:t>43</w:t>
            </w:r>
          </w:p>
        </w:tc>
        <w:tc>
          <w:tcPr>
            <w:tcW w:w="640" w:type="dxa"/>
          </w:tcPr>
          <w:p w:rsidR="00557A6F" w:rsidRDefault="00557A6F" w:rsidP="00AF5F55">
            <w:pPr>
              <w:jc w:val="right"/>
            </w:pPr>
            <w:r>
              <w:t>37</w:t>
            </w:r>
          </w:p>
        </w:tc>
        <w:tc>
          <w:tcPr>
            <w:tcW w:w="1040" w:type="dxa"/>
          </w:tcPr>
          <w:p w:rsidR="00557A6F" w:rsidRDefault="00557A6F" w:rsidP="00AF5F55">
            <w:pPr>
              <w:jc w:val="right"/>
            </w:pPr>
            <w:r>
              <w:t>103</w:t>
            </w:r>
          </w:p>
        </w:tc>
        <w:tc>
          <w:tcPr>
            <w:tcW w:w="520" w:type="dxa"/>
          </w:tcPr>
          <w:p w:rsidR="00557A6F" w:rsidRDefault="00557A6F" w:rsidP="00AF5F55">
            <w:pPr>
              <w:jc w:val="right"/>
            </w:pPr>
            <w:r>
              <w:t>16,2</w:t>
            </w:r>
          </w:p>
        </w:tc>
        <w:tc>
          <w:tcPr>
            <w:tcW w:w="520" w:type="dxa"/>
          </w:tcPr>
          <w:p w:rsidR="00557A6F" w:rsidRDefault="00557A6F" w:rsidP="00AF5F55">
            <w:pPr>
              <w:jc w:val="right"/>
            </w:pPr>
            <w:r>
              <w:t>16,2</w:t>
            </w:r>
          </w:p>
        </w:tc>
        <w:tc>
          <w:tcPr>
            <w:tcW w:w="520" w:type="dxa"/>
          </w:tcPr>
          <w:p w:rsidR="00557A6F" w:rsidRDefault="00557A6F" w:rsidP="00AF5F55">
            <w:pPr>
              <w:jc w:val="right"/>
            </w:pPr>
            <w:r>
              <w:t>16,2</w:t>
            </w:r>
          </w:p>
        </w:tc>
        <w:tc>
          <w:tcPr>
            <w:tcW w:w="520" w:type="dxa"/>
          </w:tcPr>
          <w:p w:rsidR="00557A6F" w:rsidRDefault="00557A6F" w:rsidP="00AF5F55">
            <w:pPr>
              <w:jc w:val="right"/>
            </w:pPr>
            <w:r>
              <w:t>16,2</w:t>
            </w:r>
          </w:p>
        </w:tc>
        <w:tc>
          <w:tcPr>
            <w:tcW w:w="520" w:type="dxa"/>
          </w:tcPr>
          <w:p w:rsidR="00557A6F" w:rsidRDefault="00557A6F" w:rsidP="00AF5F55">
            <w:pPr>
              <w:jc w:val="right"/>
            </w:pPr>
            <w:r>
              <w:t>100</w:t>
            </w:r>
          </w:p>
        </w:tc>
        <w:tc>
          <w:tcPr>
            <w:tcW w:w="520" w:type="dxa"/>
          </w:tcPr>
          <w:p w:rsidR="00557A6F" w:rsidRDefault="00557A6F" w:rsidP="00AF5F55">
            <w:pPr>
              <w:jc w:val="right"/>
            </w:pPr>
            <w:r>
              <w:t>0</w:t>
            </w:r>
          </w:p>
        </w:tc>
        <w:tc>
          <w:tcPr>
            <w:tcW w:w="520" w:type="dxa"/>
          </w:tcPr>
          <w:p w:rsidR="00557A6F" w:rsidRDefault="00557A6F" w:rsidP="00AF5F55">
            <w:pPr>
              <w:jc w:val="right"/>
            </w:pPr>
            <w:r>
              <w:t>0,2</w:t>
            </w:r>
          </w:p>
        </w:tc>
        <w:tc>
          <w:tcPr>
            <w:tcW w:w="520" w:type="dxa"/>
          </w:tcPr>
          <w:p w:rsidR="00557A6F" w:rsidRDefault="00557A6F" w:rsidP="00AF5F55">
            <w:pPr>
              <w:jc w:val="right"/>
            </w:pPr>
            <w:r>
              <w:t>0,8</w:t>
            </w:r>
          </w:p>
        </w:tc>
      </w:tr>
    </w:tbl>
    <w:p w:rsidR="00557A6F" w:rsidRDefault="00557A6F" w:rsidP="00557A6F">
      <w:pPr>
        <w:pStyle w:val="a-tilraar-dep"/>
      </w:pPr>
      <w:r>
        <w:t>Kommunal- og moderniseringsdepartementet</w:t>
      </w:r>
    </w:p>
    <w:p w:rsidR="00557A6F" w:rsidRDefault="00557A6F" w:rsidP="00557A6F">
      <w:pPr>
        <w:pStyle w:val="a-tilraar-tit"/>
      </w:pPr>
      <w:r>
        <w:t>tilrår:</w:t>
      </w:r>
    </w:p>
    <w:p w:rsidR="00557A6F" w:rsidRDefault="00557A6F" w:rsidP="00557A6F">
      <w:r>
        <w:t>I Prop. 1 S (2019–2020) om statsbudsjettet for år 2020 føres opp de forslag til vedtak som er nevnt i et framlagt forslag.</w:t>
      </w:r>
    </w:p>
    <w:p w:rsidR="00557A6F" w:rsidRDefault="00557A6F" w:rsidP="00557A6F">
      <w:pPr>
        <w:pStyle w:val="a-vedtak-tit"/>
      </w:pPr>
      <w:r>
        <w:lastRenderedPageBreak/>
        <w:t>Forslag</w:t>
      </w:r>
    </w:p>
    <w:p w:rsidR="00557A6F" w:rsidRDefault="00557A6F">
      <w:pPr>
        <w:pStyle w:val="a-vedtakdep-tit"/>
        <w:rPr>
          <w:sz w:val="26"/>
          <w:szCs w:val="26"/>
        </w:rPr>
      </w:pPr>
      <w:r>
        <w:rPr>
          <w:sz w:val="26"/>
          <w:szCs w:val="26"/>
        </w:rPr>
        <w:t xml:space="preserve">Under Kommunal- og moderniseringsdepartementet føres det i Prop. 1 S (2019–2020) </w:t>
      </w:r>
    </w:p>
    <w:p w:rsidR="00557A6F" w:rsidRDefault="00557A6F">
      <w:pPr>
        <w:pStyle w:val="a-vedtakdep-tit"/>
        <w:rPr>
          <w:sz w:val="26"/>
          <w:szCs w:val="26"/>
        </w:rPr>
      </w:pPr>
      <w:r>
        <w:rPr>
          <w:sz w:val="26"/>
          <w:szCs w:val="26"/>
        </w:rPr>
        <w:t>statsbudsjettet for budsjettåret 2020 opp følgende forslag til vedtak:</w:t>
      </w:r>
    </w:p>
    <w:p w:rsidR="00557A6F" w:rsidRDefault="00557A6F">
      <w:pPr>
        <w:pStyle w:val="a-vedtakkap-tit"/>
        <w:rPr>
          <w:sz w:val="26"/>
          <w:szCs w:val="26"/>
        </w:rPr>
      </w:pPr>
      <w:r>
        <w:rPr>
          <w:sz w:val="26"/>
          <w:szCs w:val="26"/>
        </w:rPr>
        <w:t>Kapitlene 1–2, 500–595, 2412, 2445, 3500–3595, 5312, 5445–5446, 5570, 5615–5616</w:t>
      </w:r>
    </w:p>
    <w:p w:rsidR="00557A6F" w:rsidRDefault="00557A6F" w:rsidP="00557A6F">
      <w:pPr>
        <w:pStyle w:val="a-vedtak-del"/>
      </w:pPr>
      <w:r>
        <w:t>I</w:t>
      </w:r>
    </w:p>
    <w:p w:rsidR="00557A6F" w:rsidRDefault="00557A6F" w:rsidP="00557A6F">
      <w:pPr>
        <w:pStyle w:val="a-vedtak-tekst"/>
      </w:pPr>
      <w:r>
        <w:t>Utgifter:</w:t>
      </w:r>
    </w:p>
    <w:tbl>
      <w:tblPr>
        <w:tblStyle w:val="StandardTabell"/>
        <w:tblW w:w="0" w:type="auto"/>
        <w:tblLayout w:type="fixed"/>
        <w:tblLook w:val="04A0" w:firstRow="1" w:lastRow="0" w:firstColumn="1" w:lastColumn="0" w:noHBand="0" w:noVBand="1"/>
      </w:tblPr>
      <w:tblGrid>
        <w:gridCol w:w="680"/>
        <w:gridCol w:w="680"/>
        <w:gridCol w:w="3440"/>
        <w:gridCol w:w="1580"/>
        <w:gridCol w:w="1580"/>
        <w:gridCol w:w="1580"/>
      </w:tblGrid>
      <w:tr w:rsidR="00557A6F" w:rsidTr="00AF5F55">
        <w:trPr>
          <w:trHeight w:val="860"/>
        </w:trPr>
        <w:tc>
          <w:tcPr>
            <w:tcW w:w="680" w:type="dxa"/>
            <w:shd w:val="clear" w:color="auto" w:fill="FFFFFF"/>
          </w:tcPr>
          <w:p w:rsidR="00557A6F" w:rsidRDefault="00557A6F" w:rsidP="00557A6F">
            <w:pPr>
              <w:pStyle w:val="Tabellnavn"/>
            </w:pPr>
            <w:r>
              <w:t>VK</w:t>
            </w:r>
          </w:p>
          <w:p w:rsidR="00557A6F" w:rsidRDefault="00557A6F" w:rsidP="00557A6F">
            <w:r>
              <w:t>Kap.</w:t>
            </w:r>
          </w:p>
        </w:tc>
        <w:tc>
          <w:tcPr>
            <w:tcW w:w="680" w:type="dxa"/>
          </w:tcPr>
          <w:p w:rsidR="00557A6F" w:rsidRDefault="00557A6F" w:rsidP="00557A6F">
            <w:r>
              <w:t>Post</w:t>
            </w:r>
          </w:p>
        </w:tc>
        <w:tc>
          <w:tcPr>
            <w:tcW w:w="3440" w:type="dxa"/>
          </w:tcPr>
          <w:p w:rsidR="00557A6F" w:rsidRDefault="00557A6F" w:rsidP="00557A6F"/>
        </w:tc>
        <w:tc>
          <w:tcPr>
            <w:tcW w:w="1580" w:type="dxa"/>
          </w:tcPr>
          <w:p w:rsidR="00557A6F" w:rsidRDefault="00557A6F" w:rsidP="00AF5F55">
            <w:pPr>
              <w:jc w:val="right"/>
            </w:pPr>
            <w:r>
              <w:t>Kroner</w:t>
            </w:r>
          </w:p>
        </w:tc>
        <w:tc>
          <w:tcPr>
            <w:tcW w:w="1580" w:type="dxa"/>
          </w:tcPr>
          <w:p w:rsidR="00557A6F" w:rsidRDefault="00557A6F" w:rsidP="00AF5F55">
            <w:pPr>
              <w:jc w:val="right"/>
            </w:pPr>
            <w:r>
              <w:t>Kroner</w:t>
            </w:r>
          </w:p>
        </w:tc>
        <w:tc>
          <w:tcPr>
            <w:tcW w:w="1580" w:type="dxa"/>
          </w:tcPr>
          <w:p w:rsidR="00557A6F" w:rsidRDefault="00557A6F" w:rsidP="00AF5F55">
            <w:pPr>
              <w:jc w:val="right"/>
            </w:pPr>
            <w:r>
              <w:t>Kroner</w:t>
            </w:r>
          </w:p>
        </w:tc>
      </w:tr>
      <w:tr w:rsidR="00557A6F" w:rsidTr="00AF5F55">
        <w:trPr>
          <w:trHeight w:val="380"/>
        </w:trPr>
        <w:tc>
          <w:tcPr>
            <w:tcW w:w="9540" w:type="dxa"/>
            <w:gridSpan w:val="6"/>
          </w:tcPr>
          <w:p w:rsidR="00557A6F" w:rsidRDefault="00557A6F" w:rsidP="00AF5F55">
            <w:pPr>
              <w:jc w:val="center"/>
            </w:pPr>
            <w:r>
              <w:t>Det kongelige hus</w:t>
            </w:r>
          </w:p>
        </w:tc>
      </w:tr>
      <w:tr w:rsidR="00557A6F" w:rsidTr="00AF5F55">
        <w:trPr>
          <w:trHeight w:val="380"/>
        </w:trPr>
        <w:tc>
          <w:tcPr>
            <w:tcW w:w="680" w:type="dxa"/>
          </w:tcPr>
          <w:p w:rsidR="00557A6F" w:rsidRDefault="00557A6F" w:rsidP="00557A6F">
            <w:r>
              <w:t>1</w:t>
            </w:r>
          </w:p>
        </w:tc>
        <w:tc>
          <w:tcPr>
            <w:tcW w:w="680" w:type="dxa"/>
          </w:tcPr>
          <w:p w:rsidR="00557A6F" w:rsidRDefault="00557A6F" w:rsidP="00557A6F"/>
        </w:tc>
        <w:tc>
          <w:tcPr>
            <w:tcW w:w="3440" w:type="dxa"/>
          </w:tcPr>
          <w:p w:rsidR="00557A6F" w:rsidRDefault="00557A6F" w:rsidP="00557A6F">
            <w:r>
              <w:t>H.M. Kongen og H.M. Dronningen</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01</w:t>
            </w:r>
          </w:p>
        </w:tc>
        <w:tc>
          <w:tcPr>
            <w:tcW w:w="3440" w:type="dxa"/>
          </w:tcPr>
          <w:p w:rsidR="00557A6F" w:rsidRDefault="00557A6F" w:rsidP="00557A6F">
            <w:r>
              <w:t xml:space="preserve">Apanasje </w:t>
            </w:r>
          </w:p>
        </w:tc>
        <w:tc>
          <w:tcPr>
            <w:tcW w:w="1580" w:type="dxa"/>
          </w:tcPr>
          <w:p w:rsidR="00557A6F" w:rsidRDefault="00557A6F" w:rsidP="00557A6F"/>
        </w:tc>
        <w:tc>
          <w:tcPr>
            <w:tcW w:w="1580" w:type="dxa"/>
          </w:tcPr>
          <w:p w:rsidR="00557A6F" w:rsidRDefault="00557A6F" w:rsidP="00AF5F55">
            <w:pPr>
              <w:jc w:val="right"/>
            </w:pPr>
            <w:r>
              <w:t>12 528 000</w:t>
            </w: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50</w:t>
            </w:r>
          </w:p>
        </w:tc>
        <w:tc>
          <w:tcPr>
            <w:tcW w:w="3440" w:type="dxa"/>
          </w:tcPr>
          <w:p w:rsidR="00557A6F" w:rsidRDefault="00557A6F" w:rsidP="00557A6F">
            <w:r>
              <w:t xml:space="preserve">Det kongelige hoff </w:t>
            </w:r>
          </w:p>
        </w:tc>
        <w:tc>
          <w:tcPr>
            <w:tcW w:w="1580" w:type="dxa"/>
          </w:tcPr>
          <w:p w:rsidR="00557A6F" w:rsidRDefault="00557A6F" w:rsidP="00557A6F"/>
        </w:tc>
        <w:tc>
          <w:tcPr>
            <w:tcW w:w="1580" w:type="dxa"/>
          </w:tcPr>
          <w:p w:rsidR="00557A6F" w:rsidRDefault="00557A6F" w:rsidP="00AF5F55">
            <w:pPr>
              <w:jc w:val="right"/>
            </w:pPr>
            <w:r>
              <w:t>218 137 000</w:t>
            </w:r>
          </w:p>
        </w:tc>
        <w:tc>
          <w:tcPr>
            <w:tcW w:w="1580" w:type="dxa"/>
          </w:tcPr>
          <w:p w:rsidR="00557A6F" w:rsidRDefault="00557A6F" w:rsidP="00AF5F55">
            <w:pPr>
              <w:jc w:val="right"/>
            </w:pPr>
          </w:p>
        </w:tc>
      </w:tr>
      <w:tr w:rsidR="00557A6F" w:rsidTr="00AF5F55">
        <w:trPr>
          <w:trHeight w:val="640"/>
        </w:trPr>
        <w:tc>
          <w:tcPr>
            <w:tcW w:w="680" w:type="dxa"/>
          </w:tcPr>
          <w:p w:rsidR="00557A6F" w:rsidRDefault="00557A6F" w:rsidP="00557A6F"/>
        </w:tc>
        <w:tc>
          <w:tcPr>
            <w:tcW w:w="680" w:type="dxa"/>
          </w:tcPr>
          <w:p w:rsidR="00557A6F" w:rsidRDefault="00557A6F" w:rsidP="00557A6F">
            <w:r>
              <w:t>51</w:t>
            </w:r>
          </w:p>
        </w:tc>
        <w:tc>
          <w:tcPr>
            <w:tcW w:w="3440" w:type="dxa"/>
          </w:tcPr>
          <w:p w:rsidR="00557A6F" w:rsidRDefault="00557A6F" w:rsidP="00557A6F">
            <w:r>
              <w:t xml:space="preserve">Særskilte prosjekter ved Det </w:t>
            </w:r>
            <w:r>
              <w:br/>
              <w:t xml:space="preserve">kongelige hoff </w:t>
            </w:r>
          </w:p>
        </w:tc>
        <w:tc>
          <w:tcPr>
            <w:tcW w:w="1580" w:type="dxa"/>
          </w:tcPr>
          <w:p w:rsidR="00557A6F" w:rsidRDefault="00557A6F" w:rsidP="00557A6F"/>
        </w:tc>
        <w:tc>
          <w:tcPr>
            <w:tcW w:w="1580" w:type="dxa"/>
          </w:tcPr>
          <w:p w:rsidR="00557A6F" w:rsidRDefault="00557A6F" w:rsidP="00AF5F55">
            <w:pPr>
              <w:jc w:val="right"/>
            </w:pPr>
            <w:r>
              <w:t>50 000 000</w:t>
            </w:r>
          </w:p>
        </w:tc>
        <w:tc>
          <w:tcPr>
            <w:tcW w:w="1580" w:type="dxa"/>
          </w:tcPr>
          <w:p w:rsidR="00557A6F" w:rsidRDefault="00557A6F" w:rsidP="00AF5F55">
            <w:pPr>
              <w:jc w:val="right"/>
            </w:pPr>
            <w:r>
              <w:t>280 665 000</w:t>
            </w:r>
          </w:p>
        </w:tc>
      </w:tr>
      <w:tr w:rsidR="00557A6F" w:rsidTr="00AF5F55">
        <w:trPr>
          <w:trHeight w:val="640"/>
        </w:trPr>
        <w:tc>
          <w:tcPr>
            <w:tcW w:w="680" w:type="dxa"/>
          </w:tcPr>
          <w:p w:rsidR="00557A6F" w:rsidRDefault="00557A6F" w:rsidP="00557A6F">
            <w:r>
              <w:t>2</w:t>
            </w:r>
          </w:p>
        </w:tc>
        <w:tc>
          <w:tcPr>
            <w:tcW w:w="680" w:type="dxa"/>
          </w:tcPr>
          <w:p w:rsidR="00557A6F" w:rsidRDefault="00557A6F" w:rsidP="00557A6F"/>
        </w:tc>
        <w:tc>
          <w:tcPr>
            <w:tcW w:w="3440" w:type="dxa"/>
          </w:tcPr>
          <w:p w:rsidR="00557A6F" w:rsidRDefault="00557A6F" w:rsidP="00557A6F">
            <w:r>
              <w:t>H.K.H. Kronprinsen og H.K.H. Kronprinsessen</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01</w:t>
            </w:r>
          </w:p>
        </w:tc>
        <w:tc>
          <w:tcPr>
            <w:tcW w:w="3440" w:type="dxa"/>
          </w:tcPr>
          <w:p w:rsidR="00557A6F" w:rsidRDefault="00557A6F" w:rsidP="00557A6F">
            <w:r>
              <w:t xml:space="preserve">Apanasje </w:t>
            </w:r>
          </w:p>
        </w:tc>
        <w:tc>
          <w:tcPr>
            <w:tcW w:w="1580" w:type="dxa"/>
          </w:tcPr>
          <w:p w:rsidR="00557A6F" w:rsidRDefault="00557A6F" w:rsidP="00557A6F"/>
        </w:tc>
        <w:tc>
          <w:tcPr>
            <w:tcW w:w="1580" w:type="dxa"/>
          </w:tcPr>
          <w:p w:rsidR="00557A6F" w:rsidRDefault="00557A6F" w:rsidP="00AF5F55">
            <w:pPr>
              <w:jc w:val="right"/>
            </w:pPr>
            <w:r>
              <w:t>10 427 000</w:t>
            </w:r>
          </w:p>
        </w:tc>
        <w:tc>
          <w:tcPr>
            <w:tcW w:w="1580" w:type="dxa"/>
          </w:tcPr>
          <w:p w:rsidR="00557A6F" w:rsidRDefault="00557A6F" w:rsidP="00AF5F55">
            <w:pPr>
              <w:jc w:val="right"/>
            </w:pPr>
            <w:r>
              <w:t>10 427 000</w:t>
            </w:r>
          </w:p>
        </w:tc>
      </w:tr>
      <w:tr w:rsidR="00557A6F" w:rsidTr="00AF5F55">
        <w:trPr>
          <w:trHeight w:val="380"/>
        </w:trPr>
        <w:tc>
          <w:tcPr>
            <w:tcW w:w="680" w:type="dxa"/>
          </w:tcPr>
          <w:p w:rsidR="00557A6F" w:rsidRDefault="00557A6F" w:rsidP="00557A6F"/>
        </w:tc>
        <w:tc>
          <w:tcPr>
            <w:tcW w:w="680" w:type="dxa"/>
          </w:tcPr>
          <w:p w:rsidR="00557A6F" w:rsidRDefault="00557A6F" w:rsidP="00557A6F"/>
        </w:tc>
        <w:tc>
          <w:tcPr>
            <w:tcW w:w="3440" w:type="dxa"/>
          </w:tcPr>
          <w:p w:rsidR="00557A6F" w:rsidRDefault="00557A6F" w:rsidP="00557A6F">
            <w:r>
              <w:t>Sum Det kongelige hus</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r>
              <w:t>291 092 000</w:t>
            </w:r>
          </w:p>
        </w:tc>
      </w:tr>
      <w:tr w:rsidR="00557A6F" w:rsidTr="00AF5F55">
        <w:trPr>
          <w:trHeight w:val="380"/>
        </w:trPr>
        <w:tc>
          <w:tcPr>
            <w:tcW w:w="9540" w:type="dxa"/>
            <w:gridSpan w:val="6"/>
          </w:tcPr>
          <w:p w:rsidR="00557A6F" w:rsidRDefault="00557A6F" w:rsidP="00AF5F55">
            <w:pPr>
              <w:jc w:val="center"/>
            </w:pPr>
            <w:r>
              <w:t>Administrasjon</w:t>
            </w:r>
          </w:p>
        </w:tc>
      </w:tr>
      <w:tr w:rsidR="00557A6F" w:rsidTr="00AF5F55">
        <w:trPr>
          <w:trHeight w:val="640"/>
        </w:trPr>
        <w:tc>
          <w:tcPr>
            <w:tcW w:w="680" w:type="dxa"/>
          </w:tcPr>
          <w:p w:rsidR="00557A6F" w:rsidRDefault="00557A6F" w:rsidP="00557A6F">
            <w:r>
              <w:t>500</w:t>
            </w:r>
          </w:p>
        </w:tc>
        <w:tc>
          <w:tcPr>
            <w:tcW w:w="680" w:type="dxa"/>
          </w:tcPr>
          <w:p w:rsidR="00557A6F" w:rsidRDefault="00557A6F" w:rsidP="00557A6F"/>
        </w:tc>
        <w:tc>
          <w:tcPr>
            <w:tcW w:w="3440" w:type="dxa"/>
          </w:tcPr>
          <w:p w:rsidR="00557A6F" w:rsidRDefault="00557A6F" w:rsidP="00557A6F">
            <w:r>
              <w:t>Kommunal- og moderniseringsd</w:t>
            </w:r>
            <w:r>
              <w:t>e</w:t>
            </w:r>
            <w:r>
              <w:t>partementet</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01</w:t>
            </w:r>
          </w:p>
        </w:tc>
        <w:tc>
          <w:tcPr>
            <w:tcW w:w="3440" w:type="dxa"/>
          </w:tcPr>
          <w:p w:rsidR="00557A6F" w:rsidRDefault="00557A6F" w:rsidP="00557A6F">
            <w:r>
              <w:t xml:space="preserve">Driftsutgifter </w:t>
            </w:r>
          </w:p>
        </w:tc>
        <w:tc>
          <w:tcPr>
            <w:tcW w:w="1580" w:type="dxa"/>
          </w:tcPr>
          <w:p w:rsidR="00557A6F" w:rsidRDefault="00557A6F" w:rsidP="00557A6F"/>
        </w:tc>
        <w:tc>
          <w:tcPr>
            <w:tcW w:w="1580" w:type="dxa"/>
          </w:tcPr>
          <w:p w:rsidR="00557A6F" w:rsidRDefault="00557A6F" w:rsidP="00AF5F55">
            <w:pPr>
              <w:jc w:val="right"/>
            </w:pPr>
            <w:r>
              <w:t>417 296 000</w:t>
            </w:r>
          </w:p>
        </w:tc>
        <w:tc>
          <w:tcPr>
            <w:tcW w:w="1580" w:type="dxa"/>
          </w:tcPr>
          <w:p w:rsidR="00557A6F" w:rsidRDefault="00557A6F" w:rsidP="00AF5F55">
            <w:pPr>
              <w:jc w:val="right"/>
            </w:pPr>
          </w:p>
        </w:tc>
      </w:tr>
      <w:tr w:rsidR="00557A6F" w:rsidTr="00AF5F55">
        <w:trPr>
          <w:trHeight w:val="640"/>
        </w:trPr>
        <w:tc>
          <w:tcPr>
            <w:tcW w:w="680" w:type="dxa"/>
          </w:tcPr>
          <w:p w:rsidR="00557A6F" w:rsidRDefault="00557A6F" w:rsidP="00557A6F"/>
        </w:tc>
        <w:tc>
          <w:tcPr>
            <w:tcW w:w="680" w:type="dxa"/>
          </w:tcPr>
          <w:p w:rsidR="00557A6F" w:rsidRDefault="00557A6F" w:rsidP="00557A6F">
            <w:r>
              <w:t>21</w:t>
            </w:r>
          </w:p>
        </w:tc>
        <w:tc>
          <w:tcPr>
            <w:tcW w:w="3440" w:type="dxa"/>
          </w:tcPr>
          <w:p w:rsidR="00557A6F" w:rsidRDefault="00557A6F" w:rsidP="00557A6F">
            <w:r>
              <w:t>Spesielle driftsutgifter</w:t>
            </w:r>
            <w:r>
              <w:rPr>
                <w:rStyle w:val="kursiv"/>
                <w:sz w:val="21"/>
                <w:szCs w:val="21"/>
              </w:rPr>
              <w:t xml:space="preserve">, kan </w:t>
            </w:r>
            <w:r>
              <w:rPr>
                <w:rStyle w:val="kursiv"/>
                <w:sz w:val="21"/>
                <w:szCs w:val="21"/>
              </w:rPr>
              <w:br/>
              <w:t xml:space="preserve">overføres, kan nyttes under post 70 </w:t>
            </w:r>
          </w:p>
        </w:tc>
        <w:tc>
          <w:tcPr>
            <w:tcW w:w="1580" w:type="dxa"/>
          </w:tcPr>
          <w:p w:rsidR="00557A6F" w:rsidRDefault="00557A6F" w:rsidP="00557A6F"/>
        </w:tc>
        <w:tc>
          <w:tcPr>
            <w:tcW w:w="1580" w:type="dxa"/>
          </w:tcPr>
          <w:p w:rsidR="00557A6F" w:rsidRDefault="00557A6F" w:rsidP="00AF5F55">
            <w:pPr>
              <w:jc w:val="right"/>
            </w:pPr>
            <w:r>
              <w:t>76 599 000</w:t>
            </w: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23</w:t>
            </w:r>
          </w:p>
        </w:tc>
        <w:tc>
          <w:tcPr>
            <w:tcW w:w="3440" w:type="dxa"/>
          </w:tcPr>
          <w:p w:rsidR="00557A6F" w:rsidRDefault="00557A6F" w:rsidP="00557A6F">
            <w:r>
              <w:t xml:space="preserve">Husleie for fellesarealer m.m. </w:t>
            </w:r>
          </w:p>
        </w:tc>
        <w:tc>
          <w:tcPr>
            <w:tcW w:w="1580" w:type="dxa"/>
          </w:tcPr>
          <w:p w:rsidR="00557A6F" w:rsidRDefault="00557A6F" w:rsidP="00557A6F"/>
        </w:tc>
        <w:tc>
          <w:tcPr>
            <w:tcW w:w="1580" w:type="dxa"/>
          </w:tcPr>
          <w:p w:rsidR="00557A6F" w:rsidRDefault="00557A6F" w:rsidP="00AF5F55">
            <w:pPr>
              <w:jc w:val="right"/>
            </w:pPr>
            <w:r>
              <w:t>25 326 000</w:t>
            </w: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25</w:t>
            </w:r>
          </w:p>
        </w:tc>
        <w:tc>
          <w:tcPr>
            <w:tcW w:w="3440" w:type="dxa"/>
          </w:tcPr>
          <w:p w:rsidR="00557A6F" w:rsidRDefault="00557A6F" w:rsidP="00557A6F">
            <w:r>
              <w:t>Nytt regjeringskvartal</w:t>
            </w:r>
            <w:r>
              <w:rPr>
                <w:rStyle w:val="kursiv"/>
                <w:sz w:val="21"/>
                <w:szCs w:val="21"/>
              </w:rPr>
              <w:t xml:space="preserve">, kan overføres </w:t>
            </w:r>
          </w:p>
        </w:tc>
        <w:tc>
          <w:tcPr>
            <w:tcW w:w="1580" w:type="dxa"/>
          </w:tcPr>
          <w:p w:rsidR="00557A6F" w:rsidRDefault="00557A6F" w:rsidP="00557A6F"/>
        </w:tc>
        <w:tc>
          <w:tcPr>
            <w:tcW w:w="1580" w:type="dxa"/>
          </w:tcPr>
          <w:p w:rsidR="00557A6F" w:rsidRDefault="00557A6F" w:rsidP="00AF5F55">
            <w:pPr>
              <w:jc w:val="right"/>
            </w:pPr>
            <w:r>
              <w:t>4 039 000</w:t>
            </w: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27</w:t>
            </w:r>
          </w:p>
        </w:tc>
        <w:tc>
          <w:tcPr>
            <w:tcW w:w="3440" w:type="dxa"/>
          </w:tcPr>
          <w:p w:rsidR="00557A6F" w:rsidRDefault="00557A6F" w:rsidP="00557A6F">
            <w:r>
              <w:t>Felles IKT-løsning</w:t>
            </w:r>
            <w:r>
              <w:rPr>
                <w:rStyle w:val="kursiv"/>
                <w:sz w:val="21"/>
                <w:szCs w:val="21"/>
              </w:rPr>
              <w:t xml:space="preserve">, kan overføres </w:t>
            </w:r>
          </w:p>
        </w:tc>
        <w:tc>
          <w:tcPr>
            <w:tcW w:w="1580" w:type="dxa"/>
          </w:tcPr>
          <w:p w:rsidR="00557A6F" w:rsidRDefault="00557A6F" w:rsidP="00557A6F"/>
        </w:tc>
        <w:tc>
          <w:tcPr>
            <w:tcW w:w="1580" w:type="dxa"/>
          </w:tcPr>
          <w:p w:rsidR="00557A6F" w:rsidRDefault="00557A6F" w:rsidP="00AF5F55">
            <w:pPr>
              <w:jc w:val="right"/>
            </w:pPr>
            <w:r>
              <w:t>40 596 000</w:t>
            </w: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50</w:t>
            </w:r>
          </w:p>
        </w:tc>
        <w:tc>
          <w:tcPr>
            <w:tcW w:w="3440" w:type="dxa"/>
          </w:tcPr>
          <w:p w:rsidR="00557A6F" w:rsidRDefault="00557A6F" w:rsidP="00557A6F">
            <w:r>
              <w:t xml:space="preserve">Forskningsprogrammer </w:t>
            </w:r>
          </w:p>
        </w:tc>
        <w:tc>
          <w:tcPr>
            <w:tcW w:w="1580" w:type="dxa"/>
          </w:tcPr>
          <w:p w:rsidR="00557A6F" w:rsidRDefault="00557A6F" w:rsidP="00557A6F"/>
        </w:tc>
        <w:tc>
          <w:tcPr>
            <w:tcW w:w="1580" w:type="dxa"/>
          </w:tcPr>
          <w:p w:rsidR="00557A6F" w:rsidRDefault="00557A6F" w:rsidP="00AF5F55">
            <w:pPr>
              <w:jc w:val="right"/>
            </w:pPr>
            <w:r>
              <w:t>70 632 000</w:t>
            </w:r>
          </w:p>
        </w:tc>
        <w:tc>
          <w:tcPr>
            <w:tcW w:w="1580" w:type="dxa"/>
          </w:tcPr>
          <w:p w:rsidR="00557A6F" w:rsidRDefault="00557A6F" w:rsidP="00AF5F55">
            <w:pPr>
              <w:jc w:val="right"/>
            </w:pPr>
          </w:p>
        </w:tc>
      </w:tr>
      <w:tr w:rsidR="00557A6F" w:rsidTr="00AF5F55">
        <w:trPr>
          <w:trHeight w:val="640"/>
        </w:trPr>
        <w:tc>
          <w:tcPr>
            <w:tcW w:w="680" w:type="dxa"/>
          </w:tcPr>
          <w:p w:rsidR="00557A6F" w:rsidRDefault="00557A6F" w:rsidP="00557A6F"/>
        </w:tc>
        <w:tc>
          <w:tcPr>
            <w:tcW w:w="680" w:type="dxa"/>
          </w:tcPr>
          <w:p w:rsidR="00557A6F" w:rsidRDefault="00557A6F" w:rsidP="00557A6F">
            <w:r>
              <w:t>70</w:t>
            </w:r>
          </w:p>
        </w:tc>
        <w:tc>
          <w:tcPr>
            <w:tcW w:w="3440" w:type="dxa"/>
          </w:tcPr>
          <w:p w:rsidR="00557A6F" w:rsidRDefault="00557A6F" w:rsidP="00557A6F">
            <w:r>
              <w:t>Diverse formål</w:t>
            </w:r>
            <w:r>
              <w:rPr>
                <w:rStyle w:val="kursiv"/>
                <w:sz w:val="21"/>
                <w:szCs w:val="21"/>
              </w:rPr>
              <w:t xml:space="preserve">, kan overføres, </w:t>
            </w:r>
            <w:r>
              <w:rPr>
                <w:rStyle w:val="kursiv"/>
                <w:sz w:val="21"/>
                <w:szCs w:val="21"/>
              </w:rPr>
              <w:br/>
              <w:t xml:space="preserve">kan nyttes under post 21 </w:t>
            </w:r>
          </w:p>
        </w:tc>
        <w:tc>
          <w:tcPr>
            <w:tcW w:w="1580" w:type="dxa"/>
          </w:tcPr>
          <w:p w:rsidR="00557A6F" w:rsidRDefault="00557A6F" w:rsidP="00557A6F"/>
        </w:tc>
        <w:tc>
          <w:tcPr>
            <w:tcW w:w="1580" w:type="dxa"/>
          </w:tcPr>
          <w:p w:rsidR="00557A6F" w:rsidRDefault="00557A6F" w:rsidP="00AF5F55">
            <w:pPr>
              <w:jc w:val="right"/>
            </w:pPr>
            <w:r>
              <w:t>2 994 000</w:t>
            </w:r>
          </w:p>
        </w:tc>
        <w:tc>
          <w:tcPr>
            <w:tcW w:w="1580" w:type="dxa"/>
          </w:tcPr>
          <w:p w:rsidR="00557A6F" w:rsidRDefault="00557A6F" w:rsidP="00AF5F55">
            <w:pPr>
              <w:jc w:val="right"/>
            </w:pPr>
            <w:r>
              <w:t>637 482 000</w:t>
            </w:r>
          </w:p>
        </w:tc>
      </w:tr>
      <w:tr w:rsidR="00557A6F" w:rsidTr="00AF5F55">
        <w:trPr>
          <w:trHeight w:val="380"/>
        </w:trPr>
        <w:tc>
          <w:tcPr>
            <w:tcW w:w="680" w:type="dxa"/>
          </w:tcPr>
          <w:p w:rsidR="00557A6F" w:rsidRDefault="00557A6F" w:rsidP="00557A6F">
            <w:r>
              <w:lastRenderedPageBreak/>
              <w:t>502</w:t>
            </w:r>
          </w:p>
        </w:tc>
        <w:tc>
          <w:tcPr>
            <w:tcW w:w="680" w:type="dxa"/>
          </w:tcPr>
          <w:p w:rsidR="00557A6F" w:rsidRDefault="00557A6F" w:rsidP="00557A6F"/>
        </w:tc>
        <w:tc>
          <w:tcPr>
            <w:tcW w:w="3440" w:type="dxa"/>
          </w:tcPr>
          <w:p w:rsidR="00557A6F" w:rsidRDefault="00557A6F" w:rsidP="00557A6F">
            <w:r>
              <w:t>Tariffavtalte avsetninger</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p>
        </w:tc>
      </w:tr>
      <w:tr w:rsidR="00557A6F" w:rsidTr="00AF5F55">
        <w:trPr>
          <w:trHeight w:val="640"/>
        </w:trPr>
        <w:tc>
          <w:tcPr>
            <w:tcW w:w="680" w:type="dxa"/>
          </w:tcPr>
          <w:p w:rsidR="00557A6F" w:rsidRDefault="00557A6F" w:rsidP="00557A6F"/>
        </w:tc>
        <w:tc>
          <w:tcPr>
            <w:tcW w:w="680" w:type="dxa"/>
          </w:tcPr>
          <w:p w:rsidR="00557A6F" w:rsidRDefault="00557A6F" w:rsidP="00557A6F">
            <w:r>
              <w:t>71</w:t>
            </w:r>
          </w:p>
        </w:tc>
        <w:tc>
          <w:tcPr>
            <w:tcW w:w="3440" w:type="dxa"/>
          </w:tcPr>
          <w:p w:rsidR="00557A6F" w:rsidRDefault="00557A6F" w:rsidP="00557A6F">
            <w:r>
              <w:t xml:space="preserve">Opplæring og utvikling av </w:t>
            </w:r>
            <w:r>
              <w:br/>
              <w:t xml:space="preserve">tillitsvalgte </w:t>
            </w:r>
          </w:p>
        </w:tc>
        <w:tc>
          <w:tcPr>
            <w:tcW w:w="1580" w:type="dxa"/>
          </w:tcPr>
          <w:p w:rsidR="00557A6F" w:rsidRDefault="00557A6F" w:rsidP="00557A6F"/>
        </w:tc>
        <w:tc>
          <w:tcPr>
            <w:tcW w:w="1580" w:type="dxa"/>
          </w:tcPr>
          <w:p w:rsidR="00557A6F" w:rsidRDefault="00557A6F" w:rsidP="00AF5F55">
            <w:pPr>
              <w:jc w:val="right"/>
            </w:pPr>
            <w:r>
              <w:t>195 000 000</w:t>
            </w:r>
          </w:p>
        </w:tc>
        <w:tc>
          <w:tcPr>
            <w:tcW w:w="1580" w:type="dxa"/>
          </w:tcPr>
          <w:p w:rsidR="00557A6F" w:rsidRDefault="00557A6F" w:rsidP="00AF5F55">
            <w:pPr>
              <w:jc w:val="right"/>
            </w:pPr>
            <w:r>
              <w:t>195 000 000</w:t>
            </w:r>
          </w:p>
        </w:tc>
      </w:tr>
      <w:tr w:rsidR="00557A6F" w:rsidTr="00AF5F55">
        <w:trPr>
          <w:trHeight w:val="640"/>
        </w:trPr>
        <w:tc>
          <w:tcPr>
            <w:tcW w:w="680" w:type="dxa"/>
          </w:tcPr>
          <w:p w:rsidR="00557A6F" w:rsidRDefault="00557A6F" w:rsidP="00557A6F">
            <w:r>
              <w:t>510</w:t>
            </w:r>
          </w:p>
        </w:tc>
        <w:tc>
          <w:tcPr>
            <w:tcW w:w="680" w:type="dxa"/>
          </w:tcPr>
          <w:p w:rsidR="00557A6F" w:rsidRDefault="00557A6F" w:rsidP="00557A6F"/>
        </w:tc>
        <w:tc>
          <w:tcPr>
            <w:tcW w:w="3440" w:type="dxa"/>
          </w:tcPr>
          <w:p w:rsidR="00557A6F" w:rsidRDefault="00557A6F" w:rsidP="00557A6F">
            <w:r>
              <w:t xml:space="preserve">Departementenes sikkerhets- </w:t>
            </w:r>
            <w:r>
              <w:br/>
              <w:t>og serviceorganisasjon</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01</w:t>
            </w:r>
          </w:p>
        </w:tc>
        <w:tc>
          <w:tcPr>
            <w:tcW w:w="3440" w:type="dxa"/>
          </w:tcPr>
          <w:p w:rsidR="00557A6F" w:rsidRDefault="00557A6F" w:rsidP="00557A6F">
            <w:r>
              <w:t xml:space="preserve">Driftsutgifter </w:t>
            </w:r>
          </w:p>
        </w:tc>
        <w:tc>
          <w:tcPr>
            <w:tcW w:w="1580" w:type="dxa"/>
          </w:tcPr>
          <w:p w:rsidR="00557A6F" w:rsidRDefault="00557A6F" w:rsidP="00557A6F"/>
        </w:tc>
        <w:tc>
          <w:tcPr>
            <w:tcW w:w="1580" w:type="dxa"/>
          </w:tcPr>
          <w:p w:rsidR="00557A6F" w:rsidRDefault="00557A6F" w:rsidP="00AF5F55">
            <w:pPr>
              <w:jc w:val="right"/>
            </w:pPr>
            <w:r>
              <w:t>640 329 000</w:t>
            </w: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21</w:t>
            </w:r>
          </w:p>
        </w:tc>
        <w:tc>
          <w:tcPr>
            <w:tcW w:w="3440" w:type="dxa"/>
          </w:tcPr>
          <w:p w:rsidR="00557A6F" w:rsidRDefault="00557A6F" w:rsidP="00557A6F">
            <w:r>
              <w:t>Spesielle driftsutgifter</w:t>
            </w:r>
            <w:r>
              <w:rPr>
                <w:rStyle w:val="kursiv"/>
                <w:sz w:val="21"/>
                <w:szCs w:val="21"/>
              </w:rPr>
              <w:t xml:space="preserve">, kan overføres </w:t>
            </w:r>
          </w:p>
        </w:tc>
        <w:tc>
          <w:tcPr>
            <w:tcW w:w="1580" w:type="dxa"/>
          </w:tcPr>
          <w:p w:rsidR="00557A6F" w:rsidRDefault="00557A6F" w:rsidP="00557A6F"/>
        </w:tc>
        <w:tc>
          <w:tcPr>
            <w:tcW w:w="1580" w:type="dxa"/>
          </w:tcPr>
          <w:p w:rsidR="00557A6F" w:rsidRDefault="00557A6F" w:rsidP="00AF5F55">
            <w:pPr>
              <w:jc w:val="right"/>
            </w:pPr>
            <w:r>
              <w:t>61 157 000</w:t>
            </w: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22</w:t>
            </w:r>
          </w:p>
        </w:tc>
        <w:tc>
          <w:tcPr>
            <w:tcW w:w="3440" w:type="dxa"/>
          </w:tcPr>
          <w:p w:rsidR="00557A6F" w:rsidRDefault="00557A6F" w:rsidP="00557A6F">
            <w:r>
              <w:t xml:space="preserve">Fellesutgifter </w:t>
            </w:r>
          </w:p>
        </w:tc>
        <w:tc>
          <w:tcPr>
            <w:tcW w:w="1580" w:type="dxa"/>
          </w:tcPr>
          <w:p w:rsidR="00557A6F" w:rsidRDefault="00557A6F" w:rsidP="00557A6F"/>
        </w:tc>
        <w:tc>
          <w:tcPr>
            <w:tcW w:w="1580" w:type="dxa"/>
          </w:tcPr>
          <w:p w:rsidR="00557A6F" w:rsidRDefault="00557A6F" w:rsidP="00AF5F55">
            <w:pPr>
              <w:jc w:val="right"/>
            </w:pPr>
            <w:r>
              <w:t>134 672 000</w:t>
            </w:r>
          </w:p>
        </w:tc>
        <w:tc>
          <w:tcPr>
            <w:tcW w:w="1580" w:type="dxa"/>
          </w:tcPr>
          <w:p w:rsidR="00557A6F" w:rsidRDefault="00557A6F" w:rsidP="00AF5F55">
            <w:pPr>
              <w:jc w:val="right"/>
            </w:pPr>
          </w:p>
        </w:tc>
      </w:tr>
      <w:tr w:rsidR="00557A6F" w:rsidTr="00AF5F55">
        <w:trPr>
          <w:trHeight w:val="640"/>
        </w:trPr>
        <w:tc>
          <w:tcPr>
            <w:tcW w:w="680" w:type="dxa"/>
          </w:tcPr>
          <w:p w:rsidR="00557A6F" w:rsidRDefault="00557A6F" w:rsidP="00557A6F"/>
        </w:tc>
        <w:tc>
          <w:tcPr>
            <w:tcW w:w="680" w:type="dxa"/>
          </w:tcPr>
          <w:p w:rsidR="00557A6F" w:rsidRDefault="00557A6F" w:rsidP="00557A6F">
            <w:r>
              <w:t>45</w:t>
            </w:r>
          </w:p>
        </w:tc>
        <w:tc>
          <w:tcPr>
            <w:tcW w:w="3440" w:type="dxa"/>
          </w:tcPr>
          <w:p w:rsidR="00557A6F" w:rsidRDefault="00557A6F" w:rsidP="00557A6F">
            <w:r>
              <w:t xml:space="preserve">Større utstyrsanskaffelser og </w:t>
            </w:r>
            <w:r>
              <w:br/>
              <w:t>vedlikehold</w:t>
            </w:r>
            <w:r>
              <w:rPr>
                <w:rStyle w:val="kursiv"/>
                <w:sz w:val="21"/>
                <w:szCs w:val="21"/>
              </w:rPr>
              <w:t xml:space="preserve">, kan overføres </w:t>
            </w:r>
          </w:p>
        </w:tc>
        <w:tc>
          <w:tcPr>
            <w:tcW w:w="1580" w:type="dxa"/>
          </w:tcPr>
          <w:p w:rsidR="00557A6F" w:rsidRDefault="00557A6F" w:rsidP="00557A6F"/>
        </w:tc>
        <w:tc>
          <w:tcPr>
            <w:tcW w:w="1580" w:type="dxa"/>
          </w:tcPr>
          <w:p w:rsidR="00557A6F" w:rsidRDefault="00557A6F" w:rsidP="00AF5F55">
            <w:pPr>
              <w:jc w:val="right"/>
            </w:pPr>
            <w:r>
              <w:t>21 083 000</w:t>
            </w:r>
          </w:p>
        </w:tc>
        <w:tc>
          <w:tcPr>
            <w:tcW w:w="1580" w:type="dxa"/>
          </w:tcPr>
          <w:p w:rsidR="00557A6F" w:rsidRDefault="00557A6F" w:rsidP="00AF5F55">
            <w:pPr>
              <w:jc w:val="right"/>
            </w:pPr>
          </w:p>
        </w:tc>
      </w:tr>
      <w:tr w:rsidR="00557A6F" w:rsidTr="00AF5F55">
        <w:trPr>
          <w:trHeight w:val="640"/>
        </w:trPr>
        <w:tc>
          <w:tcPr>
            <w:tcW w:w="680" w:type="dxa"/>
          </w:tcPr>
          <w:p w:rsidR="00557A6F" w:rsidRDefault="00557A6F" w:rsidP="00557A6F"/>
        </w:tc>
        <w:tc>
          <w:tcPr>
            <w:tcW w:w="680" w:type="dxa"/>
          </w:tcPr>
          <w:p w:rsidR="00557A6F" w:rsidRDefault="00557A6F" w:rsidP="00557A6F">
            <w:r>
              <w:t>46</w:t>
            </w:r>
          </w:p>
        </w:tc>
        <w:tc>
          <w:tcPr>
            <w:tcW w:w="3440" w:type="dxa"/>
          </w:tcPr>
          <w:p w:rsidR="00557A6F" w:rsidRDefault="00557A6F" w:rsidP="00557A6F">
            <w:r>
              <w:t>Sikringsanlegg og sperresystemer</w:t>
            </w:r>
            <w:r>
              <w:rPr>
                <w:rStyle w:val="kursiv"/>
                <w:sz w:val="21"/>
                <w:szCs w:val="21"/>
              </w:rPr>
              <w:t xml:space="preserve">, kan overføres </w:t>
            </w:r>
          </w:p>
        </w:tc>
        <w:tc>
          <w:tcPr>
            <w:tcW w:w="1580" w:type="dxa"/>
          </w:tcPr>
          <w:p w:rsidR="00557A6F" w:rsidRDefault="00557A6F" w:rsidP="00557A6F"/>
        </w:tc>
        <w:tc>
          <w:tcPr>
            <w:tcW w:w="1580" w:type="dxa"/>
          </w:tcPr>
          <w:p w:rsidR="00557A6F" w:rsidRDefault="00557A6F" w:rsidP="00AF5F55">
            <w:pPr>
              <w:jc w:val="right"/>
            </w:pPr>
            <w:r>
              <w:t>8 779 000</w:t>
            </w:r>
          </w:p>
        </w:tc>
        <w:tc>
          <w:tcPr>
            <w:tcW w:w="1580" w:type="dxa"/>
          </w:tcPr>
          <w:p w:rsidR="00557A6F" w:rsidRDefault="00557A6F" w:rsidP="00AF5F55">
            <w:pPr>
              <w:jc w:val="right"/>
            </w:pPr>
            <w:r>
              <w:t>866 020 000</w:t>
            </w:r>
          </w:p>
        </w:tc>
      </w:tr>
      <w:tr w:rsidR="00557A6F" w:rsidTr="00AF5F55">
        <w:trPr>
          <w:trHeight w:val="380"/>
        </w:trPr>
        <w:tc>
          <w:tcPr>
            <w:tcW w:w="680" w:type="dxa"/>
          </w:tcPr>
          <w:p w:rsidR="00557A6F" w:rsidRDefault="00557A6F" w:rsidP="00557A6F"/>
        </w:tc>
        <w:tc>
          <w:tcPr>
            <w:tcW w:w="680" w:type="dxa"/>
          </w:tcPr>
          <w:p w:rsidR="00557A6F" w:rsidRDefault="00557A6F" w:rsidP="00557A6F"/>
        </w:tc>
        <w:tc>
          <w:tcPr>
            <w:tcW w:w="3440" w:type="dxa"/>
          </w:tcPr>
          <w:p w:rsidR="00557A6F" w:rsidRDefault="00557A6F" w:rsidP="00557A6F">
            <w:r>
              <w:t>Sum Administrasjon</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r>
              <w:t>1 698 502 000</w:t>
            </w:r>
          </w:p>
        </w:tc>
      </w:tr>
      <w:tr w:rsidR="00557A6F" w:rsidTr="00AF5F55">
        <w:trPr>
          <w:trHeight w:val="380"/>
        </w:trPr>
        <w:tc>
          <w:tcPr>
            <w:tcW w:w="9540" w:type="dxa"/>
            <w:gridSpan w:val="6"/>
          </w:tcPr>
          <w:p w:rsidR="00557A6F" w:rsidRDefault="00557A6F" w:rsidP="00AF5F55">
            <w:pPr>
              <w:jc w:val="center"/>
            </w:pPr>
            <w:r>
              <w:t>Fylkesmannsembetene</w:t>
            </w:r>
          </w:p>
        </w:tc>
      </w:tr>
      <w:tr w:rsidR="00557A6F" w:rsidTr="00AF5F55">
        <w:trPr>
          <w:trHeight w:val="380"/>
        </w:trPr>
        <w:tc>
          <w:tcPr>
            <w:tcW w:w="680" w:type="dxa"/>
          </w:tcPr>
          <w:p w:rsidR="00557A6F" w:rsidRDefault="00557A6F" w:rsidP="00557A6F">
            <w:r>
              <w:t>525</w:t>
            </w:r>
          </w:p>
        </w:tc>
        <w:tc>
          <w:tcPr>
            <w:tcW w:w="680" w:type="dxa"/>
          </w:tcPr>
          <w:p w:rsidR="00557A6F" w:rsidRDefault="00557A6F" w:rsidP="00557A6F"/>
        </w:tc>
        <w:tc>
          <w:tcPr>
            <w:tcW w:w="3440" w:type="dxa"/>
          </w:tcPr>
          <w:p w:rsidR="00557A6F" w:rsidRDefault="00557A6F" w:rsidP="00557A6F">
            <w:r>
              <w:t>Fylkesmannsembetene</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01</w:t>
            </w:r>
          </w:p>
        </w:tc>
        <w:tc>
          <w:tcPr>
            <w:tcW w:w="3440" w:type="dxa"/>
          </w:tcPr>
          <w:p w:rsidR="00557A6F" w:rsidRDefault="00557A6F" w:rsidP="00557A6F">
            <w:r>
              <w:t xml:space="preserve">Driftsutgifter </w:t>
            </w:r>
          </w:p>
        </w:tc>
        <w:tc>
          <w:tcPr>
            <w:tcW w:w="1580" w:type="dxa"/>
          </w:tcPr>
          <w:p w:rsidR="00557A6F" w:rsidRDefault="00557A6F" w:rsidP="00557A6F"/>
        </w:tc>
        <w:tc>
          <w:tcPr>
            <w:tcW w:w="1580" w:type="dxa"/>
          </w:tcPr>
          <w:p w:rsidR="00557A6F" w:rsidRDefault="00557A6F" w:rsidP="00AF5F55">
            <w:pPr>
              <w:jc w:val="right"/>
            </w:pPr>
            <w:r>
              <w:t>1 896 952 000</w:t>
            </w: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21</w:t>
            </w:r>
          </w:p>
        </w:tc>
        <w:tc>
          <w:tcPr>
            <w:tcW w:w="3440" w:type="dxa"/>
          </w:tcPr>
          <w:p w:rsidR="00557A6F" w:rsidRDefault="00557A6F" w:rsidP="00557A6F">
            <w:r>
              <w:t>Spesielle driftsutgifter</w:t>
            </w:r>
            <w:r>
              <w:rPr>
                <w:rStyle w:val="kursiv"/>
                <w:sz w:val="21"/>
                <w:szCs w:val="21"/>
              </w:rPr>
              <w:t xml:space="preserve">, kan overføres </w:t>
            </w:r>
          </w:p>
        </w:tc>
        <w:tc>
          <w:tcPr>
            <w:tcW w:w="1580" w:type="dxa"/>
          </w:tcPr>
          <w:p w:rsidR="00557A6F" w:rsidRDefault="00557A6F" w:rsidP="00557A6F"/>
        </w:tc>
        <w:tc>
          <w:tcPr>
            <w:tcW w:w="1580" w:type="dxa"/>
          </w:tcPr>
          <w:p w:rsidR="00557A6F" w:rsidRDefault="00557A6F" w:rsidP="00AF5F55">
            <w:pPr>
              <w:jc w:val="right"/>
            </w:pPr>
            <w:r>
              <w:t>172 308 000</w:t>
            </w:r>
          </w:p>
        </w:tc>
        <w:tc>
          <w:tcPr>
            <w:tcW w:w="1580" w:type="dxa"/>
          </w:tcPr>
          <w:p w:rsidR="00557A6F" w:rsidRDefault="00557A6F" w:rsidP="00AF5F55">
            <w:pPr>
              <w:jc w:val="right"/>
            </w:pPr>
            <w:r>
              <w:t>2 069 260 000</w:t>
            </w:r>
          </w:p>
        </w:tc>
      </w:tr>
      <w:tr w:rsidR="00557A6F" w:rsidTr="00AF5F55">
        <w:trPr>
          <w:trHeight w:val="380"/>
        </w:trPr>
        <w:tc>
          <w:tcPr>
            <w:tcW w:w="680" w:type="dxa"/>
          </w:tcPr>
          <w:p w:rsidR="00557A6F" w:rsidRDefault="00557A6F" w:rsidP="00557A6F"/>
        </w:tc>
        <w:tc>
          <w:tcPr>
            <w:tcW w:w="680" w:type="dxa"/>
          </w:tcPr>
          <w:p w:rsidR="00557A6F" w:rsidRDefault="00557A6F" w:rsidP="00557A6F"/>
        </w:tc>
        <w:tc>
          <w:tcPr>
            <w:tcW w:w="3440" w:type="dxa"/>
          </w:tcPr>
          <w:p w:rsidR="00557A6F" w:rsidRDefault="00557A6F" w:rsidP="00557A6F">
            <w:r>
              <w:t>Sum Fylkesmannsembetene</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r>
              <w:t>2 069 260 000</w:t>
            </w:r>
          </w:p>
        </w:tc>
      </w:tr>
      <w:tr w:rsidR="00557A6F" w:rsidTr="00AF5F55">
        <w:trPr>
          <w:trHeight w:val="380"/>
        </w:trPr>
        <w:tc>
          <w:tcPr>
            <w:tcW w:w="9540" w:type="dxa"/>
            <w:gridSpan w:val="6"/>
          </w:tcPr>
          <w:p w:rsidR="00557A6F" w:rsidRDefault="00557A6F" w:rsidP="00AF5F55">
            <w:pPr>
              <w:jc w:val="center"/>
            </w:pPr>
            <w:r>
              <w:t>Statlige byggeprosjekter og eiendomsforvaltning</w:t>
            </w:r>
          </w:p>
        </w:tc>
      </w:tr>
      <w:tr w:rsidR="00557A6F" w:rsidTr="00AF5F55">
        <w:trPr>
          <w:trHeight w:val="640"/>
        </w:trPr>
        <w:tc>
          <w:tcPr>
            <w:tcW w:w="680" w:type="dxa"/>
          </w:tcPr>
          <w:p w:rsidR="00557A6F" w:rsidRDefault="00557A6F" w:rsidP="00557A6F">
            <w:r>
              <w:t>530</w:t>
            </w:r>
          </w:p>
        </w:tc>
        <w:tc>
          <w:tcPr>
            <w:tcW w:w="680" w:type="dxa"/>
          </w:tcPr>
          <w:p w:rsidR="00557A6F" w:rsidRDefault="00557A6F" w:rsidP="00557A6F"/>
        </w:tc>
        <w:tc>
          <w:tcPr>
            <w:tcW w:w="3440" w:type="dxa"/>
          </w:tcPr>
          <w:p w:rsidR="00557A6F" w:rsidRDefault="00557A6F" w:rsidP="00557A6F">
            <w:r>
              <w:t>Byggeprosjekter utenfor huslei</w:t>
            </w:r>
            <w:r>
              <w:t>e</w:t>
            </w:r>
            <w:r>
              <w:t>ordningen</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30</w:t>
            </w:r>
          </w:p>
        </w:tc>
        <w:tc>
          <w:tcPr>
            <w:tcW w:w="3440" w:type="dxa"/>
          </w:tcPr>
          <w:p w:rsidR="00557A6F" w:rsidRDefault="00557A6F" w:rsidP="00557A6F">
            <w:r>
              <w:t>Prosjektering av bygg</w:t>
            </w:r>
            <w:r>
              <w:rPr>
                <w:rStyle w:val="kursiv"/>
                <w:sz w:val="21"/>
                <w:szCs w:val="21"/>
              </w:rPr>
              <w:t xml:space="preserve">, kan overføres </w:t>
            </w:r>
          </w:p>
        </w:tc>
        <w:tc>
          <w:tcPr>
            <w:tcW w:w="1580" w:type="dxa"/>
          </w:tcPr>
          <w:p w:rsidR="00557A6F" w:rsidRDefault="00557A6F" w:rsidP="00557A6F"/>
        </w:tc>
        <w:tc>
          <w:tcPr>
            <w:tcW w:w="1580" w:type="dxa"/>
          </w:tcPr>
          <w:p w:rsidR="00557A6F" w:rsidRDefault="00557A6F" w:rsidP="00AF5F55">
            <w:pPr>
              <w:jc w:val="right"/>
            </w:pPr>
            <w:r>
              <w:t>179 000 000</w:t>
            </w:r>
          </w:p>
        </w:tc>
        <w:tc>
          <w:tcPr>
            <w:tcW w:w="1580" w:type="dxa"/>
          </w:tcPr>
          <w:p w:rsidR="00557A6F" w:rsidRDefault="00557A6F" w:rsidP="00AF5F55">
            <w:pPr>
              <w:jc w:val="right"/>
            </w:pPr>
          </w:p>
        </w:tc>
      </w:tr>
      <w:tr w:rsidR="00557A6F" w:rsidTr="00AF5F55">
        <w:trPr>
          <w:trHeight w:val="640"/>
        </w:trPr>
        <w:tc>
          <w:tcPr>
            <w:tcW w:w="680" w:type="dxa"/>
          </w:tcPr>
          <w:p w:rsidR="00557A6F" w:rsidRDefault="00557A6F" w:rsidP="00557A6F"/>
        </w:tc>
        <w:tc>
          <w:tcPr>
            <w:tcW w:w="680" w:type="dxa"/>
          </w:tcPr>
          <w:p w:rsidR="00557A6F" w:rsidRDefault="00557A6F" w:rsidP="00557A6F">
            <w:r>
              <w:t>31</w:t>
            </w:r>
          </w:p>
        </w:tc>
        <w:tc>
          <w:tcPr>
            <w:tcW w:w="3440" w:type="dxa"/>
          </w:tcPr>
          <w:p w:rsidR="00557A6F" w:rsidRDefault="00557A6F" w:rsidP="00557A6F">
            <w:r>
              <w:t>Igangsetting av byggeprosjekter</w:t>
            </w:r>
            <w:r>
              <w:rPr>
                <w:rStyle w:val="kursiv"/>
                <w:sz w:val="21"/>
                <w:szCs w:val="21"/>
              </w:rPr>
              <w:t xml:space="preserve">, kan overføres </w:t>
            </w:r>
          </w:p>
        </w:tc>
        <w:tc>
          <w:tcPr>
            <w:tcW w:w="1580" w:type="dxa"/>
          </w:tcPr>
          <w:p w:rsidR="00557A6F" w:rsidRDefault="00557A6F" w:rsidP="00557A6F"/>
        </w:tc>
        <w:tc>
          <w:tcPr>
            <w:tcW w:w="1580" w:type="dxa"/>
          </w:tcPr>
          <w:p w:rsidR="00557A6F" w:rsidRDefault="00557A6F" w:rsidP="00AF5F55">
            <w:pPr>
              <w:jc w:val="right"/>
            </w:pPr>
            <w:r>
              <w:t>30 000 000</w:t>
            </w:r>
          </w:p>
        </w:tc>
        <w:tc>
          <w:tcPr>
            <w:tcW w:w="1580" w:type="dxa"/>
          </w:tcPr>
          <w:p w:rsidR="00557A6F" w:rsidRDefault="00557A6F" w:rsidP="00AF5F55">
            <w:pPr>
              <w:jc w:val="right"/>
            </w:pPr>
          </w:p>
        </w:tc>
      </w:tr>
      <w:tr w:rsidR="00557A6F" w:rsidTr="00AF5F55">
        <w:trPr>
          <w:trHeight w:val="640"/>
        </w:trPr>
        <w:tc>
          <w:tcPr>
            <w:tcW w:w="680" w:type="dxa"/>
          </w:tcPr>
          <w:p w:rsidR="00557A6F" w:rsidRDefault="00557A6F" w:rsidP="00557A6F"/>
        </w:tc>
        <w:tc>
          <w:tcPr>
            <w:tcW w:w="680" w:type="dxa"/>
          </w:tcPr>
          <w:p w:rsidR="00557A6F" w:rsidRDefault="00557A6F" w:rsidP="00557A6F">
            <w:r>
              <w:t>33</w:t>
            </w:r>
          </w:p>
        </w:tc>
        <w:tc>
          <w:tcPr>
            <w:tcW w:w="3440" w:type="dxa"/>
          </w:tcPr>
          <w:p w:rsidR="00557A6F" w:rsidRDefault="00557A6F" w:rsidP="00557A6F">
            <w:r>
              <w:t>Videreføring av byggeprosjekter</w:t>
            </w:r>
            <w:r>
              <w:rPr>
                <w:rStyle w:val="kursiv"/>
                <w:sz w:val="21"/>
                <w:szCs w:val="21"/>
              </w:rPr>
              <w:t xml:space="preserve">, kan overføres </w:t>
            </w:r>
          </w:p>
        </w:tc>
        <w:tc>
          <w:tcPr>
            <w:tcW w:w="1580" w:type="dxa"/>
          </w:tcPr>
          <w:p w:rsidR="00557A6F" w:rsidRDefault="00557A6F" w:rsidP="00557A6F"/>
        </w:tc>
        <w:tc>
          <w:tcPr>
            <w:tcW w:w="1580" w:type="dxa"/>
          </w:tcPr>
          <w:p w:rsidR="00557A6F" w:rsidRDefault="00557A6F" w:rsidP="00AF5F55">
            <w:pPr>
              <w:jc w:val="right"/>
            </w:pPr>
            <w:r>
              <w:t>1 471 200 000</w:t>
            </w:r>
          </w:p>
        </w:tc>
        <w:tc>
          <w:tcPr>
            <w:tcW w:w="1580" w:type="dxa"/>
          </w:tcPr>
          <w:p w:rsidR="00557A6F" w:rsidRDefault="00557A6F" w:rsidP="00AF5F55">
            <w:pPr>
              <w:jc w:val="right"/>
            </w:pPr>
          </w:p>
        </w:tc>
      </w:tr>
      <w:tr w:rsidR="00557A6F" w:rsidTr="00AF5F55">
        <w:trPr>
          <w:trHeight w:val="640"/>
        </w:trPr>
        <w:tc>
          <w:tcPr>
            <w:tcW w:w="680" w:type="dxa"/>
          </w:tcPr>
          <w:p w:rsidR="00557A6F" w:rsidRDefault="00557A6F" w:rsidP="00557A6F"/>
        </w:tc>
        <w:tc>
          <w:tcPr>
            <w:tcW w:w="680" w:type="dxa"/>
          </w:tcPr>
          <w:p w:rsidR="00557A6F" w:rsidRDefault="00557A6F" w:rsidP="00557A6F">
            <w:r>
              <w:t>34</w:t>
            </w:r>
          </w:p>
        </w:tc>
        <w:tc>
          <w:tcPr>
            <w:tcW w:w="3440" w:type="dxa"/>
          </w:tcPr>
          <w:p w:rsidR="00557A6F" w:rsidRDefault="00557A6F" w:rsidP="00557A6F">
            <w:r>
              <w:t>Statens eiendom på Adamstuen</w:t>
            </w:r>
            <w:r>
              <w:rPr>
                <w:rStyle w:val="kursiv"/>
                <w:sz w:val="21"/>
                <w:szCs w:val="21"/>
              </w:rPr>
              <w:t xml:space="preserve">, </w:t>
            </w:r>
            <w:r>
              <w:rPr>
                <w:rStyle w:val="kursiv"/>
                <w:sz w:val="21"/>
                <w:szCs w:val="21"/>
              </w:rPr>
              <w:br/>
              <w:t xml:space="preserve">kan overføres </w:t>
            </w:r>
          </w:p>
        </w:tc>
        <w:tc>
          <w:tcPr>
            <w:tcW w:w="1580" w:type="dxa"/>
          </w:tcPr>
          <w:p w:rsidR="00557A6F" w:rsidRDefault="00557A6F" w:rsidP="00557A6F"/>
        </w:tc>
        <w:tc>
          <w:tcPr>
            <w:tcW w:w="1580" w:type="dxa"/>
          </w:tcPr>
          <w:p w:rsidR="00557A6F" w:rsidRDefault="00557A6F" w:rsidP="00AF5F55">
            <w:pPr>
              <w:jc w:val="right"/>
            </w:pPr>
            <w:r>
              <w:t>7 500 000</w:t>
            </w:r>
          </w:p>
        </w:tc>
        <w:tc>
          <w:tcPr>
            <w:tcW w:w="1580" w:type="dxa"/>
          </w:tcPr>
          <w:p w:rsidR="00557A6F" w:rsidRDefault="00557A6F" w:rsidP="00AF5F55">
            <w:pPr>
              <w:jc w:val="right"/>
            </w:pPr>
          </w:p>
        </w:tc>
      </w:tr>
      <w:tr w:rsidR="00557A6F" w:rsidTr="00AF5F55">
        <w:trPr>
          <w:trHeight w:val="640"/>
        </w:trPr>
        <w:tc>
          <w:tcPr>
            <w:tcW w:w="680" w:type="dxa"/>
          </w:tcPr>
          <w:p w:rsidR="00557A6F" w:rsidRDefault="00557A6F" w:rsidP="00557A6F"/>
        </w:tc>
        <w:tc>
          <w:tcPr>
            <w:tcW w:w="680" w:type="dxa"/>
          </w:tcPr>
          <w:p w:rsidR="00557A6F" w:rsidRDefault="00557A6F" w:rsidP="00557A6F">
            <w:r>
              <w:t>36</w:t>
            </w:r>
          </w:p>
        </w:tc>
        <w:tc>
          <w:tcPr>
            <w:tcW w:w="3440" w:type="dxa"/>
          </w:tcPr>
          <w:p w:rsidR="00557A6F" w:rsidRDefault="00557A6F" w:rsidP="00557A6F">
            <w:r>
              <w:t>Kunstnerisk utsmykking</w:t>
            </w:r>
            <w:r>
              <w:rPr>
                <w:rStyle w:val="kursiv"/>
                <w:sz w:val="21"/>
                <w:szCs w:val="21"/>
              </w:rPr>
              <w:t xml:space="preserve">, </w:t>
            </w:r>
            <w:r>
              <w:rPr>
                <w:rStyle w:val="kursiv"/>
                <w:sz w:val="21"/>
                <w:szCs w:val="21"/>
              </w:rPr>
              <w:br/>
              <w:t xml:space="preserve">kan overføres </w:t>
            </w:r>
          </w:p>
        </w:tc>
        <w:tc>
          <w:tcPr>
            <w:tcW w:w="1580" w:type="dxa"/>
          </w:tcPr>
          <w:p w:rsidR="00557A6F" w:rsidRDefault="00557A6F" w:rsidP="00557A6F"/>
        </w:tc>
        <w:tc>
          <w:tcPr>
            <w:tcW w:w="1580" w:type="dxa"/>
          </w:tcPr>
          <w:p w:rsidR="00557A6F" w:rsidRDefault="00557A6F" w:rsidP="00AF5F55">
            <w:pPr>
              <w:jc w:val="right"/>
            </w:pPr>
            <w:r>
              <w:t>28 000 000</w:t>
            </w:r>
          </w:p>
        </w:tc>
        <w:tc>
          <w:tcPr>
            <w:tcW w:w="1580" w:type="dxa"/>
          </w:tcPr>
          <w:p w:rsidR="00557A6F" w:rsidRDefault="00557A6F" w:rsidP="00AF5F55">
            <w:pPr>
              <w:jc w:val="right"/>
            </w:pPr>
          </w:p>
        </w:tc>
      </w:tr>
      <w:tr w:rsidR="00557A6F" w:rsidTr="00AF5F55">
        <w:trPr>
          <w:trHeight w:val="640"/>
        </w:trPr>
        <w:tc>
          <w:tcPr>
            <w:tcW w:w="680" w:type="dxa"/>
          </w:tcPr>
          <w:p w:rsidR="00557A6F" w:rsidRDefault="00557A6F" w:rsidP="00557A6F"/>
        </w:tc>
        <w:tc>
          <w:tcPr>
            <w:tcW w:w="680" w:type="dxa"/>
          </w:tcPr>
          <w:p w:rsidR="00557A6F" w:rsidRDefault="00557A6F" w:rsidP="00557A6F">
            <w:r>
              <w:t>45</w:t>
            </w:r>
          </w:p>
        </w:tc>
        <w:tc>
          <w:tcPr>
            <w:tcW w:w="3440" w:type="dxa"/>
          </w:tcPr>
          <w:p w:rsidR="00557A6F" w:rsidRDefault="00557A6F" w:rsidP="00557A6F">
            <w:r>
              <w:t xml:space="preserve">Større utstyrsanskaffelser og </w:t>
            </w:r>
            <w:r>
              <w:br/>
              <w:t>vedlikehold</w:t>
            </w:r>
            <w:r>
              <w:rPr>
                <w:rStyle w:val="kursiv"/>
                <w:sz w:val="21"/>
                <w:szCs w:val="21"/>
              </w:rPr>
              <w:t xml:space="preserve">, kan overføres </w:t>
            </w:r>
          </w:p>
        </w:tc>
        <w:tc>
          <w:tcPr>
            <w:tcW w:w="1580" w:type="dxa"/>
          </w:tcPr>
          <w:p w:rsidR="00557A6F" w:rsidRDefault="00557A6F" w:rsidP="00557A6F"/>
        </w:tc>
        <w:tc>
          <w:tcPr>
            <w:tcW w:w="1580" w:type="dxa"/>
          </w:tcPr>
          <w:p w:rsidR="00557A6F" w:rsidRDefault="00557A6F" w:rsidP="00AF5F55">
            <w:pPr>
              <w:jc w:val="right"/>
            </w:pPr>
            <w:r>
              <w:t>829 600 000</w:t>
            </w:r>
          </w:p>
        </w:tc>
        <w:tc>
          <w:tcPr>
            <w:tcW w:w="1580" w:type="dxa"/>
          </w:tcPr>
          <w:p w:rsidR="00557A6F" w:rsidRDefault="00557A6F" w:rsidP="00AF5F55">
            <w:pPr>
              <w:jc w:val="right"/>
            </w:pPr>
            <w:r>
              <w:t>2 545 300 000</w:t>
            </w:r>
          </w:p>
        </w:tc>
      </w:tr>
      <w:tr w:rsidR="00557A6F" w:rsidTr="00AF5F55">
        <w:trPr>
          <w:trHeight w:val="380"/>
        </w:trPr>
        <w:tc>
          <w:tcPr>
            <w:tcW w:w="680" w:type="dxa"/>
          </w:tcPr>
          <w:p w:rsidR="00557A6F" w:rsidRDefault="00557A6F" w:rsidP="00557A6F">
            <w:r>
              <w:t>531</w:t>
            </w:r>
          </w:p>
        </w:tc>
        <w:tc>
          <w:tcPr>
            <w:tcW w:w="680" w:type="dxa"/>
          </w:tcPr>
          <w:p w:rsidR="00557A6F" w:rsidRDefault="00557A6F" w:rsidP="00557A6F"/>
        </w:tc>
        <w:tc>
          <w:tcPr>
            <w:tcW w:w="3440" w:type="dxa"/>
          </w:tcPr>
          <w:p w:rsidR="00557A6F" w:rsidRDefault="00557A6F" w:rsidP="00557A6F">
            <w:r>
              <w:t>Eiendommer til kongelige formål</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01</w:t>
            </w:r>
          </w:p>
        </w:tc>
        <w:tc>
          <w:tcPr>
            <w:tcW w:w="3440" w:type="dxa"/>
          </w:tcPr>
          <w:p w:rsidR="00557A6F" w:rsidRDefault="00557A6F" w:rsidP="00557A6F">
            <w:r>
              <w:t xml:space="preserve">Driftsutgifter </w:t>
            </w:r>
          </w:p>
        </w:tc>
        <w:tc>
          <w:tcPr>
            <w:tcW w:w="1580" w:type="dxa"/>
          </w:tcPr>
          <w:p w:rsidR="00557A6F" w:rsidRDefault="00557A6F" w:rsidP="00557A6F"/>
        </w:tc>
        <w:tc>
          <w:tcPr>
            <w:tcW w:w="1580" w:type="dxa"/>
          </w:tcPr>
          <w:p w:rsidR="00557A6F" w:rsidRDefault="00557A6F" w:rsidP="00AF5F55">
            <w:pPr>
              <w:jc w:val="right"/>
            </w:pPr>
            <w:r>
              <w:t>27 207 000</w:t>
            </w:r>
          </w:p>
        </w:tc>
        <w:tc>
          <w:tcPr>
            <w:tcW w:w="1580" w:type="dxa"/>
          </w:tcPr>
          <w:p w:rsidR="00557A6F" w:rsidRDefault="00557A6F" w:rsidP="00AF5F55">
            <w:pPr>
              <w:jc w:val="right"/>
            </w:pPr>
          </w:p>
        </w:tc>
      </w:tr>
      <w:tr w:rsidR="00557A6F" w:rsidTr="00AF5F55">
        <w:trPr>
          <w:trHeight w:val="640"/>
        </w:trPr>
        <w:tc>
          <w:tcPr>
            <w:tcW w:w="680" w:type="dxa"/>
          </w:tcPr>
          <w:p w:rsidR="00557A6F" w:rsidRDefault="00557A6F" w:rsidP="00557A6F"/>
        </w:tc>
        <w:tc>
          <w:tcPr>
            <w:tcW w:w="680" w:type="dxa"/>
          </w:tcPr>
          <w:p w:rsidR="00557A6F" w:rsidRDefault="00557A6F" w:rsidP="00557A6F">
            <w:r>
              <w:t>45</w:t>
            </w:r>
          </w:p>
        </w:tc>
        <w:tc>
          <w:tcPr>
            <w:tcW w:w="3440" w:type="dxa"/>
          </w:tcPr>
          <w:p w:rsidR="00557A6F" w:rsidRDefault="00557A6F" w:rsidP="00557A6F">
            <w:r>
              <w:t xml:space="preserve">Større utstyrsanskaffelser og </w:t>
            </w:r>
            <w:r>
              <w:br/>
              <w:t>vedlikehold</w:t>
            </w:r>
            <w:r>
              <w:rPr>
                <w:rStyle w:val="kursiv"/>
                <w:sz w:val="21"/>
                <w:szCs w:val="21"/>
              </w:rPr>
              <w:t xml:space="preserve">, kan overføres </w:t>
            </w:r>
          </w:p>
        </w:tc>
        <w:tc>
          <w:tcPr>
            <w:tcW w:w="1580" w:type="dxa"/>
          </w:tcPr>
          <w:p w:rsidR="00557A6F" w:rsidRDefault="00557A6F" w:rsidP="00557A6F"/>
        </w:tc>
        <w:tc>
          <w:tcPr>
            <w:tcW w:w="1580" w:type="dxa"/>
          </w:tcPr>
          <w:p w:rsidR="00557A6F" w:rsidRDefault="00557A6F" w:rsidP="00AF5F55">
            <w:pPr>
              <w:jc w:val="right"/>
            </w:pPr>
            <w:r>
              <w:t>63 605 000</w:t>
            </w:r>
          </w:p>
        </w:tc>
        <w:tc>
          <w:tcPr>
            <w:tcW w:w="1580" w:type="dxa"/>
          </w:tcPr>
          <w:p w:rsidR="00557A6F" w:rsidRDefault="00557A6F" w:rsidP="00AF5F55">
            <w:pPr>
              <w:jc w:val="right"/>
            </w:pPr>
            <w:r>
              <w:t>90 812 000</w:t>
            </w:r>
          </w:p>
        </w:tc>
      </w:tr>
      <w:tr w:rsidR="00557A6F" w:rsidTr="00AF5F55">
        <w:trPr>
          <w:trHeight w:val="380"/>
        </w:trPr>
        <w:tc>
          <w:tcPr>
            <w:tcW w:w="680" w:type="dxa"/>
          </w:tcPr>
          <w:p w:rsidR="00557A6F" w:rsidRDefault="00557A6F" w:rsidP="00557A6F">
            <w:r>
              <w:t>532</w:t>
            </w:r>
          </w:p>
        </w:tc>
        <w:tc>
          <w:tcPr>
            <w:tcW w:w="680" w:type="dxa"/>
          </w:tcPr>
          <w:p w:rsidR="00557A6F" w:rsidRDefault="00557A6F" w:rsidP="00557A6F"/>
        </w:tc>
        <w:tc>
          <w:tcPr>
            <w:tcW w:w="3440" w:type="dxa"/>
          </w:tcPr>
          <w:p w:rsidR="00557A6F" w:rsidRDefault="00557A6F" w:rsidP="00557A6F">
            <w:r>
              <w:t>Utvikling av Fornebuområdet</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21</w:t>
            </w:r>
          </w:p>
        </w:tc>
        <w:tc>
          <w:tcPr>
            <w:tcW w:w="3440" w:type="dxa"/>
          </w:tcPr>
          <w:p w:rsidR="00557A6F" w:rsidRDefault="00557A6F" w:rsidP="00557A6F">
            <w:r>
              <w:t>Spesielle driftsutgifter</w:t>
            </w:r>
            <w:r>
              <w:rPr>
                <w:rStyle w:val="kursiv"/>
                <w:sz w:val="21"/>
                <w:szCs w:val="21"/>
              </w:rPr>
              <w:t xml:space="preserve">, kan overføres </w:t>
            </w:r>
          </w:p>
        </w:tc>
        <w:tc>
          <w:tcPr>
            <w:tcW w:w="1580" w:type="dxa"/>
          </w:tcPr>
          <w:p w:rsidR="00557A6F" w:rsidRDefault="00557A6F" w:rsidP="00557A6F"/>
        </w:tc>
        <w:tc>
          <w:tcPr>
            <w:tcW w:w="1580" w:type="dxa"/>
          </w:tcPr>
          <w:p w:rsidR="00557A6F" w:rsidRDefault="00557A6F" w:rsidP="00AF5F55">
            <w:pPr>
              <w:jc w:val="right"/>
            </w:pPr>
            <w:r>
              <w:t>97 000</w:t>
            </w: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30</w:t>
            </w:r>
          </w:p>
        </w:tc>
        <w:tc>
          <w:tcPr>
            <w:tcW w:w="3440" w:type="dxa"/>
          </w:tcPr>
          <w:p w:rsidR="00557A6F" w:rsidRDefault="00557A6F" w:rsidP="00557A6F">
            <w:r>
              <w:t>Investeringer</w:t>
            </w:r>
            <w:r>
              <w:rPr>
                <w:rStyle w:val="kursiv"/>
                <w:sz w:val="21"/>
                <w:szCs w:val="21"/>
              </w:rPr>
              <w:t xml:space="preserve">, kan overføres </w:t>
            </w:r>
          </w:p>
        </w:tc>
        <w:tc>
          <w:tcPr>
            <w:tcW w:w="1580" w:type="dxa"/>
          </w:tcPr>
          <w:p w:rsidR="00557A6F" w:rsidRDefault="00557A6F" w:rsidP="00557A6F"/>
        </w:tc>
        <w:tc>
          <w:tcPr>
            <w:tcW w:w="1580" w:type="dxa"/>
          </w:tcPr>
          <w:p w:rsidR="00557A6F" w:rsidRDefault="00557A6F" w:rsidP="00AF5F55">
            <w:pPr>
              <w:jc w:val="right"/>
            </w:pPr>
            <w:r>
              <w:t>200 000</w:t>
            </w:r>
          </w:p>
        </w:tc>
        <w:tc>
          <w:tcPr>
            <w:tcW w:w="1580" w:type="dxa"/>
          </w:tcPr>
          <w:p w:rsidR="00557A6F" w:rsidRDefault="00557A6F" w:rsidP="00AF5F55">
            <w:pPr>
              <w:jc w:val="right"/>
            </w:pPr>
            <w:r>
              <w:t>297 000</w:t>
            </w:r>
          </w:p>
        </w:tc>
      </w:tr>
      <w:tr w:rsidR="00557A6F" w:rsidTr="00AF5F55">
        <w:trPr>
          <w:trHeight w:val="640"/>
        </w:trPr>
        <w:tc>
          <w:tcPr>
            <w:tcW w:w="680" w:type="dxa"/>
          </w:tcPr>
          <w:p w:rsidR="00557A6F" w:rsidRDefault="00557A6F" w:rsidP="00557A6F">
            <w:r>
              <w:t>533</w:t>
            </w:r>
          </w:p>
        </w:tc>
        <w:tc>
          <w:tcPr>
            <w:tcW w:w="680" w:type="dxa"/>
          </w:tcPr>
          <w:p w:rsidR="00557A6F" w:rsidRDefault="00557A6F" w:rsidP="00557A6F"/>
        </w:tc>
        <w:tc>
          <w:tcPr>
            <w:tcW w:w="3440" w:type="dxa"/>
          </w:tcPr>
          <w:p w:rsidR="00557A6F" w:rsidRDefault="00557A6F" w:rsidP="00557A6F">
            <w:r>
              <w:t>Eiendommer utenfor husleieor</w:t>
            </w:r>
            <w:r>
              <w:t>d</w:t>
            </w:r>
            <w:r>
              <w:t>ningen</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01</w:t>
            </w:r>
          </w:p>
        </w:tc>
        <w:tc>
          <w:tcPr>
            <w:tcW w:w="3440" w:type="dxa"/>
          </w:tcPr>
          <w:p w:rsidR="00557A6F" w:rsidRDefault="00557A6F" w:rsidP="00557A6F">
            <w:r>
              <w:t xml:space="preserve">Driftsutgifter </w:t>
            </w:r>
          </w:p>
        </w:tc>
        <w:tc>
          <w:tcPr>
            <w:tcW w:w="1580" w:type="dxa"/>
          </w:tcPr>
          <w:p w:rsidR="00557A6F" w:rsidRDefault="00557A6F" w:rsidP="00557A6F"/>
        </w:tc>
        <w:tc>
          <w:tcPr>
            <w:tcW w:w="1580" w:type="dxa"/>
          </w:tcPr>
          <w:p w:rsidR="00557A6F" w:rsidRDefault="00557A6F" w:rsidP="00AF5F55">
            <w:pPr>
              <w:jc w:val="right"/>
            </w:pPr>
            <w:r>
              <w:t>21 008 000</w:t>
            </w:r>
          </w:p>
        </w:tc>
        <w:tc>
          <w:tcPr>
            <w:tcW w:w="1580" w:type="dxa"/>
          </w:tcPr>
          <w:p w:rsidR="00557A6F" w:rsidRDefault="00557A6F" w:rsidP="00AF5F55">
            <w:pPr>
              <w:jc w:val="right"/>
            </w:pPr>
          </w:p>
        </w:tc>
      </w:tr>
      <w:tr w:rsidR="00557A6F" w:rsidTr="00AF5F55">
        <w:trPr>
          <w:trHeight w:val="640"/>
        </w:trPr>
        <w:tc>
          <w:tcPr>
            <w:tcW w:w="680" w:type="dxa"/>
          </w:tcPr>
          <w:p w:rsidR="00557A6F" w:rsidRDefault="00557A6F" w:rsidP="00557A6F"/>
        </w:tc>
        <w:tc>
          <w:tcPr>
            <w:tcW w:w="680" w:type="dxa"/>
          </w:tcPr>
          <w:p w:rsidR="00557A6F" w:rsidRDefault="00557A6F" w:rsidP="00557A6F">
            <w:r>
              <w:t>45</w:t>
            </w:r>
          </w:p>
        </w:tc>
        <w:tc>
          <w:tcPr>
            <w:tcW w:w="3440" w:type="dxa"/>
          </w:tcPr>
          <w:p w:rsidR="00557A6F" w:rsidRDefault="00557A6F" w:rsidP="00557A6F">
            <w:r>
              <w:t xml:space="preserve">Større utstyrsanskaffelser og </w:t>
            </w:r>
            <w:r>
              <w:br/>
              <w:t>vedlikehold</w:t>
            </w:r>
            <w:r>
              <w:rPr>
                <w:rStyle w:val="kursiv"/>
                <w:sz w:val="21"/>
                <w:szCs w:val="21"/>
              </w:rPr>
              <w:t xml:space="preserve">, kan overføres </w:t>
            </w:r>
          </w:p>
        </w:tc>
        <w:tc>
          <w:tcPr>
            <w:tcW w:w="1580" w:type="dxa"/>
          </w:tcPr>
          <w:p w:rsidR="00557A6F" w:rsidRDefault="00557A6F" w:rsidP="00557A6F"/>
        </w:tc>
        <w:tc>
          <w:tcPr>
            <w:tcW w:w="1580" w:type="dxa"/>
          </w:tcPr>
          <w:p w:rsidR="00557A6F" w:rsidRDefault="00557A6F" w:rsidP="00AF5F55">
            <w:pPr>
              <w:jc w:val="right"/>
            </w:pPr>
            <w:r>
              <w:t>35 000 000</w:t>
            </w:r>
          </w:p>
        </w:tc>
        <w:tc>
          <w:tcPr>
            <w:tcW w:w="1580" w:type="dxa"/>
          </w:tcPr>
          <w:p w:rsidR="00557A6F" w:rsidRDefault="00557A6F" w:rsidP="00AF5F55">
            <w:pPr>
              <w:jc w:val="right"/>
            </w:pPr>
            <w:r>
              <w:t>56 008 000</w:t>
            </w:r>
          </w:p>
        </w:tc>
      </w:tr>
      <w:tr w:rsidR="00557A6F" w:rsidTr="00AF5F55">
        <w:trPr>
          <w:trHeight w:val="640"/>
        </w:trPr>
        <w:tc>
          <w:tcPr>
            <w:tcW w:w="680" w:type="dxa"/>
          </w:tcPr>
          <w:p w:rsidR="00557A6F" w:rsidRDefault="00557A6F" w:rsidP="00557A6F"/>
        </w:tc>
        <w:tc>
          <w:tcPr>
            <w:tcW w:w="680" w:type="dxa"/>
          </w:tcPr>
          <w:p w:rsidR="00557A6F" w:rsidRDefault="00557A6F" w:rsidP="00557A6F"/>
        </w:tc>
        <w:tc>
          <w:tcPr>
            <w:tcW w:w="3440" w:type="dxa"/>
          </w:tcPr>
          <w:p w:rsidR="00557A6F" w:rsidRDefault="00557A6F" w:rsidP="00557A6F">
            <w:r>
              <w:t>Sum Statlige byggeprosjekter og eiendomsforvaltning</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r>
              <w:t>2 692 417 000</w:t>
            </w:r>
          </w:p>
        </w:tc>
      </w:tr>
      <w:tr w:rsidR="00557A6F" w:rsidTr="00AF5F55">
        <w:trPr>
          <w:trHeight w:val="380"/>
        </w:trPr>
        <w:tc>
          <w:tcPr>
            <w:tcW w:w="9540" w:type="dxa"/>
            <w:gridSpan w:val="6"/>
          </w:tcPr>
          <w:p w:rsidR="00557A6F" w:rsidRDefault="00557A6F" w:rsidP="00AF5F55">
            <w:pPr>
              <w:jc w:val="center"/>
            </w:pPr>
            <w:r>
              <w:t>Forvaltningsutvikling, IT- og ekompolitikk</w:t>
            </w:r>
          </w:p>
        </w:tc>
      </w:tr>
      <w:tr w:rsidR="00557A6F" w:rsidTr="00AF5F55">
        <w:trPr>
          <w:trHeight w:val="380"/>
        </w:trPr>
        <w:tc>
          <w:tcPr>
            <w:tcW w:w="680" w:type="dxa"/>
          </w:tcPr>
          <w:p w:rsidR="00557A6F" w:rsidRDefault="00557A6F" w:rsidP="00557A6F">
            <w:r>
              <w:t>540</w:t>
            </w:r>
          </w:p>
        </w:tc>
        <w:tc>
          <w:tcPr>
            <w:tcW w:w="680" w:type="dxa"/>
          </w:tcPr>
          <w:p w:rsidR="00557A6F" w:rsidRDefault="00557A6F" w:rsidP="00557A6F"/>
        </w:tc>
        <w:tc>
          <w:tcPr>
            <w:tcW w:w="3440" w:type="dxa"/>
          </w:tcPr>
          <w:p w:rsidR="00557A6F" w:rsidRDefault="00557A6F" w:rsidP="00557A6F">
            <w:r>
              <w:t>Digitaliseringsdirektoratet</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01</w:t>
            </w:r>
          </w:p>
        </w:tc>
        <w:tc>
          <w:tcPr>
            <w:tcW w:w="3440" w:type="dxa"/>
          </w:tcPr>
          <w:p w:rsidR="00557A6F" w:rsidRDefault="00557A6F" w:rsidP="00557A6F">
            <w:r>
              <w:t xml:space="preserve">Driftsutgifter </w:t>
            </w:r>
          </w:p>
        </w:tc>
        <w:tc>
          <w:tcPr>
            <w:tcW w:w="1580" w:type="dxa"/>
          </w:tcPr>
          <w:p w:rsidR="00557A6F" w:rsidRDefault="00557A6F" w:rsidP="00557A6F"/>
        </w:tc>
        <w:tc>
          <w:tcPr>
            <w:tcW w:w="1580" w:type="dxa"/>
          </w:tcPr>
          <w:p w:rsidR="00557A6F" w:rsidRDefault="00557A6F" w:rsidP="00AF5F55">
            <w:pPr>
              <w:jc w:val="right"/>
            </w:pPr>
            <w:r>
              <w:t>233 339 000</w:t>
            </w: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21</w:t>
            </w:r>
          </w:p>
        </w:tc>
        <w:tc>
          <w:tcPr>
            <w:tcW w:w="3440" w:type="dxa"/>
          </w:tcPr>
          <w:p w:rsidR="00557A6F" w:rsidRDefault="00557A6F" w:rsidP="00557A6F">
            <w:r>
              <w:t>Spesielle driftsutgifter</w:t>
            </w:r>
            <w:r>
              <w:rPr>
                <w:rStyle w:val="kursiv"/>
                <w:sz w:val="21"/>
                <w:szCs w:val="21"/>
              </w:rPr>
              <w:t xml:space="preserve">, kan overføres </w:t>
            </w:r>
          </w:p>
        </w:tc>
        <w:tc>
          <w:tcPr>
            <w:tcW w:w="1580" w:type="dxa"/>
          </w:tcPr>
          <w:p w:rsidR="00557A6F" w:rsidRDefault="00557A6F" w:rsidP="00557A6F"/>
        </w:tc>
        <w:tc>
          <w:tcPr>
            <w:tcW w:w="1580" w:type="dxa"/>
          </w:tcPr>
          <w:p w:rsidR="00557A6F" w:rsidRDefault="00557A6F" w:rsidP="00AF5F55">
            <w:pPr>
              <w:jc w:val="right"/>
            </w:pPr>
            <w:r>
              <w:t>44 108 000</w:t>
            </w:r>
          </w:p>
        </w:tc>
        <w:tc>
          <w:tcPr>
            <w:tcW w:w="1580" w:type="dxa"/>
          </w:tcPr>
          <w:p w:rsidR="00557A6F" w:rsidRDefault="00557A6F" w:rsidP="00AF5F55">
            <w:pPr>
              <w:jc w:val="right"/>
            </w:pPr>
          </w:p>
        </w:tc>
      </w:tr>
      <w:tr w:rsidR="00557A6F" w:rsidTr="00AF5F55">
        <w:trPr>
          <w:trHeight w:val="640"/>
        </w:trPr>
        <w:tc>
          <w:tcPr>
            <w:tcW w:w="680" w:type="dxa"/>
          </w:tcPr>
          <w:p w:rsidR="00557A6F" w:rsidRDefault="00557A6F" w:rsidP="00557A6F"/>
        </w:tc>
        <w:tc>
          <w:tcPr>
            <w:tcW w:w="680" w:type="dxa"/>
          </w:tcPr>
          <w:p w:rsidR="00557A6F" w:rsidRDefault="00557A6F" w:rsidP="00557A6F">
            <w:r>
              <w:t>22</w:t>
            </w:r>
          </w:p>
        </w:tc>
        <w:tc>
          <w:tcPr>
            <w:tcW w:w="3440" w:type="dxa"/>
          </w:tcPr>
          <w:p w:rsidR="00557A6F" w:rsidRDefault="00557A6F" w:rsidP="00557A6F">
            <w:r>
              <w:t>Bruk av nasjonale felleskompone</w:t>
            </w:r>
            <w:r>
              <w:t>n</w:t>
            </w:r>
            <w:r>
              <w:t xml:space="preserve">ter </w:t>
            </w:r>
          </w:p>
        </w:tc>
        <w:tc>
          <w:tcPr>
            <w:tcW w:w="1580" w:type="dxa"/>
          </w:tcPr>
          <w:p w:rsidR="00557A6F" w:rsidRDefault="00557A6F" w:rsidP="00557A6F"/>
        </w:tc>
        <w:tc>
          <w:tcPr>
            <w:tcW w:w="1580" w:type="dxa"/>
          </w:tcPr>
          <w:p w:rsidR="00557A6F" w:rsidRDefault="00557A6F" w:rsidP="00AF5F55">
            <w:pPr>
              <w:jc w:val="right"/>
            </w:pPr>
            <w:r>
              <w:t>80 000 000</w:t>
            </w:r>
          </w:p>
        </w:tc>
        <w:tc>
          <w:tcPr>
            <w:tcW w:w="1580" w:type="dxa"/>
          </w:tcPr>
          <w:p w:rsidR="00557A6F" w:rsidRDefault="00557A6F" w:rsidP="00AF5F55">
            <w:pPr>
              <w:jc w:val="right"/>
            </w:pPr>
          </w:p>
        </w:tc>
      </w:tr>
      <w:tr w:rsidR="00557A6F" w:rsidTr="00AF5F55">
        <w:trPr>
          <w:trHeight w:val="640"/>
        </w:trPr>
        <w:tc>
          <w:tcPr>
            <w:tcW w:w="680" w:type="dxa"/>
          </w:tcPr>
          <w:p w:rsidR="00557A6F" w:rsidRDefault="00557A6F" w:rsidP="00557A6F"/>
        </w:tc>
        <w:tc>
          <w:tcPr>
            <w:tcW w:w="680" w:type="dxa"/>
          </w:tcPr>
          <w:p w:rsidR="00557A6F" w:rsidRDefault="00557A6F" w:rsidP="00557A6F">
            <w:r>
              <w:t>23</w:t>
            </w:r>
          </w:p>
        </w:tc>
        <w:tc>
          <w:tcPr>
            <w:tcW w:w="3440" w:type="dxa"/>
          </w:tcPr>
          <w:p w:rsidR="00557A6F" w:rsidRDefault="00557A6F" w:rsidP="00557A6F">
            <w:r>
              <w:t>Utvikling og forvaltning av nasj</w:t>
            </w:r>
            <w:r>
              <w:t>o</w:t>
            </w:r>
            <w:r>
              <w:t>nale felleskomponenter</w:t>
            </w:r>
            <w:r>
              <w:rPr>
                <w:rStyle w:val="kursiv"/>
                <w:sz w:val="21"/>
                <w:szCs w:val="21"/>
              </w:rPr>
              <w:t>, kan overf</w:t>
            </w:r>
            <w:r>
              <w:rPr>
                <w:rStyle w:val="kursiv"/>
                <w:sz w:val="21"/>
                <w:szCs w:val="21"/>
              </w:rPr>
              <w:t>ø</w:t>
            </w:r>
            <w:r>
              <w:rPr>
                <w:rStyle w:val="kursiv"/>
                <w:sz w:val="21"/>
                <w:szCs w:val="21"/>
              </w:rPr>
              <w:t xml:space="preserve">res </w:t>
            </w:r>
          </w:p>
        </w:tc>
        <w:tc>
          <w:tcPr>
            <w:tcW w:w="1580" w:type="dxa"/>
          </w:tcPr>
          <w:p w:rsidR="00557A6F" w:rsidRDefault="00557A6F" w:rsidP="00557A6F"/>
        </w:tc>
        <w:tc>
          <w:tcPr>
            <w:tcW w:w="1580" w:type="dxa"/>
          </w:tcPr>
          <w:p w:rsidR="00557A6F" w:rsidRDefault="00557A6F" w:rsidP="00AF5F55">
            <w:pPr>
              <w:jc w:val="right"/>
            </w:pPr>
            <w:r>
              <w:t>111 585 000</w:t>
            </w:r>
          </w:p>
        </w:tc>
        <w:tc>
          <w:tcPr>
            <w:tcW w:w="1580" w:type="dxa"/>
          </w:tcPr>
          <w:p w:rsidR="00557A6F" w:rsidRDefault="00557A6F" w:rsidP="00AF5F55">
            <w:pPr>
              <w:jc w:val="right"/>
            </w:pPr>
          </w:p>
        </w:tc>
      </w:tr>
      <w:tr w:rsidR="00557A6F" w:rsidTr="00AF5F55">
        <w:trPr>
          <w:trHeight w:val="640"/>
        </w:trPr>
        <w:tc>
          <w:tcPr>
            <w:tcW w:w="680" w:type="dxa"/>
          </w:tcPr>
          <w:p w:rsidR="00557A6F" w:rsidRDefault="00557A6F" w:rsidP="00557A6F"/>
        </w:tc>
        <w:tc>
          <w:tcPr>
            <w:tcW w:w="680" w:type="dxa"/>
          </w:tcPr>
          <w:p w:rsidR="00557A6F" w:rsidRDefault="00557A6F" w:rsidP="00557A6F">
            <w:r>
              <w:t>25</w:t>
            </w:r>
          </w:p>
        </w:tc>
        <w:tc>
          <w:tcPr>
            <w:tcW w:w="3440" w:type="dxa"/>
          </w:tcPr>
          <w:p w:rsidR="00557A6F" w:rsidRDefault="00557A6F" w:rsidP="00557A6F">
            <w:r>
              <w:t>Medfinansieringsordning for digit</w:t>
            </w:r>
            <w:r>
              <w:t>a</w:t>
            </w:r>
            <w:r>
              <w:t>liseringsprosjekter</w:t>
            </w:r>
            <w:r>
              <w:rPr>
                <w:rStyle w:val="kursiv"/>
                <w:sz w:val="21"/>
                <w:szCs w:val="21"/>
              </w:rPr>
              <w:t xml:space="preserve">, kan overføres </w:t>
            </w:r>
          </w:p>
        </w:tc>
        <w:tc>
          <w:tcPr>
            <w:tcW w:w="1580" w:type="dxa"/>
          </w:tcPr>
          <w:p w:rsidR="00557A6F" w:rsidRDefault="00557A6F" w:rsidP="00557A6F"/>
        </w:tc>
        <w:tc>
          <w:tcPr>
            <w:tcW w:w="1580" w:type="dxa"/>
          </w:tcPr>
          <w:p w:rsidR="00557A6F" w:rsidRDefault="00557A6F" w:rsidP="00AF5F55">
            <w:pPr>
              <w:jc w:val="right"/>
            </w:pPr>
            <w:r>
              <w:t>146 077 000</w:t>
            </w: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26</w:t>
            </w:r>
          </w:p>
        </w:tc>
        <w:tc>
          <w:tcPr>
            <w:tcW w:w="3440" w:type="dxa"/>
          </w:tcPr>
          <w:p w:rsidR="00557A6F" w:rsidRDefault="00557A6F" w:rsidP="00557A6F">
            <w:r>
              <w:t>StimuLab</w:t>
            </w:r>
            <w:r>
              <w:rPr>
                <w:rStyle w:val="kursiv"/>
                <w:sz w:val="21"/>
                <w:szCs w:val="21"/>
              </w:rPr>
              <w:t xml:space="preserve">, kan overføres </w:t>
            </w:r>
          </w:p>
        </w:tc>
        <w:tc>
          <w:tcPr>
            <w:tcW w:w="1580" w:type="dxa"/>
          </w:tcPr>
          <w:p w:rsidR="00557A6F" w:rsidRDefault="00557A6F" w:rsidP="00557A6F"/>
        </w:tc>
        <w:tc>
          <w:tcPr>
            <w:tcW w:w="1580" w:type="dxa"/>
          </w:tcPr>
          <w:p w:rsidR="00557A6F" w:rsidRDefault="00557A6F" w:rsidP="00AF5F55">
            <w:pPr>
              <w:jc w:val="right"/>
            </w:pPr>
            <w:r>
              <w:t>20 298 000</w:t>
            </w: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28</w:t>
            </w:r>
          </w:p>
        </w:tc>
        <w:tc>
          <w:tcPr>
            <w:tcW w:w="3440" w:type="dxa"/>
          </w:tcPr>
          <w:p w:rsidR="00557A6F" w:rsidRDefault="00557A6F" w:rsidP="00557A6F">
            <w:r>
              <w:t>Altinn</w:t>
            </w:r>
            <w:r>
              <w:rPr>
                <w:rStyle w:val="kursiv"/>
                <w:sz w:val="21"/>
                <w:szCs w:val="21"/>
              </w:rPr>
              <w:t xml:space="preserve">, kan overføres </w:t>
            </w:r>
          </w:p>
        </w:tc>
        <w:tc>
          <w:tcPr>
            <w:tcW w:w="1580" w:type="dxa"/>
          </w:tcPr>
          <w:p w:rsidR="00557A6F" w:rsidRDefault="00557A6F" w:rsidP="00557A6F"/>
        </w:tc>
        <w:tc>
          <w:tcPr>
            <w:tcW w:w="1580" w:type="dxa"/>
          </w:tcPr>
          <w:p w:rsidR="00557A6F" w:rsidRDefault="00557A6F" w:rsidP="00AF5F55">
            <w:pPr>
              <w:jc w:val="right"/>
            </w:pPr>
            <w:r>
              <w:t>221 548 000</w:t>
            </w: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71</w:t>
            </w:r>
          </w:p>
        </w:tc>
        <w:tc>
          <w:tcPr>
            <w:tcW w:w="3440" w:type="dxa"/>
          </w:tcPr>
          <w:p w:rsidR="00557A6F" w:rsidRDefault="00557A6F" w:rsidP="00557A6F">
            <w:r>
              <w:t xml:space="preserve">IT-standardisering </w:t>
            </w:r>
          </w:p>
        </w:tc>
        <w:tc>
          <w:tcPr>
            <w:tcW w:w="1580" w:type="dxa"/>
          </w:tcPr>
          <w:p w:rsidR="00557A6F" w:rsidRDefault="00557A6F" w:rsidP="00557A6F"/>
        </w:tc>
        <w:tc>
          <w:tcPr>
            <w:tcW w:w="1580" w:type="dxa"/>
          </w:tcPr>
          <w:p w:rsidR="00557A6F" w:rsidRDefault="00557A6F" w:rsidP="00AF5F55">
            <w:pPr>
              <w:jc w:val="right"/>
            </w:pPr>
            <w:r>
              <w:t>811 000</w:t>
            </w:r>
          </w:p>
        </w:tc>
        <w:tc>
          <w:tcPr>
            <w:tcW w:w="1580" w:type="dxa"/>
          </w:tcPr>
          <w:p w:rsidR="00557A6F" w:rsidRDefault="00557A6F" w:rsidP="00AF5F55">
            <w:pPr>
              <w:jc w:val="right"/>
            </w:pPr>
            <w:r>
              <w:t>857 766 000</w:t>
            </w:r>
          </w:p>
        </w:tc>
      </w:tr>
      <w:tr w:rsidR="00557A6F" w:rsidTr="00AF5F55">
        <w:trPr>
          <w:trHeight w:val="380"/>
        </w:trPr>
        <w:tc>
          <w:tcPr>
            <w:tcW w:w="680" w:type="dxa"/>
          </w:tcPr>
          <w:p w:rsidR="00557A6F" w:rsidRDefault="00557A6F" w:rsidP="00557A6F">
            <w:r>
              <w:lastRenderedPageBreak/>
              <w:t>541</w:t>
            </w:r>
          </w:p>
        </w:tc>
        <w:tc>
          <w:tcPr>
            <w:tcW w:w="680" w:type="dxa"/>
          </w:tcPr>
          <w:p w:rsidR="00557A6F" w:rsidRDefault="00557A6F" w:rsidP="00557A6F"/>
        </w:tc>
        <w:tc>
          <w:tcPr>
            <w:tcW w:w="3440" w:type="dxa"/>
          </w:tcPr>
          <w:p w:rsidR="00557A6F" w:rsidRDefault="00557A6F" w:rsidP="00557A6F">
            <w:r>
              <w:t>IT- og ekompolitikk</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p>
        </w:tc>
      </w:tr>
      <w:tr w:rsidR="00557A6F" w:rsidTr="00AF5F55">
        <w:trPr>
          <w:trHeight w:val="1140"/>
        </w:trPr>
        <w:tc>
          <w:tcPr>
            <w:tcW w:w="680" w:type="dxa"/>
          </w:tcPr>
          <w:p w:rsidR="00557A6F" w:rsidRDefault="00557A6F" w:rsidP="00557A6F"/>
        </w:tc>
        <w:tc>
          <w:tcPr>
            <w:tcW w:w="680" w:type="dxa"/>
          </w:tcPr>
          <w:p w:rsidR="00557A6F" w:rsidRDefault="00557A6F" w:rsidP="00557A6F">
            <w:r>
              <w:t>22</w:t>
            </w:r>
          </w:p>
        </w:tc>
        <w:tc>
          <w:tcPr>
            <w:tcW w:w="3440" w:type="dxa"/>
          </w:tcPr>
          <w:p w:rsidR="00557A6F" w:rsidRDefault="00557A6F" w:rsidP="00557A6F">
            <w:r>
              <w:t xml:space="preserve">Utvikling, gjennomføring og </w:t>
            </w:r>
            <w:r>
              <w:br/>
              <w:t>samordning av IT- og ekompoliti</w:t>
            </w:r>
            <w:r>
              <w:t>k</w:t>
            </w:r>
            <w:r>
              <w:t>ken</w:t>
            </w:r>
            <w:r>
              <w:rPr>
                <w:rStyle w:val="kursiv"/>
                <w:sz w:val="21"/>
                <w:szCs w:val="21"/>
              </w:rPr>
              <w:t xml:space="preserve">, kan overføres, kan </w:t>
            </w:r>
            <w:r>
              <w:rPr>
                <w:rStyle w:val="kursiv"/>
                <w:sz w:val="21"/>
                <w:szCs w:val="21"/>
              </w:rPr>
              <w:br/>
              <w:t xml:space="preserve">nyttes under post 70 </w:t>
            </w:r>
          </w:p>
        </w:tc>
        <w:tc>
          <w:tcPr>
            <w:tcW w:w="1580" w:type="dxa"/>
          </w:tcPr>
          <w:p w:rsidR="00557A6F" w:rsidRDefault="00557A6F" w:rsidP="00557A6F"/>
        </w:tc>
        <w:tc>
          <w:tcPr>
            <w:tcW w:w="1580" w:type="dxa"/>
          </w:tcPr>
          <w:p w:rsidR="00557A6F" w:rsidRDefault="00557A6F" w:rsidP="00AF5F55">
            <w:pPr>
              <w:jc w:val="right"/>
            </w:pPr>
            <w:r>
              <w:t>20 723 000</w:t>
            </w: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50</w:t>
            </w:r>
          </w:p>
        </w:tc>
        <w:tc>
          <w:tcPr>
            <w:tcW w:w="3440" w:type="dxa"/>
          </w:tcPr>
          <w:p w:rsidR="00557A6F" w:rsidRDefault="00557A6F" w:rsidP="00557A6F">
            <w:r>
              <w:t xml:space="preserve">Forskningsprogrammer </w:t>
            </w:r>
          </w:p>
        </w:tc>
        <w:tc>
          <w:tcPr>
            <w:tcW w:w="1580" w:type="dxa"/>
          </w:tcPr>
          <w:p w:rsidR="00557A6F" w:rsidRDefault="00557A6F" w:rsidP="00557A6F"/>
        </w:tc>
        <w:tc>
          <w:tcPr>
            <w:tcW w:w="1580" w:type="dxa"/>
          </w:tcPr>
          <w:p w:rsidR="00557A6F" w:rsidRDefault="00557A6F" w:rsidP="00AF5F55">
            <w:pPr>
              <w:jc w:val="right"/>
            </w:pPr>
            <w:r>
              <w:t>205 617 000</w:t>
            </w: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60</w:t>
            </w:r>
          </w:p>
        </w:tc>
        <w:tc>
          <w:tcPr>
            <w:tcW w:w="3440" w:type="dxa"/>
          </w:tcPr>
          <w:p w:rsidR="00557A6F" w:rsidRDefault="00557A6F" w:rsidP="00557A6F">
            <w:r>
              <w:t xml:space="preserve">Bredbåndsutbygging </w:t>
            </w:r>
          </w:p>
        </w:tc>
        <w:tc>
          <w:tcPr>
            <w:tcW w:w="1580" w:type="dxa"/>
          </w:tcPr>
          <w:p w:rsidR="00557A6F" w:rsidRDefault="00557A6F" w:rsidP="00557A6F"/>
        </w:tc>
        <w:tc>
          <w:tcPr>
            <w:tcW w:w="1580" w:type="dxa"/>
          </w:tcPr>
          <w:p w:rsidR="00557A6F" w:rsidRDefault="00557A6F" w:rsidP="00AF5F55">
            <w:pPr>
              <w:jc w:val="right"/>
            </w:pPr>
            <w:r>
              <w:t>256 142 000</w:t>
            </w:r>
          </w:p>
        </w:tc>
        <w:tc>
          <w:tcPr>
            <w:tcW w:w="1580" w:type="dxa"/>
          </w:tcPr>
          <w:p w:rsidR="00557A6F" w:rsidRDefault="00557A6F" w:rsidP="00AF5F55">
            <w:pPr>
              <w:jc w:val="right"/>
            </w:pPr>
          </w:p>
        </w:tc>
      </w:tr>
      <w:tr w:rsidR="00557A6F" w:rsidTr="00AF5F55">
        <w:trPr>
          <w:trHeight w:val="880"/>
        </w:trPr>
        <w:tc>
          <w:tcPr>
            <w:tcW w:w="680" w:type="dxa"/>
          </w:tcPr>
          <w:p w:rsidR="00557A6F" w:rsidRDefault="00557A6F" w:rsidP="00557A6F"/>
        </w:tc>
        <w:tc>
          <w:tcPr>
            <w:tcW w:w="680" w:type="dxa"/>
          </w:tcPr>
          <w:p w:rsidR="00557A6F" w:rsidRDefault="00557A6F" w:rsidP="00557A6F">
            <w:r>
              <w:t>70</w:t>
            </w:r>
          </w:p>
        </w:tc>
        <w:tc>
          <w:tcPr>
            <w:tcW w:w="3440" w:type="dxa"/>
          </w:tcPr>
          <w:p w:rsidR="00557A6F" w:rsidRDefault="00557A6F" w:rsidP="00557A6F">
            <w:r>
              <w:t xml:space="preserve">Forvaltningsutvikling, IT- og </w:t>
            </w:r>
            <w:r>
              <w:br/>
              <w:t>ekompolitikk</w:t>
            </w:r>
            <w:r>
              <w:rPr>
                <w:rStyle w:val="kursiv"/>
                <w:sz w:val="21"/>
                <w:szCs w:val="21"/>
              </w:rPr>
              <w:t xml:space="preserve">, kan nyttes under </w:t>
            </w:r>
            <w:r>
              <w:rPr>
                <w:rStyle w:val="kursiv"/>
                <w:sz w:val="21"/>
                <w:szCs w:val="21"/>
              </w:rPr>
              <w:br/>
              <w:t xml:space="preserve">post 22 </w:t>
            </w:r>
          </w:p>
        </w:tc>
        <w:tc>
          <w:tcPr>
            <w:tcW w:w="1580" w:type="dxa"/>
          </w:tcPr>
          <w:p w:rsidR="00557A6F" w:rsidRDefault="00557A6F" w:rsidP="00557A6F"/>
        </w:tc>
        <w:tc>
          <w:tcPr>
            <w:tcW w:w="1580" w:type="dxa"/>
          </w:tcPr>
          <w:p w:rsidR="00557A6F" w:rsidRDefault="00557A6F" w:rsidP="00AF5F55">
            <w:pPr>
              <w:jc w:val="right"/>
            </w:pPr>
            <w:r>
              <w:t>15 287 000</w:t>
            </w:r>
          </w:p>
        </w:tc>
        <w:tc>
          <w:tcPr>
            <w:tcW w:w="1580" w:type="dxa"/>
          </w:tcPr>
          <w:p w:rsidR="00557A6F" w:rsidRDefault="00557A6F" w:rsidP="00AF5F55">
            <w:pPr>
              <w:jc w:val="right"/>
            </w:pPr>
            <w:r>
              <w:t>497 769 000</w:t>
            </w:r>
          </w:p>
        </w:tc>
      </w:tr>
      <w:tr w:rsidR="00557A6F" w:rsidTr="00AF5F55">
        <w:trPr>
          <w:trHeight w:val="380"/>
        </w:trPr>
        <w:tc>
          <w:tcPr>
            <w:tcW w:w="680" w:type="dxa"/>
          </w:tcPr>
          <w:p w:rsidR="00557A6F" w:rsidRDefault="00557A6F" w:rsidP="00557A6F">
            <w:r>
              <w:t>542</w:t>
            </w:r>
          </w:p>
        </w:tc>
        <w:tc>
          <w:tcPr>
            <w:tcW w:w="680" w:type="dxa"/>
          </w:tcPr>
          <w:p w:rsidR="00557A6F" w:rsidRDefault="00557A6F" w:rsidP="00557A6F"/>
        </w:tc>
        <w:tc>
          <w:tcPr>
            <w:tcW w:w="3440" w:type="dxa"/>
          </w:tcPr>
          <w:p w:rsidR="00557A6F" w:rsidRDefault="00557A6F" w:rsidP="00557A6F">
            <w:r>
              <w:t>Internasjonalt samarbeid</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01</w:t>
            </w:r>
          </w:p>
        </w:tc>
        <w:tc>
          <w:tcPr>
            <w:tcW w:w="3440" w:type="dxa"/>
          </w:tcPr>
          <w:p w:rsidR="00557A6F" w:rsidRDefault="00557A6F" w:rsidP="00557A6F">
            <w:r>
              <w:t xml:space="preserve">Driftsutgifter </w:t>
            </w:r>
          </w:p>
        </w:tc>
        <w:tc>
          <w:tcPr>
            <w:tcW w:w="1580" w:type="dxa"/>
          </w:tcPr>
          <w:p w:rsidR="00557A6F" w:rsidRDefault="00557A6F" w:rsidP="00557A6F"/>
        </w:tc>
        <w:tc>
          <w:tcPr>
            <w:tcW w:w="1580" w:type="dxa"/>
          </w:tcPr>
          <w:p w:rsidR="00557A6F" w:rsidRDefault="00557A6F" w:rsidP="00AF5F55">
            <w:pPr>
              <w:jc w:val="right"/>
            </w:pPr>
            <w:r>
              <w:t>4 882 000</w:t>
            </w:r>
          </w:p>
        </w:tc>
        <w:tc>
          <w:tcPr>
            <w:tcW w:w="1580" w:type="dxa"/>
          </w:tcPr>
          <w:p w:rsidR="00557A6F" w:rsidRDefault="00557A6F" w:rsidP="00AF5F55">
            <w:pPr>
              <w:jc w:val="right"/>
            </w:pPr>
          </w:p>
        </w:tc>
      </w:tr>
      <w:tr w:rsidR="00557A6F" w:rsidTr="00AF5F55">
        <w:trPr>
          <w:trHeight w:val="640"/>
        </w:trPr>
        <w:tc>
          <w:tcPr>
            <w:tcW w:w="680" w:type="dxa"/>
          </w:tcPr>
          <w:p w:rsidR="00557A6F" w:rsidRDefault="00557A6F" w:rsidP="00557A6F"/>
        </w:tc>
        <w:tc>
          <w:tcPr>
            <w:tcW w:w="680" w:type="dxa"/>
          </w:tcPr>
          <w:p w:rsidR="00557A6F" w:rsidRDefault="00557A6F" w:rsidP="00557A6F">
            <w:r>
              <w:t>70</w:t>
            </w:r>
          </w:p>
        </w:tc>
        <w:tc>
          <w:tcPr>
            <w:tcW w:w="3440" w:type="dxa"/>
          </w:tcPr>
          <w:p w:rsidR="00557A6F" w:rsidRDefault="00557A6F" w:rsidP="00557A6F">
            <w:r>
              <w:t>Internasjonale program</w:t>
            </w:r>
            <w:r>
              <w:rPr>
                <w:rStyle w:val="kursiv"/>
                <w:sz w:val="21"/>
                <w:szCs w:val="21"/>
              </w:rPr>
              <w:t xml:space="preserve">, </w:t>
            </w:r>
            <w:r>
              <w:rPr>
                <w:rStyle w:val="kursiv"/>
                <w:sz w:val="21"/>
                <w:szCs w:val="21"/>
              </w:rPr>
              <w:br/>
              <w:t xml:space="preserve">kan overføres </w:t>
            </w:r>
          </w:p>
        </w:tc>
        <w:tc>
          <w:tcPr>
            <w:tcW w:w="1580" w:type="dxa"/>
          </w:tcPr>
          <w:p w:rsidR="00557A6F" w:rsidRDefault="00557A6F" w:rsidP="00557A6F"/>
        </w:tc>
        <w:tc>
          <w:tcPr>
            <w:tcW w:w="1580" w:type="dxa"/>
          </w:tcPr>
          <w:p w:rsidR="00557A6F" w:rsidRDefault="00557A6F" w:rsidP="00AF5F55">
            <w:pPr>
              <w:jc w:val="right"/>
            </w:pPr>
            <w:r>
              <w:t>73 788 000</w:t>
            </w:r>
          </w:p>
        </w:tc>
        <w:tc>
          <w:tcPr>
            <w:tcW w:w="1580" w:type="dxa"/>
          </w:tcPr>
          <w:p w:rsidR="00557A6F" w:rsidRDefault="00557A6F" w:rsidP="00AF5F55">
            <w:pPr>
              <w:jc w:val="right"/>
            </w:pPr>
            <w:r>
              <w:t>78 670 000</w:t>
            </w:r>
          </w:p>
        </w:tc>
      </w:tr>
      <w:tr w:rsidR="00557A6F" w:rsidTr="00AF5F55">
        <w:trPr>
          <w:trHeight w:val="640"/>
        </w:trPr>
        <w:tc>
          <w:tcPr>
            <w:tcW w:w="680" w:type="dxa"/>
          </w:tcPr>
          <w:p w:rsidR="00557A6F" w:rsidRDefault="00557A6F" w:rsidP="00557A6F">
            <w:r>
              <w:t>543</w:t>
            </w:r>
          </w:p>
        </w:tc>
        <w:tc>
          <w:tcPr>
            <w:tcW w:w="680" w:type="dxa"/>
          </w:tcPr>
          <w:p w:rsidR="00557A6F" w:rsidRDefault="00557A6F" w:rsidP="00557A6F"/>
        </w:tc>
        <w:tc>
          <w:tcPr>
            <w:tcW w:w="3440" w:type="dxa"/>
          </w:tcPr>
          <w:p w:rsidR="00557A6F" w:rsidRDefault="00557A6F" w:rsidP="00557A6F">
            <w:r>
              <w:t>Nasjonal kommunikasjonsmyndi</w:t>
            </w:r>
            <w:r>
              <w:t>g</w:t>
            </w:r>
            <w:r>
              <w:t>het</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01</w:t>
            </w:r>
          </w:p>
        </w:tc>
        <w:tc>
          <w:tcPr>
            <w:tcW w:w="3440" w:type="dxa"/>
          </w:tcPr>
          <w:p w:rsidR="00557A6F" w:rsidRDefault="00557A6F" w:rsidP="00557A6F">
            <w:r>
              <w:t xml:space="preserve">Driftsutgifter </w:t>
            </w:r>
          </w:p>
        </w:tc>
        <w:tc>
          <w:tcPr>
            <w:tcW w:w="1580" w:type="dxa"/>
          </w:tcPr>
          <w:p w:rsidR="00557A6F" w:rsidRDefault="00557A6F" w:rsidP="00557A6F"/>
        </w:tc>
        <w:tc>
          <w:tcPr>
            <w:tcW w:w="1580" w:type="dxa"/>
          </w:tcPr>
          <w:p w:rsidR="00557A6F" w:rsidRDefault="00557A6F" w:rsidP="00AF5F55">
            <w:pPr>
              <w:jc w:val="right"/>
            </w:pPr>
            <w:r>
              <w:t>231 933 000</w:t>
            </w:r>
          </w:p>
        </w:tc>
        <w:tc>
          <w:tcPr>
            <w:tcW w:w="1580" w:type="dxa"/>
          </w:tcPr>
          <w:p w:rsidR="00557A6F" w:rsidRDefault="00557A6F" w:rsidP="00AF5F55">
            <w:pPr>
              <w:jc w:val="right"/>
            </w:pPr>
          </w:p>
        </w:tc>
      </w:tr>
      <w:tr w:rsidR="00557A6F" w:rsidTr="00AF5F55">
        <w:trPr>
          <w:trHeight w:val="640"/>
        </w:trPr>
        <w:tc>
          <w:tcPr>
            <w:tcW w:w="680" w:type="dxa"/>
          </w:tcPr>
          <w:p w:rsidR="00557A6F" w:rsidRDefault="00557A6F" w:rsidP="00557A6F"/>
        </w:tc>
        <w:tc>
          <w:tcPr>
            <w:tcW w:w="680" w:type="dxa"/>
          </w:tcPr>
          <w:p w:rsidR="00557A6F" w:rsidRDefault="00557A6F" w:rsidP="00557A6F">
            <w:r>
              <w:t>45</w:t>
            </w:r>
          </w:p>
        </w:tc>
        <w:tc>
          <w:tcPr>
            <w:tcW w:w="3440" w:type="dxa"/>
          </w:tcPr>
          <w:p w:rsidR="00557A6F" w:rsidRDefault="00557A6F" w:rsidP="00557A6F">
            <w:r>
              <w:t xml:space="preserve">Større utstyrsanskaffelser og </w:t>
            </w:r>
            <w:r>
              <w:br/>
              <w:t>vedlikehold</w:t>
            </w:r>
            <w:r>
              <w:rPr>
                <w:rStyle w:val="kursiv"/>
                <w:sz w:val="21"/>
                <w:szCs w:val="21"/>
              </w:rPr>
              <w:t xml:space="preserve">, kan overføres </w:t>
            </w:r>
          </w:p>
        </w:tc>
        <w:tc>
          <w:tcPr>
            <w:tcW w:w="1580" w:type="dxa"/>
          </w:tcPr>
          <w:p w:rsidR="00557A6F" w:rsidRDefault="00557A6F" w:rsidP="00557A6F"/>
        </w:tc>
        <w:tc>
          <w:tcPr>
            <w:tcW w:w="1580" w:type="dxa"/>
          </w:tcPr>
          <w:p w:rsidR="00557A6F" w:rsidRDefault="00557A6F" w:rsidP="00AF5F55">
            <w:pPr>
              <w:jc w:val="right"/>
            </w:pPr>
            <w:r>
              <w:t>15 785 000</w:t>
            </w:r>
          </w:p>
        </w:tc>
        <w:tc>
          <w:tcPr>
            <w:tcW w:w="1580" w:type="dxa"/>
          </w:tcPr>
          <w:p w:rsidR="00557A6F" w:rsidRDefault="00557A6F" w:rsidP="00AF5F55">
            <w:pPr>
              <w:jc w:val="right"/>
            </w:pPr>
          </w:p>
        </w:tc>
      </w:tr>
      <w:tr w:rsidR="00557A6F" w:rsidTr="00AF5F55">
        <w:trPr>
          <w:trHeight w:val="640"/>
        </w:trPr>
        <w:tc>
          <w:tcPr>
            <w:tcW w:w="680" w:type="dxa"/>
          </w:tcPr>
          <w:p w:rsidR="00557A6F" w:rsidRDefault="00557A6F" w:rsidP="00557A6F"/>
        </w:tc>
        <w:tc>
          <w:tcPr>
            <w:tcW w:w="680" w:type="dxa"/>
          </w:tcPr>
          <w:p w:rsidR="00557A6F" w:rsidRDefault="00557A6F" w:rsidP="00557A6F">
            <w:r>
              <w:t>70</w:t>
            </w:r>
          </w:p>
        </w:tc>
        <w:tc>
          <w:tcPr>
            <w:tcW w:w="3440" w:type="dxa"/>
          </w:tcPr>
          <w:p w:rsidR="00557A6F" w:rsidRDefault="00557A6F" w:rsidP="00557A6F">
            <w:r>
              <w:t>Telesikkerhet og -beredskap</w:t>
            </w:r>
            <w:r>
              <w:rPr>
                <w:rStyle w:val="kursiv"/>
                <w:sz w:val="21"/>
                <w:szCs w:val="21"/>
              </w:rPr>
              <w:t xml:space="preserve">, </w:t>
            </w:r>
            <w:r>
              <w:rPr>
                <w:rStyle w:val="kursiv"/>
                <w:sz w:val="21"/>
                <w:szCs w:val="21"/>
              </w:rPr>
              <w:br/>
              <w:t xml:space="preserve">kan overføres </w:t>
            </w:r>
          </w:p>
        </w:tc>
        <w:tc>
          <w:tcPr>
            <w:tcW w:w="1580" w:type="dxa"/>
          </w:tcPr>
          <w:p w:rsidR="00557A6F" w:rsidRDefault="00557A6F" w:rsidP="00557A6F"/>
        </w:tc>
        <w:tc>
          <w:tcPr>
            <w:tcW w:w="1580" w:type="dxa"/>
          </w:tcPr>
          <w:p w:rsidR="00557A6F" w:rsidRDefault="00557A6F" w:rsidP="00AF5F55">
            <w:pPr>
              <w:jc w:val="right"/>
            </w:pPr>
            <w:r>
              <w:t>141 369 000</w:t>
            </w:r>
          </w:p>
        </w:tc>
        <w:tc>
          <w:tcPr>
            <w:tcW w:w="1580" w:type="dxa"/>
          </w:tcPr>
          <w:p w:rsidR="00557A6F" w:rsidRDefault="00557A6F" w:rsidP="00AF5F55">
            <w:pPr>
              <w:jc w:val="right"/>
            </w:pPr>
            <w:r>
              <w:t>389 087 000</w:t>
            </w:r>
          </w:p>
        </w:tc>
      </w:tr>
      <w:tr w:rsidR="00557A6F" w:rsidTr="00AF5F55">
        <w:trPr>
          <w:trHeight w:val="640"/>
        </w:trPr>
        <w:tc>
          <w:tcPr>
            <w:tcW w:w="680" w:type="dxa"/>
          </w:tcPr>
          <w:p w:rsidR="00557A6F" w:rsidRDefault="00557A6F" w:rsidP="00557A6F"/>
        </w:tc>
        <w:tc>
          <w:tcPr>
            <w:tcW w:w="680" w:type="dxa"/>
          </w:tcPr>
          <w:p w:rsidR="00557A6F" w:rsidRDefault="00557A6F" w:rsidP="00557A6F"/>
        </w:tc>
        <w:tc>
          <w:tcPr>
            <w:tcW w:w="3440" w:type="dxa"/>
          </w:tcPr>
          <w:p w:rsidR="00557A6F" w:rsidRDefault="00557A6F" w:rsidP="00557A6F">
            <w:r>
              <w:t>Sum Forvaltningsutvikling, IT- og ekompolitikk</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r>
              <w:t>1 823 292 000</w:t>
            </w:r>
          </w:p>
        </w:tc>
      </w:tr>
      <w:tr w:rsidR="00557A6F" w:rsidTr="00AF5F55">
        <w:trPr>
          <w:trHeight w:val="380"/>
        </w:trPr>
        <w:tc>
          <w:tcPr>
            <w:tcW w:w="9540" w:type="dxa"/>
            <w:gridSpan w:val="6"/>
          </w:tcPr>
          <w:p w:rsidR="00557A6F" w:rsidRDefault="00557A6F" w:rsidP="00AF5F55">
            <w:pPr>
              <w:jc w:val="center"/>
            </w:pPr>
            <w:r>
              <w:t>Personvern</w:t>
            </w:r>
          </w:p>
        </w:tc>
      </w:tr>
      <w:tr w:rsidR="00557A6F" w:rsidTr="00AF5F55">
        <w:trPr>
          <w:trHeight w:val="380"/>
        </w:trPr>
        <w:tc>
          <w:tcPr>
            <w:tcW w:w="680" w:type="dxa"/>
          </w:tcPr>
          <w:p w:rsidR="00557A6F" w:rsidRDefault="00557A6F" w:rsidP="00557A6F">
            <w:r>
              <w:t>545</w:t>
            </w:r>
          </w:p>
        </w:tc>
        <w:tc>
          <w:tcPr>
            <w:tcW w:w="680" w:type="dxa"/>
          </w:tcPr>
          <w:p w:rsidR="00557A6F" w:rsidRDefault="00557A6F" w:rsidP="00557A6F"/>
        </w:tc>
        <w:tc>
          <w:tcPr>
            <w:tcW w:w="3440" w:type="dxa"/>
          </w:tcPr>
          <w:p w:rsidR="00557A6F" w:rsidRDefault="00557A6F" w:rsidP="00557A6F">
            <w:r>
              <w:t>Datatilsynet</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01</w:t>
            </w:r>
          </w:p>
        </w:tc>
        <w:tc>
          <w:tcPr>
            <w:tcW w:w="3440" w:type="dxa"/>
          </w:tcPr>
          <w:p w:rsidR="00557A6F" w:rsidRDefault="00557A6F" w:rsidP="00557A6F">
            <w:r>
              <w:t xml:space="preserve">Driftsutgifter </w:t>
            </w:r>
          </w:p>
        </w:tc>
        <w:tc>
          <w:tcPr>
            <w:tcW w:w="1580" w:type="dxa"/>
          </w:tcPr>
          <w:p w:rsidR="00557A6F" w:rsidRDefault="00557A6F" w:rsidP="00557A6F"/>
        </w:tc>
        <w:tc>
          <w:tcPr>
            <w:tcW w:w="1580" w:type="dxa"/>
          </w:tcPr>
          <w:p w:rsidR="00557A6F" w:rsidRDefault="00557A6F" w:rsidP="00AF5F55">
            <w:pPr>
              <w:jc w:val="right"/>
            </w:pPr>
            <w:r>
              <w:t>66 478 000</w:t>
            </w:r>
          </w:p>
        </w:tc>
        <w:tc>
          <w:tcPr>
            <w:tcW w:w="1580" w:type="dxa"/>
          </w:tcPr>
          <w:p w:rsidR="00557A6F" w:rsidRDefault="00557A6F" w:rsidP="00AF5F55">
            <w:pPr>
              <w:jc w:val="right"/>
            </w:pPr>
            <w:r>
              <w:t>66 478 000</w:t>
            </w:r>
          </w:p>
        </w:tc>
      </w:tr>
      <w:tr w:rsidR="00557A6F" w:rsidTr="00AF5F55">
        <w:trPr>
          <w:trHeight w:val="380"/>
        </w:trPr>
        <w:tc>
          <w:tcPr>
            <w:tcW w:w="680" w:type="dxa"/>
          </w:tcPr>
          <w:p w:rsidR="00557A6F" w:rsidRDefault="00557A6F" w:rsidP="00557A6F">
            <w:r>
              <w:t>546</w:t>
            </w:r>
          </w:p>
        </w:tc>
        <w:tc>
          <w:tcPr>
            <w:tcW w:w="680" w:type="dxa"/>
          </w:tcPr>
          <w:p w:rsidR="00557A6F" w:rsidRDefault="00557A6F" w:rsidP="00557A6F"/>
        </w:tc>
        <w:tc>
          <w:tcPr>
            <w:tcW w:w="3440" w:type="dxa"/>
          </w:tcPr>
          <w:p w:rsidR="00557A6F" w:rsidRDefault="00557A6F" w:rsidP="00557A6F">
            <w:r>
              <w:t>Personvernnemnda</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01</w:t>
            </w:r>
          </w:p>
        </w:tc>
        <w:tc>
          <w:tcPr>
            <w:tcW w:w="3440" w:type="dxa"/>
          </w:tcPr>
          <w:p w:rsidR="00557A6F" w:rsidRDefault="00557A6F" w:rsidP="00557A6F">
            <w:r>
              <w:t xml:space="preserve">Driftsutgifter </w:t>
            </w:r>
          </w:p>
        </w:tc>
        <w:tc>
          <w:tcPr>
            <w:tcW w:w="1580" w:type="dxa"/>
          </w:tcPr>
          <w:p w:rsidR="00557A6F" w:rsidRDefault="00557A6F" w:rsidP="00557A6F"/>
        </w:tc>
        <w:tc>
          <w:tcPr>
            <w:tcW w:w="1580" w:type="dxa"/>
          </w:tcPr>
          <w:p w:rsidR="00557A6F" w:rsidRDefault="00557A6F" w:rsidP="00AF5F55">
            <w:pPr>
              <w:jc w:val="right"/>
            </w:pPr>
            <w:r>
              <w:t>2 564 000</w:t>
            </w:r>
          </w:p>
        </w:tc>
        <w:tc>
          <w:tcPr>
            <w:tcW w:w="1580" w:type="dxa"/>
          </w:tcPr>
          <w:p w:rsidR="00557A6F" w:rsidRDefault="00557A6F" w:rsidP="00AF5F55">
            <w:pPr>
              <w:jc w:val="right"/>
            </w:pPr>
            <w:r>
              <w:t>2 564 000</w:t>
            </w:r>
          </w:p>
        </w:tc>
      </w:tr>
      <w:tr w:rsidR="00557A6F" w:rsidTr="00AF5F55">
        <w:trPr>
          <w:trHeight w:val="380"/>
        </w:trPr>
        <w:tc>
          <w:tcPr>
            <w:tcW w:w="680" w:type="dxa"/>
          </w:tcPr>
          <w:p w:rsidR="00557A6F" w:rsidRDefault="00557A6F" w:rsidP="00557A6F"/>
        </w:tc>
        <w:tc>
          <w:tcPr>
            <w:tcW w:w="680" w:type="dxa"/>
          </w:tcPr>
          <w:p w:rsidR="00557A6F" w:rsidRDefault="00557A6F" w:rsidP="00557A6F"/>
        </w:tc>
        <w:tc>
          <w:tcPr>
            <w:tcW w:w="3440" w:type="dxa"/>
          </w:tcPr>
          <w:p w:rsidR="00557A6F" w:rsidRDefault="00557A6F" w:rsidP="00557A6F">
            <w:r>
              <w:t>Sum Personvern</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r>
              <w:t>69 042 000</w:t>
            </w:r>
          </w:p>
        </w:tc>
      </w:tr>
      <w:tr w:rsidR="00557A6F" w:rsidTr="00AF5F55">
        <w:trPr>
          <w:trHeight w:val="380"/>
        </w:trPr>
        <w:tc>
          <w:tcPr>
            <w:tcW w:w="9540" w:type="dxa"/>
            <w:gridSpan w:val="6"/>
          </w:tcPr>
          <w:p w:rsidR="00557A6F" w:rsidRDefault="00557A6F" w:rsidP="00AF5F55">
            <w:pPr>
              <w:jc w:val="center"/>
            </w:pPr>
            <w:r>
              <w:t>Distrikts- og regionalpolitikk</w:t>
            </w:r>
          </w:p>
        </w:tc>
      </w:tr>
      <w:tr w:rsidR="00557A6F" w:rsidTr="00AF5F55">
        <w:trPr>
          <w:trHeight w:val="380"/>
        </w:trPr>
        <w:tc>
          <w:tcPr>
            <w:tcW w:w="680" w:type="dxa"/>
          </w:tcPr>
          <w:p w:rsidR="00557A6F" w:rsidRDefault="00557A6F" w:rsidP="00557A6F">
            <w:r>
              <w:lastRenderedPageBreak/>
              <w:t>553</w:t>
            </w:r>
          </w:p>
        </w:tc>
        <w:tc>
          <w:tcPr>
            <w:tcW w:w="680" w:type="dxa"/>
          </w:tcPr>
          <w:p w:rsidR="00557A6F" w:rsidRDefault="00557A6F" w:rsidP="00557A6F"/>
        </w:tc>
        <w:tc>
          <w:tcPr>
            <w:tcW w:w="3440" w:type="dxa"/>
          </w:tcPr>
          <w:p w:rsidR="00557A6F" w:rsidRDefault="00557A6F" w:rsidP="00557A6F">
            <w:r>
              <w:t>Regional- og distriktsutvikling</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p>
        </w:tc>
      </w:tr>
      <w:tr w:rsidR="00557A6F" w:rsidTr="00AF5F55">
        <w:trPr>
          <w:trHeight w:val="640"/>
        </w:trPr>
        <w:tc>
          <w:tcPr>
            <w:tcW w:w="680" w:type="dxa"/>
          </w:tcPr>
          <w:p w:rsidR="00557A6F" w:rsidRDefault="00557A6F" w:rsidP="00557A6F"/>
        </w:tc>
        <w:tc>
          <w:tcPr>
            <w:tcW w:w="680" w:type="dxa"/>
          </w:tcPr>
          <w:p w:rsidR="00557A6F" w:rsidRDefault="00557A6F" w:rsidP="00557A6F">
            <w:r>
              <w:t>61</w:t>
            </w:r>
          </w:p>
        </w:tc>
        <w:tc>
          <w:tcPr>
            <w:tcW w:w="3440" w:type="dxa"/>
          </w:tcPr>
          <w:p w:rsidR="00557A6F" w:rsidRDefault="00557A6F" w:rsidP="00557A6F">
            <w:r>
              <w:t xml:space="preserve">Mobiliserende og kvalifiserende næringsutvikling </w:t>
            </w:r>
          </w:p>
        </w:tc>
        <w:tc>
          <w:tcPr>
            <w:tcW w:w="1580" w:type="dxa"/>
          </w:tcPr>
          <w:p w:rsidR="00557A6F" w:rsidRDefault="00557A6F" w:rsidP="00557A6F"/>
        </w:tc>
        <w:tc>
          <w:tcPr>
            <w:tcW w:w="1580" w:type="dxa"/>
          </w:tcPr>
          <w:p w:rsidR="00557A6F" w:rsidRDefault="00557A6F" w:rsidP="00AF5F55">
            <w:pPr>
              <w:jc w:val="right"/>
            </w:pPr>
            <w:r>
              <w:t>763 307 000</w:t>
            </w: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62</w:t>
            </w:r>
          </w:p>
        </w:tc>
        <w:tc>
          <w:tcPr>
            <w:tcW w:w="3440" w:type="dxa"/>
          </w:tcPr>
          <w:p w:rsidR="00557A6F" w:rsidRDefault="00557A6F" w:rsidP="00557A6F">
            <w:r>
              <w:t>Kompetansepiloter</w:t>
            </w:r>
            <w:r>
              <w:rPr>
                <w:rStyle w:val="kursiv"/>
                <w:sz w:val="21"/>
                <w:szCs w:val="21"/>
              </w:rPr>
              <w:t xml:space="preserve">, kan overføres </w:t>
            </w:r>
          </w:p>
        </w:tc>
        <w:tc>
          <w:tcPr>
            <w:tcW w:w="1580" w:type="dxa"/>
          </w:tcPr>
          <w:p w:rsidR="00557A6F" w:rsidRDefault="00557A6F" w:rsidP="00557A6F"/>
        </w:tc>
        <w:tc>
          <w:tcPr>
            <w:tcW w:w="1580" w:type="dxa"/>
          </w:tcPr>
          <w:p w:rsidR="00557A6F" w:rsidRDefault="00557A6F" w:rsidP="00AF5F55">
            <w:pPr>
              <w:jc w:val="right"/>
            </w:pPr>
            <w:r>
              <w:t>16 411 000</w:t>
            </w: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63</w:t>
            </w:r>
          </w:p>
        </w:tc>
        <w:tc>
          <w:tcPr>
            <w:tcW w:w="3440" w:type="dxa"/>
          </w:tcPr>
          <w:p w:rsidR="00557A6F" w:rsidRDefault="00557A6F" w:rsidP="00557A6F">
            <w:r>
              <w:t xml:space="preserve">Interreg og Arktis 2030 </w:t>
            </w:r>
          </w:p>
        </w:tc>
        <w:tc>
          <w:tcPr>
            <w:tcW w:w="1580" w:type="dxa"/>
          </w:tcPr>
          <w:p w:rsidR="00557A6F" w:rsidRDefault="00557A6F" w:rsidP="00557A6F"/>
        </w:tc>
        <w:tc>
          <w:tcPr>
            <w:tcW w:w="1580" w:type="dxa"/>
          </w:tcPr>
          <w:p w:rsidR="00557A6F" w:rsidRDefault="00557A6F" w:rsidP="00AF5F55">
            <w:pPr>
              <w:jc w:val="right"/>
            </w:pPr>
            <w:r>
              <w:t>101 404 000</w:t>
            </w: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65</w:t>
            </w:r>
          </w:p>
        </w:tc>
        <w:tc>
          <w:tcPr>
            <w:tcW w:w="3440" w:type="dxa"/>
          </w:tcPr>
          <w:p w:rsidR="00557A6F" w:rsidRDefault="00557A6F" w:rsidP="00557A6F">
            <w:r>
              <w:t xml:space="preserve">Omstilling </w:t>
            </w:r>
          </w:p>
        </w:tc>
        <w:tc>
          <w:tcPr>
            <w:tcW w:w="1580" w:type="dxa"/>
          </w:tcPr>
          <w:p w:rsidR="00557A6F" w:rsidRDefault="00557A6F" w:rsidP="00557A6F"/>
        </w:tc>
        <w:tc>
          <w:tcPr>
            <w:tcW w:w="1580" w:type="dxa"/>
          </w:tcPr>
          <w:p w:rsidR="00557A6F" w:rsidRDefault="00557A6F" w:rsidP="00AF5F55">
            <w:pPr>
              <w:jc w:val="right"/>
            </w:pPr>
            <w:r>
              <w:t>66 000 000</w:t>
            </w: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74</w:t>
            </w:r>
          </w:p>
        </w:tc>
        <w:tc>
          <w:tcPr>
            <w:tcW w:w="3440" w:type="dxa"/>
          </w:tcPr>
          <w:p w:rsidR="00557A6F" w:rsidRDefault="00557A6F" w:rsidP="00557A6F">
            <w:r>
              <w:t xml:space="preserve">Klynger og innovasjon </w:t>
            </w:r>
          </w:p>
        </w:tc>
        <w:tc>
          <w:tcPr>
            <w:tcW w:w="1580" w:type="dxa"/>
          </w:tcPr>
          <w:p w:rsidR="00557A6F" w:rsidRDefault="00557A6F" w:rsidP="00557A6F"/>
        </w:tc>
        <w:tc>
          <w:tcPr>
            <w:tcW w:w="1580" w:type="dxa"/>
          </w:tcPr>
          <w:p w:rsidR="00557A6F" w:rsidRDefault="00557A6F" w:rsidP="00AF5F55">
            <w:pPr>
              <w:jc w:val="right"/>
            </w:pPr>
            <w:r>
              <w:t>215 954 000</w:t>
            </w:r>
          </w:p>
        </w:tc>
        <w:tc>
          <w:tcPr>
            <w:tcW w:w="1580" w:type="dxa"/>
          </w:tcPr>
          <w:p w:rsidR="00557A6F" w:rsidRDefault="00557A6F" w:rsidP="00AF5F55">
            <w:pPr>
              <w:jc w:val="right"/>
            </w:pPr>
          </w:p>
        </w:tc>
      </w:tr>
      <w:tr w:rsidR="00557A6F" w:rsidTr="00AF5F55">
        <w:trPr>
          <w:trHeight w:val="640"/>
        </w:trPr>
        <w:tc>
          <w:tcPr>
            <w:tcW w:w="680" w:type="dxa"/>
          </w:tcPr>
          <w:p w:rsidR="00557A6F" w:rsidRDefault="00557A6F" w:rsidP="00557A6F"/>
        </w:tc>
        <w:tc>
          <w:tcPr>
            <w:tcW w:w="680" w:type="dxa"/>
          </w:tcPr>
          <w:p w:rsidR="00557A6F" w:rsidRDefault="00557A6F" w:rsidP="00557A6F">
            <w:r>
              <w:t>76</w:t>
            </w:r>
          </w:p>
        </w:tc>
        <w:tc>
          <w:tcPr>
            <w:tcW w:w="3440" w:type="dxa"/>
          </w:tcPr>
          <w:p w:rsidR="00557A6F" w:rsidRDefault="00557A6F" w:rsidP="00557A6F">
            <w:r>
              <w:t>Nordisk og europeisk samarbeid</w:t>
            </w:r>
            <w:r>
              <w:rPr>
                <w:rStyle w:val="kursiv"/>
                <w:sz w:val="21"/>
                <w:szCs w:val="21"/>
              </w:rPr>
              <w:t xml:space="preserve">, kan overføres </w:t>
            </w:r>
          </w:p>
        </w:tc>
        <w:tc>
          <w:tcPr>
            <w:tcW w:w="1580" w:type="dxa"/>
          </w:tcPr>
          <w:p w:rsidR="00557A6F" w:rsidRDefault="00557A6F" w:rsidP="00557A6F"/>
        </w:tc>
        <w:tc>
          <w:tcPr>
            <w:tcW w:w="1580" w:type="dxa"/>
          </w:tcPr>
          <w:p w:rsidR="00557A6F" w:rsidRDefault="00557A6F" w:rsidP="00AF5F55">
            <w:pPr>
              <w:jc w:val="right"/>
            </w:pPr>
            <w:r>
              <w:t>30 870 000</w:t>
            </w:r>
          </w:p>
        </w:tc>
        <w:tc>
          <w:tcPr>
            <w:tcW w:w="1580" w:type="dxa"/>
          </w:tcPr>
          <w:p w:rsidR="00557A6F" w:rsidRDefault="00557A6F" w:rsidP="00AF5F55">
            <w:pPr>
              <w:jc w:val="right"/>
            </w:pPr>
            <w:r>
              <w:t>1 193 946 000</w:t>
            </w:r>
          </w:p>
        </w:tc>
      </w:tr>
      <w:tr w:rsidR="00557A6F" w:rsidTr="00AF5F55">
        <w:trPr>
          <w:trHeight w:val="640"/>
        </w:trPr>
        <w:tc>
          <w:tcPr>
            <w:tcW w:w="680" w:type="dxa"/>
          </w:tcPr>
          <w:p w:rsidR="00557A6F" w:rsidRDefault="00557A6F" w:rsidP="00557A6F">
            <w:r>
              <w:t>554</w:t>
            </w:r>
          </w:p>
        </w:tc>
        <w:tc>
          <w:tcPr>
            <w:tcW w:w="680" w:type="dxa"/>
          </w:tcPr>
          <w:p w:rsidR="00557A6F" w:rsidRDefault="00557A6F" w:rsidP="00557A6F"/>
        </w:tc>
        <w:tc>
          <w:tcPr>
            <w:tcW w:w="3440" w:type="dxa"/>
          </w:tcPr>
          <w:p w:rsidR="00557A6F" w:rsidRDefault="00557A6F" w:rsidP="00557A6F">
            <w:r>
              <w:t>Kompetansesenter for distriktsu</w:t>
            </w:r>
            <w:r>
              <w:t>t</w:t>
            </w:r>
            <w:r>
              <w:t>vikling</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01</w:t>
            </w:r>
          </w:p>
        </w:tc>
        <w:tc>
          <w:tcPr>
            <w:tcW w:w="3440" w:type="dxa"/>
          </w:tcPr>
          <w:p w:rsidR="00557A6F" w:rsidRDefault="00557A6F" w:rsidP="00557A6F">
            <w:r>
              <w:t xml:space="preserve">Driftsutgifter </w:t>
            </w:r>
          </w:p>
        </w:tc>
        <w:tc>
          <w:tcPr>
            <w:tcW w:w="1580" w:type="dxa"/>
          </w:tcPr>
          <w:p w:rsidR="00557A6F" w:rsidRDefault="00557A6F" w:rsidP="00557A6F"/>
        </w:tc>
        <w:tc>
          <w:tcPr>
            <w:tcW w:w="1580" w:type="dxa"/>
          </w:tcPr>
          <w:p w:rsidR="00557A6F" w:rsidRDefault="00557A6F" w:rsidP="00AF5F55">
            <w:pPr>
              <w:jc w:val="right"/>
            </w:pPr>
            <w:r>
              <w:t>33 343 000</w:t>
            </w: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73</w:t>
            </w:r>
          </w:p>
        </w:tc>
        <w:tc>
          <w:tcPr>
            <w:tcW w:w="3440" w:type="dxa"/>
          </w:tcPr>
          <w:p w:rsidR="00557A6F" w:rsidRDefault="00557A6F" w:rsidP="00557A6F">
            <w:r>
              <w:t>Merkur</w:t>
            </w:r>
            <w:r>
              <w:rPr>
                <w:rStyle w:val="kursiv"/>
                <w:sz w:val="21"/>
                <w:szCs w:val="21"/>
              </w:rPr>
              <w:t xml:space="preserve">, kan overføres </w:t>
            </w:r>
          </w:p>
        </w:tc>
        <w:tc>
          <w:tcPr>
            <w:tcW w:w="1580" w:type="dxa"/>
          </w:tcPr>
          <w:p w:rsidR="00557A6F" w:rsidRDefault="00557A6F" w:rsidP="00557A6F"/>
        </w:tc>
        <w:tc>
          <w:tcPr>
            <w:tcW w:w="1580" w:type="dxa"/>
          </w:tcPr>
          <w:p w:rsidR="00557A6F" w:rsidRDefault="00557A6F" w:rsidP="00AF5F55">
            <w:pPr>
              <w:jc w:val="right"/>
            </w:pPr>
            <w:r>
              <w:t>59 409 000</w:t>
            </w:r>
          </w:p>
        </w:tc>
        <w:tc>
          <w:tcPr>
            <w:tcW w:w="1580" w:type="dxa"/>
          </w:tcPr>
          <w:p w:rsidR="00557A6F" w:rsidRDefault="00557A6F" w:rsidP="00AF5F55">
            <w:pPr>
              <w:jc w:val="right"/>
            </w:pPr>
            <w:r>
              <w:t>92 752 000</w:t>
            </w:r>
          </w:p>
        </w:tc>
      </w:tr>
      <w:tr w:rsidR="00557A6F" w:rsidTr="00AF5F55">
        <w:trPr>
          <w:trHeight w:val="380"/>
        </w:trPr>
        <w:tc>
          <w:tcPr>
            <w:tcW w:w="680" w:type="dxa"/>
          </w:tcPr>
          <w:p w:rsidR="00557A6F" w:rsidRDefault="00557A6F" w:rsidP="00557A6F"/>
        </w:tc>
        <w:tc>
          <w:tcPr>
            <w:tcW w:w="680" w:type="dxa"/>
          </w:tcPr>
          <w:p w:rsidR="00557A6F" w:rsidRDefault="00557A6F" w:rsidP="00557A6F"/>
        </w:tc>
        <w:tc>
          <w:tcPr>
            <w:tcW w:w="3440" w:type="dxa"/>
          </w:tcPr>
          <w:p w:rsidR="00557A6F" w:rsidRDefault="00557A6F" w:rsidP="00557A6F">
            <w:r>
              <w:t>Sum Distrikts- og regionalpolitikk</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r>
              <w:t>1 286 698 000</w:t>
            </w:r>
          </w:p>
        </w:tc>
      </w:tr>
      <w:tr w:rsidR="00557A6F" w:rsidTr="00AF5F55">
        <w:trPr>
          <w:trHeight w:val="380"/>
        </w:trPr>
        <w:tc>
          <w:tcPr>
            <w:tcW w:w="9540" w:type="dxa"/>
            <w:gridSpan w:val="6"/>
          </w:tcPr>
          <w:p w:rsidR="00557A6F" w:rsidRDefault="00557A6F" w:rsidP="00AF5F55">
            <w:pPr>
              <w:jc w:val="center"/>
            </w:pPr>
            <w:r>
              <w:t>Samiske formål</w:t>
            </w:r>
          </w:p>
        </w:tc>
      </w:tr>
      <w:tr w:rsidR="00557A6F" w:rsidTr="00AF5F55">
        <w:trPr>
          <w:trHeight w:val="380"/>
        </w:trPr>
        <w:tc>
          <w:tcPr>
            <w:tcW w:w="680" w:type="dxa"/>
          </w:tcPr>
          <w:p w:rsidR="00557A6F" w:rsidRDefault="00557A6F" w:rsidP="00557A6F">
            <w:r>
              <w:t>560</w:t>
            </w:r>
          </w:p>
        </w:tc>
        <w:tc>
          <w:tcPr>
            <w:tcW w:w="680" w:type="dxa"/>
          </w:tcPr>
          <w:p w:rsidR="00557A6F" w:rsidRDefault="00557A6F" w:rsidP="00557A6F"/>
        </w:tc>
        <w:tc>
          <w:tcPr>
            <w:tcW w:w="3440" w:type="dxa"/>
          </w:tcPr>
          <w:p w:rsidR="00557A6F" w:rsidRDefault="00557A6F" w:rsidP="00557A6F">
            <w:r>
              <w:t>Samiske formål</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50</w:t>
            </w:r>
          </w:p>
        </w:tc>
        <w:tc>
          <w:tcPr>
            <w:tcW w:w="3440" w:type="dxa"/>
          </w:tcPr>
          <w:p w:rsidR="00557A6F" w:rsidRDefault="00557A6F" w:rsidP="00557A6F">
            <w:r>
              <w:t>Samisk språk, kultur og sa</w:t>
            </w:r>
            <w:r>
              <w:t>m</w:t>
            </w:r>
            <w:r>
              <w:t xml:space="preserve">funnsliv </w:t>
            </w:r>
          </w:p>
        </w:tc>
        <w:tc>
          <w:tcPr>
            <w:tcW w:w="1580" w:type="dxa"/>
          </w:tcPr>
          <w:p w:rsidR="00557A6F" w:rsidRDefault="00557A6F" w:rsidP="00557A6F"/>
        </w:tc>
        <w:tc>
          <w:tcPr>
            <w:tcW w:w="1580" w:type="dxa"/>
          </w:tcPr>
          <w:p w:rsidR="00557A6F" w:rsidRDefault="00557A6F" w:rsidP="00AF5F55">
            <w:pPr>
              <w:jc w:val="right"/>
            </w:pPr>
            <w:r>
              <w:t>512 861 000</w:t>
            </w: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51</w:t>
            </w:r>
          </w:p>
        </w:tc>
        <w:tc>
          <w:tcPr>
            <w:tcW w:w="3440" w:type="dxa"/>
          </w:tcPr>
          <w:p w:rsidR="00557A6F" w:rsidRDefault="00557A6F" w:rsidP="00557A6F">
            <w:r>
              <w:t xml:space="preserve">Divvun </w:t>
            </w:r>
          </w:p>
        </w:tc>
        <w:tc>
          <w:tcPr>
            <w:tcW w:w="1580" w:type="dxa"/>
          </w:tcPr>
          <w:p w:rsidR="00557A6F" w:rsidRDefault="00557A6F" w:rsidP="00557A6F"/>
        </w:tc>
        <w:tc>
          <w:tcPr>
            <w:tcW w:w="1580" w:type="dxa"/>
          </w:tcPr>
          <w:p w:rsidR="00557A6F" w:rsidRDefault="00557A6F" w:rsidP="00AF5F55">
            <w:pPr>
              <w:jc w:val="right"/>
            </w:pPr>
            <w:r>
              <w:t>7 428 000</w:t>
            </w: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55</w:t>
            </w:r>
          </w:p>
        </w:tc>
        <w:tc>
          <w:tcPr>
            <w:tcW w:w="3440" w:type="dxa"/>
          </w:tcPr>
          <w:p w:rsidR="00557A6F" w:rsidRDefault="00557A6F" w:rsidP="00557A6F">
            <w:r>
              <w:t xml:space="preserve">Samisk høgskole </w:t>
            </w:r>
          </w:p>
        </w:tc>
        <w:tc>
          <w:tcPr>
            <w:tcW w:w="1580" w:type="dxa"/>
          </w:tcPr>
          <w:p w:rsidR="00557A6F" w:rsidRDefault="00557A6F" w:rsidP="00557A6F"/>
        </w:tc>
        <w:tc>
          <w:tcPr>
            <w:tcW w:w="1580" w:type="dxa"/>
          </w:tcPr>
          <w:p w:rsidR="00557A6F" w:rsidRDefault="00557A6F" w:rsidP="00AF5F55">
            <w:pPr>
              <w:jc w:val="right"/>
            </w:pPr>
            <w:r>
              <w:t>5 363 000</w:t>
            </w:r>
          </w:p>
        </w:tc>
        <w:tc>
          <w:tcPr>
            <w:tcW w:w="1580" w:type="dxa"/>
          </w:tcPr>
          <w:p w:rsidR="00557A6F" w:rsidRDefault="00557A6F" w:rsidP="00AF5F55">
            <w:pPr>
              <w:jc w:val="right"/>
            </w:pPr>
            <w:r>
              <w:t>525 652 000</w:t>
            </w:r>
          </w:p>
        </w:tc>
      </w:tr>
      <w:tr w:rsidR="00557A6F" w:rsidTr="00AF5F55">
        <w:trPr>
          <w:trHeight w:val="380"/>
        </w:trPr>
        <w:tc>
          <w:tcPr>
            <w:tcW w:w="680" w:type="dxa"/>
          </w:tcPr>
          <w:p w:rsidR="00557A6F" w:rsidRDefault="00557A6F" w:rsidP="00557A6F">
            <w:r>
              <w:t>563</w:t>
            </w:r>
          </w:p>
        </w:tc>
        <w:tc>
          <w:tcPr>
            <w:tcW w:w="680" w:type="dxa"/>
          </w:tcPr>
          <w:p w:rsidR="00557A6F" w:rsidRDefault="00557A6F" w:rsidP="00557A6F"/>
        </w:tc>
        <w:tc>
          <w:tcPr>
            <w:tcW w:w="3440" w:type="dxa"/>
          </w:tcPr>
          <w:p w:rsidR="00557A6F" w:rsidRDefault="00557A6F" w:rsidP="00557A6F">
            <w:r>
              <w:t>Internasjonalt reindriftssenter</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01</w:t>
            </w:r>
          </w:p>
        </w:tc>
        <w:tc>
          <w:tcPr>
            <w:tcW w:w="3440" w:type="dxa"/>
          </w:tcPr>
          <w:p w:rsidR="00557A6F" w:rsidRDefault="00557A6F" w:rsidP="00557A6F">
            <w:r>
              <w:t xml:space="preserve">Driftsutgifter </w:t>
            </w:r>
          </w:p>
        </w:tc>
        <w:tc>
          <w:tcPr>
            <w:tcW w:w="1580" w:type="dxa"/>
          </w:tcPr>
          <w:p w:rsidR="00557A6F" w:rsidRDefault="00557A6F" w:rsidP="00557A6F"/>
        </w:tc>
        <w:tc>
          <w:tcPr>
            <w:tcW w:w="1580" w:type="dxa"/>
          </w:tcPr>
          <w:p w:rsidR="00557A6F" w:rsidRDefault="00557A6F" w:rsidP="00AF5F55">
            <w:pPr>
              <w:jc w:val="right"/>
            </w:pPr>
            <w:r>
              <w:t>6 508 000</w:t>
            </w: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21</w:t>
            </w:r>
          </w:p>
        </w:tc>
        <w:tc>
          <w:tcPr>
            <w:tcW w:w="3440" w:type="dxa"/>
          </w:tcPr>
          <w:p w:rsidR="00557A6F" w:rsidRDefault="00557A6F" w:rsidP="00557A6F">
            <w:r>
              <w:t>Spesielle driftsutgifter</w:t>
            </w:r>
            <w:r>
              <w:rPr>
                <w:rStyle w:val="kursiv"/>
                <w:sz w:val="21"/>
                <w:szCs w:val="21"/>
              </w:rPr>
              <w:t>, kan overf</w:t>
            </w:r>
            <w:r>
              <w:rPr>
                <w:rStyle w:val="kursiv"/>
                <w:sz w:val="21"/>
                <w:szCs w:val="21"/>
              </w:rPr>
              <w:t>ø</w:t>
            </w:r>
            <w:r>
              <w:rPr>
                <w:rStyle w:val="kursiv"/>
                <w:sz w:val="21"/>
                <w:szCs w:val="21"/>
              </w:rPr>
              <w:t xml:space="preserve">res </w:t>
            </w:r>
          </w:p>
        </w:tc>
        <w:tc>
          <w:tcPr>
            <w:tcW w:w="1580" w:type="dxa"/>
          </w:tcPr>
          <w:p w:rsidR="00557A6F" w:rsidRDefault="00557A6F" w:rsidP="00557A6F"/>
        </w:tc>
        <w:tc>
          <w:tcPr>
            <w:tcW w:w="1580" w:type="dxa"/>
          </w:tcPr>
          <w:p w:rsidR="00557A6F" w:rsidRDefault="00557A6F" w:rsidP="00AF5F55">
            <w:pPr>
              <w:jc w:val="right"/>
            </w:pPr>
            <w:r>
              <w:t>2 789 000</w:t>
            </w:r>
          </w:p>
        </w:tc>
        <w:tc>
          <w:tcPr>
            <w:tcW w:w="1580" w:type="dxa"/>
          </w:tcPr>
          <w:p w:rsidR="00557A6F" w:rsidRDefault="00557A6F" w:rsidP="00AF5F55">
            <w:pPr>
              <w:jc w:val="right"/>
            </w:pPr>
            <w:r>
              <w:t>9 297 000</w:t>
            </w:r>
          </w:p>
        </w:tc>
      </w:tr>
      <w:tr w:rsidR="00557A6F" w:rsidTr="00AF5F55">
        <w:trPr>
          <w:trHeight w:val="380"/>
        </w:trPr>
        <w:tc>
          <w:tcPr>
            <w:tcW w:w="680" w:type="dxa"/>
          </w:tcPr>
          <w:p w:rsidR="00557A6F" w:rsidRDefault="00557A6F" w:rsidP="00557A6F"/>
        </w:tc>
        <w:tc>
          <w:tcPr>
            <w:tcW w:w="680" w:type="dxa"/>
          </w:tcPr>
          <w:p w:rsidR="00557A6F" w:rsidRDefault="00557A6F" w:rsidP="00557A6F"/>
        </w:tc>
        <w:tc>
          <w:tcPr>
            <w:tcW w:w="3440" w:type="dxa"/>
          </w:tcPr>
          <w:p w:rsidR="00557A6F" w:rsidRDefault="00557A6F" w:rsidP="00557A6F">
            <w:r>
              <w:t>Sum Samiske formål</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r>
              <w:t>534 949 000</w:t>
            </w:r>
          </w:p>
        </w:tc>
      </w:tr>
      <w:tr w:rsidR="00557A6F" w:rsidTr="00AF5F55">
        <w:trPr>
          <w:trHeight w:val="380"/>
        </w:trPr>
        <w:tc>
          <w:tcPr>
            <w:tcW w:w="9540" w:type="dxa"/>
            <w:gridSpan w:val="6"/>
          </w:tcPr>
          <w:p w:rsidR="00557A6F" w:rsidRDefault="00557A6F" w:rsidP="00AF5F55">
            <w:pPr>
              <w:jc w:val="center"/>
            </w:pPr>
            <w:r>
              <w:t>Nasjonale minoriteter</w:t>
            </w:r>
          </w:p>
        </w:tc>
      </w:tr>
      <w:tr w:rsidR="00557A6F" w:rsidTr="00AF5F55">
        <w:trPr>
          <w:trHeight w:val="380"/>
        </w:trPr>
        <w:tc>
          <w:tcPr>
            <w:tcW w:w="680" w:type="dxa"/>
          </w:tcPr>
          <w:p w:rsidR="00557A6F" w:rsidRDefault="00557A6F" w:rsidP="00557A6F">
            <w:r>
              <w:t>567</w:t>
            </w:r>
          </w:p>
        </w:tc>
        <w:tc>
          <w:tcPr>
            <w:tcW w:w="680" w:type="dxa"/>
          </w:tcPr>
          <w:p w:rsidR="00557A6F" w:rsidRDefault="00557A6F" w:rsidP="00557A6F"/>
        </w:tc>
        <w:tc>
          <w:tcPr>
            <w:tcW w:w="3440" w:type="dxa"/>
          </w:tcPr>
          <w:p w:rsidR="00557A6F" w:rsidRDefault="00557A6F" w:rsidP="00557A6F">
            <w:r>
              <w:t>Nasjonale minoriteter</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p>
        </w:tc>
      </w:tr>
      <w:tr w:rsidR="00557A6F" w:rsidTr="00AF5F55">
        <w:trPr>
          <w:trHeight w:val="640"/>
        </w:trPr>
        <w:tc>
          <w:tcPr>
            <w:tcW w:w="680" w:type="dxa"/>
          </w:tcPr>
          <w:p w:rsidR="00557A6F" w:rsidRDefault="00557A6F" w:rsidP="00557A6F"/>
        </w:tc>
        <w:tc>
          <w:tcPr>
            <w:tcW w:w="680" w:type="dxa"/>
          </w:tcPr>
          <w:p w:rsidR="00557A6F" w:rsidRDefault="00557A6F" w:rsidP="00557A6F">
            <w:r>
              <w:t>22</w:t>
            </w:r>
          </w:p>
        </w:tc>
        <w:tc>
          <w:tcPr>
            <w:tcW w:w="3440" w:type="dxa"/>
          </w:tcPr>
          <w:p w:rsidR="00557A6F" w:rsidRDefault="00557A6F" w:rsidP="00557A6F">
            <w:r>
              <w:t xml:space="preserve">Kollektiv oppreisning til norske rom mv. </w:t>
            </w:r>
          </w:p>
        </w:tc>
        <w:tc>
          <w:tcPr>
            <w:tcW w:w="1580" w:type="dxa"/>
          </w:tcPr>
          <w:p w:rsidR="00557A6F" w:rsidRDefault="00557A6F" w:rsidP="00557A6F"/>
        </w:tc>
        <w:tc>
          <w:tcPr>
            <w:tcW w:w="1580" w:type="dxa"/>
          </w:tcPr>
          <w:p w:rsidR="00557A6F" w:rsidRDefault="00557A6F" w:rsidP="00AF5F55">
            <w:pPr>
              <w:jc w:val="right"/>
            </w:pPr>
            <w:r>
              <w:t>1 107 000</w:t>
            </w: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60</w:t>
            </w:r>
          </w:p>
        </w:tc>
        <w:tc>
          <w:tcPr>
            <w:tcW w:w="3440" w:type="dxa"/>
          </w:tcPr>
          <w:p w:rsidR="00557A6F" w:rsidRDefault="00557A6F" w:rsidP="00557A6F">
            <w:r>
              <w:t>Rom</w:t>
            </w:r>
            <w:r>
              <w:rPr>
                <w:rStyle w:val="kursiv"/>
                <w:sz w:val="21"/>
                <w:szCs w:val="21"/>
              </w:rPr>
              <w:t xml:space="preserve">, kan overføres </w:t>
            </w:r>
          </w:p>
        </w:tc>
        <w:tc>
          <w:tcPr>
            <w:tcW w:w="1580" w:type="dxa"/>
          </w:tcPr>
          <w:p w:rsidR="00557A6F" w:rsidRDefault="00557A6F" w:rsidP="00557A6F"/>
        </w:tc>
        <w:tc>
          <w:tcPr>
            <w:tcW w:w="1580" w:type="dxa"/>
          </w:tcPr>
          <w:p w:rsidR="00557A6F" w:rsidRDefault="00557A6F" w:rsidP="00AF5F55">
            <w:pPr>
              <w:jc w:val="right"/>
            </w:pPr>
            <w:r>
              <w:t>3 617 000</w:t>
            </w: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70</w:t>
            </w:r>
          </w:p>
        </w:tc>
        <w:tc>
          <w:tcPr>
            <w:tcW w:w="3440" w:type="dxa"/>
          </w:tcPr>
          <w:p w:rsidR="00557A6F" w:rsidRDefault="00557A6F" w:rsidP="00557A6F">
            <w:r>
              <w:t xml:space="preserve">Nasjonale minoriteter </w:t>
            </w:r>
          </w:p>
        </w:tc>
        <w:tc>
          <w:tcPr>
            <w:tcW w:w="1580" w:type="dxa"/>
          </w:tcPr>
          <w:p w:rsidR="00557A6F" w:rsidRDefault="00557A6F" w:rsidP="00557A6F"/>
        </w:tc>
        <w:tc>
          <w:tcPr>
            <w:tcW w:w="1580" w:type="dxa"/>
          </w:tcPr>
          <w:p w:rsidR="00557A6F" w:rsidRDefault="00557A6F" w:rsidP="00AF5F55">
            <w:pPr>
              <w:jc w:val="right"/>
            </w:pPr>
            <w:r>
              <w:t>7 257 000</w:t>
            </w: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72</w:t>
            </w:r>
          </w:p>
        </w:tc>
        <w:tc>
          <w:tcPr>
            <w:tcW w:w="3440" w:type="dxa"/>
          </w:tcPr>
          <w:p w:rsidR="00557A6F" w:rsidRDefault="00557A6F" w:rsidP="00557A6F">
            <w:r>
              <w:t xml:space="preserve">Det Mosaiske Trossamfund </w:t>
            </w:r>
          </w:p>
        </w:tc>
        <w:tc>
          <w:tcPr>
            <w:tcW w:w="1580" w:type="dxa"/>
          </w:tcPr>
          <w:p w:rsidR="00557A6F" w:rsidRDefault="00557A6F" w:rsidP="00557A6F"/>
        </w:tc>
        <w:tc>
          <w:tcPr>
            <w:tcW w:w="1580" w:type="dxa"/>
          </w:tcPr>
          <w:p w:rsidR="00557A6F" w:rsidRDefault="00557A6F" w:rsidP="00AF5F55">
            <w:pPr>
              <w:jc w:val="right"/>
            </w:pPr>
            <w:r>
              <w:t>7 186 000</w:t>
            </w: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73</w:t>
            </w:r>
          </w:p>
        </w:tc>
        <w:tc>
          <w:tcPr>
            <w:tcW w:w="3440" w:type="dxa"/>
          </w:tcPr>
          <w:p w:rsidR="00557A6F" w:rsidRDefault="00557A6F" w:rsidP="00557A6F">
            <w:r>
              <w:t xml:space="preserve">Kvensk språk og kultur </w:t>
            </w:r>
          </w:p>
        </w:tc>
        <w:tc>
          <w:tcPr>
            <w:tcW w:w="1580" w:type="dxa"/>
          </w:tcPr>
          <w:p w:rsidR="00557A6F" w:rsidRDefault="00557A6F" w:rsidP="00557A6F"/>
        </w:tc>
        <w:tc>
          <w:tcPr>
            <w:tcW w:w="1580" w:type="dxa"/>
          </w:tcPr>
          <w:p w:rsidR="00557A6F" w:rsidRDefault="00557A6F" w:rsidP="00AF5F55">
            <w:pPr>
              <w:jc w:val="right"/>
            </w:pPr>
            <w:r>
              <w:t>10 500 000</w:t>
            </w:r>
          </w:p>
        </w:tc>
        <w:tc>
          <w:tcPr>
            <w:tcW w:w="1580" w:type="dxa"/>
          </w:tcPr>
          <w:p w:rsidR="00557A6F" w:rsidRDefault="00557A6F" w:rsidP="00AF5F55">
            <w:pPr>
              <w:jc w:val="right"/>
            </w:pPr>
          </w:p>
        </w:tc>
      </w:tr>
      <w:tr w:rsidR="00557A6F" w:rsidTr="00AF5F55">
        <w:trPr>
          <w:trHeight w:val="640"/>
        </w:trPr>
        <w:tc>
          <w:tcPr>
            <w:tcW w:w="680" w:type="dxa"/>
          </w:tcPr>
          <w:p w:rsidR="00557A6F" w:rsidRDefault="00557A6F" w:rsidP="00557A6F"/>
        </w:tc>
        <w:tc>
          <w:tcPr>
            <w:tcW w:w="680" w:type="dxa"/>
          </w:tcPr>
          <w:p w:rsidR="00557A6F" w:rsidRDefault="00557A6F" w:rsidP="00557A6F">
            <w:r>
              <w:t>74</w:t>
            </w:r>
          </w:p>
        </w:tc>
        <w:tc>
          <w:tcPr>
            <w:tcW w:w="3440" w:type="dxa"/>
          </w:tcPr>
          <w:p w:rsidR="00557A6F" w:rsidRDefault="00557A6F" w:rsidP="00557A6F">
            <w:r>
              <w:t>Kultur- og ressurssenter for nor</w:t>
            </w:r>
            <w:r>
              <w:t>s</w:t>
            </w:r>
            <w:r>
              <w:t xml:space="preserve">ke rom </w:t>
            </w:r>
          </w:p>
        </w:tc>
        <w:tc>
          <w:tcPr>
            <w:tcW w:w="1580" w:type="dxa"/>
          </w:tcPr>
          <w:p w:rsidR="00557A6F" w:rsidRDefault="00557A6F" w:rsidP="00557A6F"/>
        </w:tc>
        <w:tc>
          <w:tcPr>
            <w:tcW w:w="1580" w:type="dxa"/>
          </w:tcPr>
          <w:p w:rsidR="00557A6F" w:rsidRDefault="00557A6F" w:rsidP="00AF5F55">
            <w:pPr>
              <w:jc w:val="right"/>
            </w:pPr>
            <w:r>
              <w:t>14 024 000</w:t>
            </w:r>
          </w:p>
        </w:tc>
        <w:tc>
          <w:tcPr>
            <w:tcW w:w="1580" w:type="dxa"/>
          </w:tcPr>
          <w:p w:rsidR="00557A6F" w:rsidRDefault="00557A6F" w:rsidP="00AF5F55">
            <w:pPr>
              <w:jc w:val="right"/>
            </w:pPr>
          </w:p>
        </w:tc>
      </w:tr>
      <w:tr w:rsidR="00557A6F" w:rsidTr="00AF5F55">
        <w:trPr>
          <w:trHeight w:val="640"/>
        </w:trPr>
        <w:tc>
          <w:tcPr>
            <w:tcW w:w="680" w:type="dxa"/>
          </w:tcPr>
          <w:p w:rsidR="00557A6F" w:rsidRDefault="00557A6F" w:rsidP="00557A6F"/>
        </w:tc>
        <w:tc>
          <w:tcPr>
            <w:tcW w:w="680" w:type="dxa"/>
          </w:tcPr>
          <w:p w:rsidR="00557A6F" w:rsidRDefault="00557A6F" w:rsidP="00557A6F">
            <w:r>
              <w:t>75</w:t>
            </w:r>
          </w:p>
        </w:tc>
        <w:tc>
          <w:tcPr>
            <w:tcW w:w="3440" w:type="dxa"/>
          </w:tcPr>
          <w:p w:rsidR="00557A6F" w:rsidRDefault="00557A6F" w:rsidP="00557A6F">
            <w:r>
              <w:t>Romanifolket/taterne</w:t>
            </w:r>
            <w:r>
              <w:rPr>
                <w:rStyle w:val="kursiv"/>
                <w:sz w:val="21"/>
                <w:szCs w:val="21"/>
              </w:rPr>
              <w:t>, kan overf</w:t>
            </w:r>
            <w:r>
              <w:rPr>
                <w:rStyle w:val="kursiv"/>
                <w:sz w:val="21"/>
                <w:szCs w:val="21"/>
              </w:rPr>
              <w:t>ø</w:t>
            </w:r>
            <w:r>
              <w:rPr>
                <w:rStyle w:val="kursiv"/>
                <w:sz w:val="21"/>
                <w:szCs w:val="21"/>
              </w:rPr>
              <w:t xml:space="preserve">res, kan nyttes under post 25 </w:t>
            </w:r>
          </w:p>
        </w:tc>
        <w:tc>
          <w:tcPr>
            <w:tcW w:w="1580" w:type="dxa"/>
          </w:tcPr>
          <w:p w:rsidR="00557A6F" w:rsidRDefault="00557A6F" w:rsidP="00557A6F"/>
        </w:tc>
        <w:tc>
          <w:tcPr>
            <w:tcW w:w="1580" w:type="dxa"/>
          </w:tcPr>
          <w:p w:rsidR="00557A6F" w:rsidRDefault="00557A6F" w:rsidP="00AF5F55">
            <w:pPr>
              <w:jc w:val="right"/>
            </w:pPr>
            <w:r>
              <w:t>5 027 000</w:t>
            </w:r>
          </w:p>
        </w:tc>
        <w:tc>
          <w:tcPr>
            <w:tcW w:w="1580" w:type="dxa"/>
          </w:tcPr>
          <w:p w:rsidR="00557A6F" w:rsidRDefault="00557A6F" w:rsidP="00AF5F55">
            <w:pPr>
              <w:jc w:val="right"/>
            </w:pPr>
            <w:r>
              <w:t>48 718 000</w:t>
            </w:r>
          </w:p>
        </w:tc>
      </w:tr>
      <w:tr w:rsidR="00557A6F" w:rsidTr="00AF5F55">
        <w:trPr>
          <w:trHeight w:val="380"/>
        </w:trPr>
        <w:tc>
          <w:tcPr>
            <w:tcW w:w="680" w:type="dxa"/>
          </w:tcPr>
          <w:p w:rsidR="00557A6F" w:rsidRDefault="00557A6F" w:rsidP="00557A6F"/>
        </w:tc>
        <w:tc>
          <w:tcPr>
            <w:tcW w:w="680" w:type="dxa"/>
          </w:tcPr>
          <w:p w:rsidR="00557A6F" w:rsidRDefault="00557A6F" w:rsidP="00557A6F"/>
        </w:tc>
        <w:tc>
          <w:tcPr>
            <w:tcW w:w="3440" w:type="dxa"/>
          </w:tcPr>
          <w:p w:rsidR="00557A6F" w:rsidRDefault="00557A6F" w:rsidP="00557A6F">
            <w:r>
              <w:t>Sum Nasjonale minoriteter</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r>
              <w:t>48 718 000</w:t>
            </w:r>
          </w:p>
        </w:tc>
      </w:tr>
      <w:tr w:rsidR="00557A6F" w:rsidTr="00AF5F55">
        <w:trPr>
          <w:trHeight w:val="380"/>
        </w:trPr>
        <w:tc>
          <w:tcPr>
            <w:tcW w:w="9540" w:type="dxa"/>
            <w:gridSpan w:val="6"/>
          </w:tcPr>
          <w:p w:rsidR="00557A6F" w:rsidRDefault="00557A6F" w:rsidP="00AF5F55">
            <w:pPr>
              <w:jc w:val="center"/>
            </w:pPr>
            <w:r>
              <w:t>Kommunesektoren mv.</w:t>
            </w:r>
          </w:p>
        </w:tc>
      </w:tr>
      <w:tr w:rsidR="00557A6F" w:rsidTr="00AF5F55">
        <w:trPr>
          <w:trHeight w:val="380"/>
        </w:trPr>
        <w:tc>
          <w:tcPr>
            <w:tcW w:w="680" w:type="dxa"/>
          </w:tcPr>
          <w:p w:rsidR="00557A6F" w:rsidRDefault="00557A6F" w:rsidP="00557A6F">
            <w:r>
              <w:t>571</w:t>
            </w:r>
          </w:p>
        </w:tc>
        <w:tc>
          <w:tcPr>
            <w:tcW w:w="680" w:type="dxa"/>
          </w:tcPr>
          <w:p w:rsidR="00557A6F" w:rsidRDefault="00557A6F" w:rsidP="00557A6F"/>
        </w:tc>
        <w:tc>
          <w:tcPr>
            <w:tcW w:w="3440" w:type="dxa"/>
          </w:tcPr>
          <w:p w:rsidR="00557A6F" w:rsidRDefault="00557A6F" w:rsidP="00557A6F">
            <w:r>
              <w:t>Rammetilskudd til kommuner</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21</w:t>
            </w:r>
          </w:p>
        </w:tc>
        <w:tc>
          <w:tcPr>
            <w:tcW w:w="3440" w:type="dxa"/>
          </w:tcPr>
          <w:p w:rsidR="00557A6F" w:rsidRDefault="00557A6F" w:rsidP="00557A6F">
            <w:r>
              <w:t>Spesielle driftsutgifter</w:t>
            </w:r>
            <w:r>
              <w:rPr>
                <w:rStyle w:val="kursiv"/>
                <w:sz w:val="21"/>
                <w:szCs w:val="21"/>
              </w:rPr>
              <w:t>, kan overf</w:t>
            </w:r>
            <w:r>
              <w:rPr>
                <w:rStyle w:val="kursiv"/>
                <w:sz w:val="21"/>
                <w:szCs w:val="21"/>
              </w:rPr>
              <w:t>ø</w:t>
            </w:r>
            <w:r>
              <w:rPr>
                <w:rStyle w:val="kursiv"/>
                <w:sz w:val="21"/>
                <w:szCs w:val="21"/>
              </w:rPr>
              <w:t xml:space="preserve">res </w:t>
            </w:r>
          </w:p>
        </w:tc>
        <w:tc>
          <w:tcPr>
            <w:tcW w:w="1580" w:type="dxa"/>
          </w:tcPr>
          <w:p w:rsidR="00557A6F" w:rsidRDefault="00557A6F" w:rsidP="00557A6F"/>
        </w:tc>
        <w:tc>
          <w:tcPr>
            <w:tcW w:w="1580" w:type="dxa"/>
          </w:tcPr>
          <w:p w:rsidR="00557A6F" w:rsidRDefault="00557A6F" w:rsidP="00AF5F55">
            <w:pPr>
              <w:jc w:val="right"/>
            </w:pPr>
            <w:r>
              <w:t>34 542 000</w:t>
            </w: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60</w:t>
            </w:r>
          </w:p>
        </w:tc>
        <w:tc>
          <w:tcPr>
            <w:tcW w:w="3440" w:type="dxa"/>
          </w:tcPr>
          <w:p w:rsidR="00557A6F" w:rsidRDefault="00557A6F" w:rsidP="00557A6F">
            <w:r>
              <w:t xml:space="preserve">Innbyggertilskudd </w:t>
            </w:r>
          </w:p>
        </w:tc>
        <w:tc>
          <w:tcPr>
            <w:tcW w:w="1580" w:type="dxa"/>
          </w:tcPr>
          <w:p w:rsidR="00557A6F" w:rsidRDefault="00557A6F" w:rsidP="00557A6F"/>
        </w:tc>
        <w:tc>
          <w:tcPr>
            <w:tcW w:w="1580" w:type="dxa"/>
          </w:tcPr>
          <w:p w:rsidR="00557A6F" w:rsidRDefault="00557A6F" w:rsidP="00AF5F55">
            <w:pPr>
              <w:jc w:val="right"/>
            </w:pPr>
            <w:r>
              <w:t>137 050 768 000</w:t>
            </w: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61</w:t>
            </w:r>
          </w:p>
        </w:tc>
        <w:tc>
          <w:tcPr>
            <w:tcW w:w="3440" w:type="dxa"/>
          </w:tcPr>
          <w:p w:rsidR="00557A6F" w:rsidRDefault="00557A6F" w:rsidP="00557A6F">
            <w:r>
              <w:t xml:space="preserve">Distriktstilskudd Sør-Norge </w:t>
            </w:r>
          </w:p>
        </w:tc>
        <w:tc>
          <w:tcPr>
            <w:tcW w:w="1580" w:type="dxa"/>
          </w:tcPr>
          <w:p w:rsidR="00557A6F" w:rsidRDefault="00557A6F" w:rsidP="00557A6F"/>
        </w:tc>
        <w:tc>
          <w:tcPr>
            <w:tcW w:w="1580" w:type="dxa"/>
          </w:tcPr>
          <w:p w:rsidR="00557A6F" w:rsidRDefault="00557A6F" w:rsidP="00AF5F55">
            <w:pPr>
              <w:jc w:val="right"/>
            </w:pPr>
            <w:r>
              <w:t>785 079 000</w:t>
            </w: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62</w:t>
            </w:r>
          </w:p>
        </w:tc>
        <w:tc>
          <w:tcPr>
            <w:tcW w:w="3440" w:type="dxa"/>
          </w:tcPr>
          <w:p w:rsidR="00557A6F" w:rsidRDefault="00557A6F" w:rsidP="00557A6F">
            <w:r>
              <w:t xml:space="preserve">Distriktstilskudd Nord-Norge </w:t>
            </w:r>
          </w:p>
        </w:tc>
        <w:tc>
          <w:tcPr>
            <w:tcW w:w="1580" w:type="dxa"/>
          </w:tcPr>
          <w:p w:rsidR="00557A6F" w:rsidRDefault="00557A6F" w:rsidP="00557A6F"/>
        </w:tc>
        <w:tc>
          <w:tcPr>
            <w:tcW w:w="1580" w:type="dxa"/>
          </w:tcPr>
          <w:p w:rsidR="00557A6F" w:rsidRDefault="00557A6F" w:rsidP="00AF5F55">
            <w:pPr>
              <w:jc w:val="right"/>
            </w:pPr>
            <w:r>
              <w:t>2 204 969 000</w:t>
            </w:r>
          </w:p>
        </w:tc>
        <w:tc>
          <w:tcPr>
            <w:tcW w:w="1580" w:type="dxa"/>
          </w:tcPr>
          <w:p w:rsidR="00557A6F" w:rsidRDefault="00557A6F" w:rsidP="00AF5F55">
            <w:pPr>
              <w:jc w:val="right"/>
            </w:pPr>
          </w:p>
        </w:tc>
      </w:tr>
      <w:tr w:rsidR="00557A6F" w:rsidTr="00AF5F55">
        <w:trPr>
          <w:trHeight w:val="640"/>
        </w:trPr>
        <w:tc>
          <w:tcPr>
            <w:tcW w:w="680" w:type="dxa"/>
          </w:tcPr>
          <w:p w:rsidR="00557A6F" w:rsidRDefault="00557A6F" w:rsidP="00557A6F"/>
        </w:tc>
        <w:tc>
          <w:tcPr>
            <w:tcW w:w="680" w:type="dxa"/>
          </w:tcPr>
          <w:p w:rsidR="00557A6F" w:rsidRDefault="00557A6F" w:rsidP="00557A6F">
            <w:r>
              <w:t>64</w:t>
            </w:r>
          </w:p>
        </w:tc>
        <w:tc>
          <w:tcPr>
            <w:tcW w:w="3440" w:type="dxa"/>
          </w:tcPr>
          <w:p w:rsidR="00557A6F" w:rsidRDefault="00557A6F" w:rsidP="00557A6F">
            <w:r>
              <w:t>Skjønnstilskudd</w:t>
            </w:r>
            <w:r>
              <w:rPr>
                <w:rStyle w:val="kursiv"/>
                <w:sz w:val="21"/>
                <w:szCs w:val="21"/>
              </w:rPr>
              <w:t xml:space="preserve">, kan nyttes under kap. 572, post 64 </w:t>
            </w:r>
          </w:p>
        </w:tc>
        <w:tc>
          <w:tcPr>
            <w:tcW w:w="1580" w:type="dxa"/>
          </w:tcPr>
          <w:p w:rsidR="00557A6F" w:rsidRDefault="00557A6F" w:rsidP="00557A6F"/>
        </w:tc>
        <w:tc>
          <w:tcPr>
            <w:tcW w:w="1580" w:type="dxa"/>
          </w:tcPr>
          <w:p w:rsidR="00557A6F" w:rsidRDefault="00557A6F" w:rsidP="00AF5F55">
            <w:pPr>
              <w:jc w:val="right"/>
            </w:pPr>
            <w:r>
              <w:t>1 084 000 000</w:t>
            </w: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65</w:t>
            </w:r>
          </w:p>
        </w:tc>
        <w:tc>
          <w:tcPr>
            <w:tcW w:w="3440" w:type="dxa"/>
          </w:tcPr>
          <w:p w:rsidR="00557A6F" w:rsidRDefault="00557A6F" w:rsidP="00557A6F">
            <w:r>
              <w:t xml:space="preserve">Regionsentertilskudd </w:t>
            </w:r>
          </w:p>
        </w:tc>
        <w:tc>
          <w:tcPr>
            <w:tcW w:w="1580" w:type="dxa"/>
          </w:tcPr>
          <w:p w:rsidR="00557A6F" w:rsidRDefault="00557A6F" w:rsidP="00557A6F"/>
        </w:tc>
        <w:tc>
          <w:tcPr>
            <w:tcW w:w="1580" w:type="dxa"/>
          </w:tcPr>
          <w:p w:rsidR="00557A6F" w:rsidRDefault="00557A6F" w:rsidP="00AF5F55">
            <w:pPr>
              <w:jc w:val="right"/>
            </w:pPr>
            <w:r>
              <w:t>196 855 000</w:t>
            </w: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66</w:t>
            </w:r>
          </w:p>
        </w:tc>
        <w:tc>
          <w:tcPr>
            <w:tcW w:w="3440" w:type="dxa"/>
          </w:tcPr>
          <w:p w:rsidR="00557A6F" w:rsidRDefault="00557A6F" w:rsidP="00557A6F">
            <w:r>
              <w:t xml:space="preserve">Veksttilskudd </w:t>
            </w:r>
          </w:p>
        </w:tc>
        <w:tc>
          <w:tcPr>
            <w:tcW w:w="1580" w:type="dxa"/>
          </w:tcPr>
          <w:p w:rsidR="00557A6F" w:rsidRDefault="00557A6F" w:rsidP="00557A6F"/>
        </w:tc>
        <w:tc>
          <w:tcPr>
            <w:tcW w:w="1580" w:type="dxa"/>
          </w:tcPr>
          <w:p w:rsidR="00557A6F" w:rsidRDefault="00557A6F" w:rsidP="00AF5F55">
            <w:pPr>
              <w:jc w:val="right"/>
            </w:pPr>
            <w:r>
              <w:t>203 885 000</w:t>
            </w: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67</w:t>
            </w:r>
          </w:p>
        </w:tc>
        <w:tc>
          <w:tcPr>
            <w:tcW w:w="3440" w:type="dxa"/>
          </w:tcPr>
          <w:p w:rsidR="00557A6F" w:rsidRDefault="00557A6F" w:rsidP="00557A6F">
            <w:r>
              <w:t xml:space="preserve">Storbytilskudd </w:t>
            </w:r>
          </w:p>
        </w:tc>
        <w:tc>
          <w:tcPr>
            <w:tcW w:w="1580" w:type="dxa"/>
          </w:tcPr>
          <w:p w:rsidR="00557A6F" w:rsidRDefault="00557A6F" w:rsidP="00557A6F"/>
        </w:tc>
        <w:tc>
          <w:tcPr>
            <w:tcW w:w="1580" w:type="dxa"/>
          </w:tcPr>
          <w:p w:rsidR="00557A6F" w:rsidRDefault="00557A6F" w:rsidP="00AF5F55">
            <w:pPr>
              <w:jc w:val="right"/>
            </w:pPr>
            <w:r>
              <w:t>581 233 000</w:t>
            </w:r>
          </w:p>
        </w:tc>
        <w:tc>
          <w:tcPr>
            <w:tcW w:w="1580" w:type="dxa"/>
          </w:tcPr>
          <w:p w:rsidR="00557A6F" w:rsidRDefault="00557A6F" w:rsidP="00AF5F55">
            <w:pPr>
              <w:jc w:val="right"/>
            </w:pPr>
            <w:r>
              <w:t>142 141 331 000</w:t>
            </w:r>
          </w:p>
        </w:tc>
      </w:tr>
      <w:tr w:rsidR="00557A6F" w:rsidTr="00AF5F55">
        <w:trPr>
          <w:trHeight w:val="380"/>
        </w:trPr>
        <w:tc>
          <w:tcPr>
            <w:tcW w:w="680" w:type="dxa"/>
          </w:tcPr>
          <w:p w:rsidR="00557A6F" w:rsidRDefault="00557A6F" w:rsidP="00557A6F">
            <w:r>
              <w:t>572</w:t>
            </w:r>
          </w:p>
        </w:tc>
        <w:tc>
          <w:tcPr>
            <w:tcW w:w="680" w:type="dxa"/>
          </w:tcPr>
          <w:p w:rsidR="00557A6F" w:rsidRDefault="00557A6F" w:rsidP="00557A6F"/>
        </w:tc>
        <w:tc>
          <w:tcPr>
            <w:tcW w:w="3440" w:type="dxa"/>
          </w:tcPr>
          <w:p w:rsidR="00557A6F" w:rsidRDefault="00557A6F" w:rsidP="00557A6F">
            <w:r>
              <w:t>Rammetilskudd til fylkesko</w:t>
            </w:r>
            <w:r>
              <w:t>m</w:t>
            </w:r>
            <w:r>
              <w:t>muner</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60</w:t>
            </w:r>
          </w:p>
        </w:tc>
        <w:tc>
          <w:tcPr>
            <w:tcW w:w="3440" w:type="dxa"/>
          </w:tcPr>
          <w:p w:rsidR="00557A6F" w:rsidRDefault="00557A6F" w:rsidP="00557A6F">
            <w:r>
              <w:t xml:space="preserve">Innbyggertilskudd </w:t>
            </w:r>
          </w:p>
        </w:tc>
        <w:tc>
          <w:tcPr>
            <w:tcW w:w="1580" w:type="dxa"/>
          </w:tcPr>
          <w:p w:rsidR="00557A6F" w:rsidRDefault="00557A6F" w:rsidP="00557A6F"/>
        </w:tc>
        <w:tc>
          <w:tcPr>
            <w:tcW w:w="1580" w:type="dxa"/>
          </w:tcPr>
          <w:p w:rsidR="00557A6F" w:rsidRDefault="00557A6F" w:rsidP="00AF5F55">
            <w:pPr>
              <w:jc w:val="right"/>
            </w:pPr>
            <w:r>
              <w:t>35 761 708 000</w:t>
            </w: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62</w:t>
            </w:r>
          </w:p>
        </w:tc>
        <w:tc>
          <w:tcPr>
            <w:tcW w:w="3440" w:type="dxa"/>
          </w:tcPr>
          <w:p w:rsidR="00557A6F" w:rsidRDefault="00557A6F" w:rsidP="00557A6F">
            <w:r>
              <w:t xml:space="preserve">Nord-Norge-tilskudd </w:t>
            </w:r>
          </w:p>
        </w:tc>
        <w:tc>
          <w:tcPr>
            <w:tcW w:w="1580" w:type="dxa"/>
          </w:tcPr>
          <w:p w:rsidR="00557A6F" w:rsidRDefault="00557A6F" w:rsidP="00557A6F"/>
        </w:tc>
        <w:tc>
          <w:tcPr>
            <w:tcW w:w="1580" w:type="dxa"/>
          </w:tcPr>
          <w:p w:rsidR="00557A6F" w:rsidRDefault="00557A6F" w:rsidP="00AF5F55">
            <w:pPr>
              <w:jc w:val="right"/>
            </w:pPr>
            <w:r>
              <w:t>697 702 000</w:t>
            </w:r>
          </w:p>
        </w:tc>
        <w:tc>
          <w:tcPr>
            <w:tcW w:w="1580" w:type="dxa"/>
          </w:tcPr>
          <w:p w:rsidR="00557A6F" w:rsidRDefault="00557A6F" w:rsidP="00AF5F55">
            <w:pPr>
              <w:jc w:val="right"/>
            </w:pPr>
          </w:p>
        </w:tc>
      </w:tr>
      <w:tr w:rsidR="00557A6F" w:rsidTr="00AF5F55">
        <w:trPr>
          <w:trHeight w:val="640"/>
        </w:trPr>
        <w:tc>
          <w:tcPr>
            <w:tcW w:w="680" w:type="dxa"/>
          </w:tcPr>
          <w:p w:rsidR="00557A6F" w:rsidRDefault="00557A6F" w:rsidP="00557A6F"/>
        </w:tc>
        <w:tc>
          <w:tcPr>
            <w:tcW w:w="680" w:type="dxa"/>
          </w:tcPr>
          <w:p w:rsidR="00557A6F" w:rsidRDefault="00557A6F" w:rsidP="00557A6F">
            <w:r>
              <w:t>64</w:t>
            </w:r>
          </w:p>
        </w:tc>
        <w:tc>
          <w:tcPr>
            <w:tcW w:w="3440" w:type="dxa"/>
          </w:tcPr>
          <w:p w:rsidR="00557A6F" w:rsidRDefault="00557A6F" w:rsidP="00557A6F">
            <w:r>
              <w:t>Skjønnstilskudd</w:t>
            </w:r>
            <w:r>
              <w:rPr>
                <w:rStyle w:val="kursiv"/>
                <w:sz w:val="21"/>
                <w:szCs w:val="21"/>
              </w:rPr>
              <w:t xml:space="preserve">, kan nyttes under kap. 571, post 64 </w:t>
            </w:r>
          </w:p>
        </w:tc>
        <w:tc>
          <w:tcPr>
            <w:tcW w:w="1580" w:type="dxa"/>
          </w:tcPr>
          <w:p w:rsidR="00557A6F" w:rsidRDefault="00557A6F" w:rsidP="00557A6F"/>
        </w:tc>
        <w:tc>
          <w:tcPr>
            <w:tcW w:w="1580" w:type="dxa"/>
          </w:tcPr>
          <w:p w:rsidR="00557A6F" w:rsidRDefault="00557A6F" w:rsidP="00AF5F55">
            <w:pPr>
              <w:jc w:val="right"/>
            </w:pPr>
            <w:r>
              <w:t>382 000 000</w:t>
            </w:r>
          </w:p>
        </w:tc>
        <w:tc>
          <w:tcPr>
            <w:tcW w:w="1580" w:type="dxa"/>
          </w:tcPr>
          <w:p w:rsidR="00557A6F" w:rsidRDefault="00557A6F" w:rsidP="00AF5F55">
            <w:pPr>
              <w:jc w:val="right"/>
            </w:pPr>
            <w:r>
              <w:t>36 841 410 000</w:t>
            </w:r>
          </w:p>
        </w:tc>
      </w:tr>
      <w:tr w:rsidR="00557A6F" w:rsidTr="00AF5F55">
        <w:trPr>
          <w:trHeight w:val="380"/>
        </w:trPr>
        <w:tc>
          <w:tcPr>
            <w:tcW w:w="680" w:type="dxa"/>
          </w:tcPr>
          <w:p w:rsidR="00557A6F" w:rsidRDefault="00557A6F" w:rsidP="00557A6F">
            <w:r>
              <w:t>573</w:t>
            </w:r>
          </w:p>
        </w:tc>
        <w:tc>
          <w:tcPr>
            <w:tcW w:w="680" w:type="dxa"/>
          </w:tcPr>
          <w:p w:rsidR="00557A6F" w:rsidRDefault="00557A6F" w:rsidP="00557A6F"/>
        </w:tc>
        <w:tc>
          <w:tcPr>
            <w:tcW w:w="3440" w:type="dxa"/>
          </w:tcPr>
          <w:p w:rsidR="00557A6F" w:rsidRDefault="00557A6F" w:rsidP="00557A6F">
            <w:r>
              <w:t>Kommunereform</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60</w:t>
            </w:r>
          </w:p>
        </w:tc>
        <w:tc>
          <w:tcPr>
            <w:tcW w:w="3440" w:type="dxa"/>
          </w:tcPr>
          <w:p w:rsidR="00557A6F" w:rsidRDefault="00557A6F" w:rsidP="00557A6F">
            <w:r>
              <w:t xml:space="preserve">Kommunesammenslåing </w:t>
            </w:r>
          </w:p>
        </w:tc>
        <w:tc>
          <w:tcPr>
            <w:tcW w:w="1580" w:type="dxa"/>
          </w:tcPr>
          <w:p w:rsidR="00557A6F" w:rsidRDefault="00557A6F" w:rsidP="00557A6F"/>
        </w:tc>
        <w:tc>
          <w:tcPr>
            <w:tcW w:w="1580" w:type="dxa"/>
          </w:tcPr>
          <w:p w:rsidR="00557A6F" w:rsidRDefault="00557A6F" w:rsidP="00AF5F55">
            <w:pPr>
              <w:jc w:val="right"/>
            </w:pPr>
            <w:r>
              <w:t>871 786 000</w:t>
            </w:r>
          </w:p>
        </w:tc>
        <w:tc>
          <w:tcPr>
            <w:tcW w:w="1580" w:type="dxa"/>
          </w:tcPr>
          <w:p w:rsidR="00557A6F" w:rsidRDefault="00557A6F" w:rsidP="00AF5F55">
            <w:pPr>
              <w:jc w:val="right"/>
            </w:pPr>
            <w:r>
              <w:t>871 786 000</w:t>
            </w:r>
          </w:p>
        </w:tc>
      </w:tr>
      <w:tr w:rsidR="00557A6F" w:rsidTr="00AF5F55">
        <w:trPr>
          <w:trHeight w:val="380"/>
        </w:trPr>
        <w:tc>
          <w:tcPr>
            <w:tcW w:w="680" w:type="dxa"/>
          </w:tcPr>
          <w:p w:rsidR="00557A6F" w:rsidRDefault="00557A6F" w:rsidP="00557A6F">
            <w:r>
              <w:lastRenderedPageBreak/>
              <w:t>575</w:t>
            </w:r>
          </w:p>
        </w:tc>
        <w:tc>
          <w:tcPr>
            <w:tcW w:w="680" w:type="dxa"/>
          </w:tcPr>
          <w:p w:rsidR="00557A6F" w:rsidRDefault="00557A6F" w:rsidP="00557A6F"/>
        </w:tc>
        <w:tc>
          <w:tcPr>
            <w:tcW w:w="3440" w:type="dxa"/>
          </w:tcPr>
          <w:p w:rsidR="00557A6F" w:rsidRDefault="00557A6F" w:rsidP="00557A6F">
            <w:r>
              <w:t>Ressurskrevende tjenester</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p>
        </w:tc>
      </w:tr>
      <w:tr w:rsidR="00557A6F" w:rsidTr="00AF5F55">
        <w:trPr>
          <w:trHeight w:val="640"/>
        </w:trPr>
        <w:tc>
          <w:tcPr>
            <w:tcW w:w="680" w:type="dxa"/>
          </w:tcPr>
          <w:p w:rsidR="00557A6F" w:rsidRDefault="00557A6F" w:rsidP="00557A6F"/>
        </w:tc>
        <w:tc>
          <w:tcPr>
            <w:tcW w:w="680" w:type="dxa"/>
          </w:tcPr>
          <w:p w:rsidR="00557A6F" w:rsidRDefault="00557A6F" w:rsidP="00557A6F">
            <w:r>
              <w:t>60</w:t>
            </w:r>
          </w:p>
        </w:tc>
        <w:tc>
          <w:tcPr>
            <w:tcW w:w="3440" w:type="dxa"/>
          </w:tcPr>
          <w:p w:rsidR="00557A6F" w:rsidRDefault="00557A6F" w:rsidP="00557A6F">
            <w:r>
              <w:t>Toppfinansieringsordning</w:t>
            </w:r>
            <w:r>
              <w:rPr>
                <w:rStyle w:val="kursiv"/>
                <w:sz w:val="21"/>
                <w:szCs w:val="21"/>
              </w:rPr>
              <w:t xml:space="preserve">, </w:t>
            </w:r>
            <w:r>
              <w:rPr>
                <w:rStyle w:val="kursiv"/>
                <w:sz w:val="21"/>
                <w:szCs w:val="21"/>
              </w:rPr>
              <w:br/>
              <w:t xml:space="preserve">overslagsbevilgning </w:t>
            </w:r>
          </w:p>
        </w:tc>
        <w:tc>
          <w:tcPr>
            <w:tcW w:w="1580" w:type="dxa"/>
          </w:tcPr>
          <w:p w:rsidR="00557A6F" w:rsidRDefault="00557A6F" w:rsidP="00557A6F"/>
        </w:tc>
        <w:tc>
          <w:tcPr>
            <w:tcW w:w="1580" w:type="dxa"/>
          </w:tcPr>
          <w:p w:rsidR="00557A6F" w:rsidRDefault="00557A6F" w:rsidP="00AF5F55">
            <w:pPr>
              <w:jc w:val="right"/>
            </w:pPr>
            <w:r>
              <w:t>10 767 694 000</w:t>
            </w:r>
          </w:p>
        </w:tc>
        <w:tc>
          <w:tcPr>
            <w:tcW w:w="1580" w:type="dxa"/>
          </w:tcPr>
          <w:p w:rsidR="00557A6F" w:rsidRDefault="00557A6F" w:rsidP="00AF5F55">
            <w:pPr>
              <w:jc w:val="right"/>
            </w:pPr>
            <w:r>
              <w:t>10 767 694 000</w:t>
            </w:r>
          </w:p>
        </w:tc>
      </w:tr>
      <w:tr w:rsidR="00557A6F" w:rsidTr="00AF5F55">
        <w:trPr>
          <w:trHeight w:val="380"/>
        </w:trPr>
        <w:tc>
          <w:tcPr>
            <w:tcW w:w="680" w:type="dxa"/>
          </w:tcPr>
          <w:p w:rsidR="00557A6F" w:rsidRDefault="00557A6F" w:rsidP="00557A6F">
            <w:r>
              <w:t>577</w:t>
            </w:r>
          </w:p>
        </w:tc>
        <w:tc>
          <w:tcPr>
            <w:tcW w:w="680" w:type="dxa"/>
          </w:tcPr>
          <w:p w:rsidR="00557A6F" w:rsidRDefault="00557A6F" w:rsidP="00557A6F"/>
        </w:tc>
        <w:tc>
          <w:tcPr>
            <w:tcW w:w="3440" w:type="dxa"/>
          </w:tcPr>
          <w:p w:rsidR="00557A6F" w:rsidRDefault="00557A6F" w:rsidP="00557A6F">
            <w:r>
              <w:t>Tilskudd til de politiske partier</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01</w:t>
            </w:r>
          </w:p>
        </w:tc>
        <w:tc>
          <w:tcPr>
            <w:tcW w:w="3440" w:type="dxa"/>
          </w:tcPr>
          <w:p w:rsidR="00557A6F" w:rsidRDefault="00557A6F" w:rsidP="00557A6F">
            <w:r>
              <w:t xml:space="preserve">Driftsutgifter </w:t>
            </w:r>
          </w:p>
        </w:tc>
        <w:tc>
          <w:tcPr>
            <w:tcW w:w="1580" w:type="dxa"/>
          </w:tcPr>
          <w:p w:rsidR="00557A6F" w:rsidRDefault="00557A6F" w:rsidP="00557A6F"/>
        </w:tc>
        <w:tc>
          <w:tcPr>
            <w:tcW w:w="1580" w:type="dxa"/>
          </w:tcPr>
          <w:p w:rsidR="00557A6F" w:rsidRDefault="00557A6F" w:rsidP="00AF5F55">
            <w:pPr>
              <w:jc w:val="right"/>
            </w:pPr>
            <w:r>
              <w:t>8 600 000</w:t>
            </w: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70</w:t>
            </w:r>
          </w:p>
        </w:tc>
        <w:tc>
          <w:tcPr>
            <w:tcW w:w="3440" w:type="dxa"/>
          </w:tcPr>
          <w:p w:rsidR="00557A6F" w:rsidRDefault="00557A6F" w:rsidP="00557A6F">
            <w:r>
              <w:t xml:space="preserve">Sentrale organisasjoner </w:t>
            </w:r>
          </w:p>
        </w:tc>
        <w:tc>
          <w:tcPr>
            <w:tcW w:w="1580" w:type="dxa"/>
          </w:tcPr>
          <w:p w:rsidR="00557A6F" w:rsidRDefault="00557A6F" w:rsidP="00557A6F"/>
        </w:tc>
        <w:tc>
          <w:tcPr>
            <w:tcW w:w="1580" w:type="dxa"/>
          </w:tcPr>
          <w:p w:rsidR="00557A6F" w:rsidRDefault="00557A6F" w:rsidP="00AF5F55">
            <w:pPr>
              <w:jc w:val="right"/>
            </w:pPr>
            <w:r>
              <w:t>322 462 000</w:t>
            </w: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71</w:t>
            </w:r>
          </w:p>
        </w:tc>
        <w:tc>
          <w:tcPr>
            <w:tcW w:w="3440" w:type="dxa"/>
          </w:tcPr>
          <w:p w:rsidR="00557A6F" w:rsidRDefault="00557A6F" w:rsidP="00557A6F">
            <w:r>
              <w:t xml:space="preserve">Kommunale organisasjoner </w:t>
            </w:r>
          </w:p>
        </w:tc>
        <w:tc>
          <w:tcPr>
            <w:tcW w:w="1580" w:type="dxa"/>
          </w:tcPr>
          <w:p w:rsidR="00557A6F" w:rsidRDefault="00557A6F" w:rsidP="00557A6F"/>
        </w:tc>
        <w:tc>
          <w:tcPr>
            <w:tcW w:w="1580" w:type="dxa"/>
          </w:tcPr>
          <w:p w:rsidR="00557A6F" w:rsidRDefault="00557A6F" w:rsidP="00AF5F55">
            <w:pPr>
              <w:jc w:val="right"/>
            </w:pPr>
            <w:r>
              <w:t>33 592 000</w:t>
            </w: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73</w:t>
            </w:r>
          </w:p>
        </w:tc>
        <w:tc>
          <w:tcPr>
            <w:tcW w:w="3440" w:type="dxa"/>
          </w:tcPr>
          <w:p w:rsidR="00557A6F" w:rsidRDefault="00557A6F" w:rsidP="00557A6F">
            <w:r>
              <w:t xml:space="preserve">Fylkesorganisasjoner </w:t>
            </w:r>
          </w:p>
        </w:tc>
        <w:tc>
          <w:tcPr>
            <w:tcW w:w="1580" w:type="dxa"/>
          </w:tcPr>
          <w:p w:rsidR="00557A6F" w:rsidRDefault="00557A6F" w:rsidP="00557A6F"/>
        </w:tc>
        <w:tc>
          <w:tcPr>
            <w:tcW w:w="1580" w:type="dxa"/>
          </w:tcPr>
          <w:p w:rsidR="00557A6F" w:rsidRDefault="00557A6F" w:rsidP="00AF5F55">
            <w:pPr>
              <w:jc w:val="right"/>
            </w:pPr>
            <w:r>
              <w:t>73 402 000</w:t>
            </w: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75</w:t>
            </w:r>
          </w:p>
        </w:tc>
        <w:tc>
          <w:tcPr>
            <w:tcW w:w="3440" w:type="dxa"/>
          </w:tcPr>
          <w:p w:rsidR="00557A6F" w:rsidRDefault="00557A6F" w:rsidP="00557A6F">
            <w:r>
              <w:t xml:space="preserve">Fylkesungdomsorganisasjoner </w:t>
            </w:r>
          </w:p>
        </w:tc>
        <w:tc>
          <w:tcPr>
            <w:tcW w:w="1580" w:type="dxa"/>
          </w:tcPr>
          <w:p w:rsidR="00557A6F" w:rsidRDefault="00557A6F" w:rsidP="00557A6F"/>
        </w:tc>
        <w:tc>
          <w:tcPr>
            <w:tcW w:w="1580" w:type="dxa"/>
          </w:tcPr>
          <w:p w:rsidR="00557A6F" w:rsidRDefault="00557A6F" w:rsidP="00AF5F55">
            <w:pPr>
              <w:jc w:val="right"/>
            </w:pPr>
            <w:r>
              <w:t>21 803 000</w:t>
            </w: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76</w:t>
            </w:r>
          </w:p>
        </w:tc>
        <w:tc>
          <w:tcPr>
            <w:tcW w:w="3440" w:type="dxa"/>
          </w:tcPr>
          <w:p w:rsidR="00557A6F" w:rsidRDefault="00557A6F" w:rsidP="00557A6F">
            <w:r>
              <w:t xml:space="preserve">Sentrale ungdomsorganisasjoner </w:t>
            </w:r>
          </w:p>
        </w:tc>
        <w:tc>
          <w:tcPr>
            <w:tcW w:w="1580" w:type="dxa"/>
          </w:tcPr>
          <w:p w:rsidR="00557A6F" w:rsidRDefault="00557A6F" w:rsidP="00557A6F"/>
        </w:tc>
        <w:tc>
          <w:tcPr>
            <w:tcW w:w="1580" w:type="dxa"/>
          </w:tcPr>
          <w:p w:rsidR="00557A6F" w:rsidRDefault="00557A6F" w:rsidP="00AF5F55">
            <w:pPr>
              <w:jc w:val="right"/>
            </w:pPr>
            <w:r>
              <w:t>8 215 000</w:t>
            </w:r>
          </w:p>
        </w:tc>
        <w:tc>
          <w:tcPr>
            <w:tcW w:w="1580" w:type="dxa"/>
          </w:tcPr>
          <w:p w:rsidR="00557A6F" w:rsidRDefault="00557A6F" w:rsidP="00AF5F55">
            <w:pPr>
              <w:jc w:val="right"/>
            </w:pPr>
            <w:r>
              <w:t>468 074 000</w:t>
            </w:r>
          </w:p>
        </w:tc>
      </w:tr>
      <w:tr w:rsidR="00557A6F" w:rsidTr="00AF5F55">
        <w:trPr>
          <w:trHeight w:val="380"/>
        </w:trPr>
        <w:tc>
          <w:tcPr>
            <w:tcW w:w="680" w:type="dxa"/>
          </w:tcPr>
          <w:p w:rsidR="00557A6F" w:rsidRDefault="00557A6F" w:rsidP="00557A6F">
            <w:r>
              <w:t>578</w:t>
            </w:r>
          </w:p>
        </w:tc>
        <w:tc>
          <w:tcPr>
            <w:tcW w:w="680" w:type="dxa"/>
          </w:tcPr>
          <w:p w:rsidR="00557A6F" w:rsidRDefault="00557A6F" w:rsidP="00557A6F"/>
        </w:tc>
        <w:tc>
          <w:tcPr>
            <w:tcW w:w="3440" w:type="dxa"/>
          </w:tcPr>
          <w:p w:rsidR="00557A6F" w:rsidRDefault="00557A6F" w:rsidP="00557A6F">
            <w:r>
              <w:t>Valgdirektoratet</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01</w:t>
            </w:r>
          </w:p>
        </w:tc>
        <w:tc>
          <w:tcPr>
            <w:tcW w:w="3440" w:type="dxa"/>
          </w:tcPr>
          <w:p w:rsidR="00557A6F" w:rsidRDefault="00557A6F" w:rsidP="00557A6F">
            <w:r>
              <w:t xml:space="preserve">Driftsutgifter </w:t>
            </w:r>
          </w:p>
        </w:tc>
        <w:tc>
          <w:tcPr>
            <w:tcW w:w="1580" w:type="dxa"/>
          </w:tcPr>
          <w:p w:rsidR="00557A6F" w:rsidRDefault="00557A6F" w:rsidP="00557A6F"/>
        </w:tc>
        <w:tc>
          <w:tcPr>
            <w:tcW w:w="1580" w:type="dxa"/>
          </w:tcPr>
          <w:p w:rsidR="00557A6F" w:rsidRDefault="00557A6F" w:rsidP="00AF5F55">
            <w:pPr>
              <w:jc w:val="right"/>
            </w:pPr>
            <w:r>
              <w:t>57 436 000</w:t>
            </w:r>
          </w:p>
        </w:tc>
        <w:tc>
          <w:tcPr>
            <w:tcW w:w="1580" w:type="dxa"/>
          </w:tcPr>
          <w:p w:rsidR="00557A6F" w:rsidRDefault="00557A6F" w:rsidP="00AF5F55">
            <w:pPr>
              <w:jc w:val="right"/>
            </w:pPr>
            <w:r>
              <w:t>57 436 000</w:t>
            </w:r>
          </w:p>
        </w:tc>
      </w:tr>
      <w:tr w:rsidR="00557A6F" w:rsidTr="00AF5F55">
        <w:trPr>
          <w:trHeight w:val="380"/>
        </w:trPr>
        <w:tc>
          <w:tcPr>
            <w:tcW w:w="680" w:type="dxa"/>
          </w:tcPr>
          <w:p w:rsidR="00557A6F" w:rsidRDefault="00557A6F" w:rsidP="00557A6F">
            <w:r>
              <w:t>579</w:t>
            </w:r>
          </w:p>
        </w:tc>
        <w:tc>
          <w:tcPr>
            <w:tcW w:w="680" w:type="dxa"/>
          </w:tcPr>
          <w:p w:rsidR="00557A6F" w:rsidRDefault="00557A6F" w:rsidP="00557A6F"/>
        </w:tc>
        <w:tc>
          <w:tcPr>
            <w:tcW w:w="3440" w:type="dxa"/>
          </w:tcPr>
          <w:p w:rsidR="00557A6F" w:rsidRDefault="00557A6F" w:rsidP="00557A6F">
            <w:r>
              <w:t>Valgutgifter</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01</w:t>
            </w:r>
          </w:p>
        </w:tc>
        <w:tc>
          <w:tcPr>
            <w:tcW w:w="3440" w:type="dxa"/>
          </w:tcPr>
          <w:p w:rsidR="00557A6F" w:rsidRDefault="00557A6F" w:rsidP="00557A6F">
            <w:r>
              <w:t xml:space="preserve">Driftsutgifter </w:t>
            </w:r>
          </w:p>
        </w:tc>
        <w:tc>
          <w:tcPr>
            <w:tcW w:w="1580" w:type="dxa"/>
          </w:tcPr>
          <w:p w:rsidR="00557A6F" w:rsidRDefault="00557A6F" w:rsidP="00557A6F"/>
        </w:tc>
        <w:tc>
          <w:tcPr>
            <w:tcW w:w="1580" w:type="dxa"/>
          </w:tcPr>
          <w:p w:rsidR="00557A6F" w:rsidRDefault="00557A6F" w:rsidP="00AF5F55">
            <w:pPr>
              <w:jc w:val="right"/>
            </w:pPr>
            <w:r>
              <w:t>11 662 000</w:t>
            </w:r>
          </w:p>
        </w:tc>
        <w:tc>
          <w:tcPr>
            <w:tcW w:w="1580" w:type="dxa"/>
          </w:tcPr>
          <w:p w:rsidR="00557A6F" w:rsidRDefault="00557A6F" w:rsidP="00AF5F55">
            <w:pPr>
              <w:jc w:val="right"/>
            </w:pPr>
            <w:r>
              <w:t>11 662 000</w:t>
            </w:r>
          </w:p>
        </w:tc>
      </w:tr>
      <w:tr w:rsidR="00557A6F" w:rsidTr="00AF5F55">
        <w:trPr>
          <w:trHeight w:val="380"/>
        </w:trPr>
        <w:tc>
          <w:tcPr>
            <w:tcW w:w="680" w:type="dxa"/>
          </w:tcPr>
          <w:p w:rsidR="00557A6F" w:rsidRDefault="00557A6F" w:rsidP="00557A6F"/>
        </w:tc>
        <w:tc>
          <w:tcPr>
            <w:tcW w:w="680" w:type="dxa"/>
          </w:tcPr>
          <w:p w:rsidR="00557A6F" w:rsidRDefault="00557A6F" w:rsidP="00557A6F"/>
        </w:tc>
        <w:tc>
          <w:tcPr>
            <w:tcW w:w="3440" w:type="dxa"/>
          </w:tcPr>
          <w:p w:rsidR="00557A6F" w:rsidRDefault="00557A6F" w:rsidP="00557A6F">
            <w:r>
              <w:t>Sum Kommunesektoren mv.</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r>
              <w:t>191 159 393 000</w:t>
            </w:r>
          </w:p>
        </w:tc>
      </w:tr>
      <w:tr w:rsidR="00557A6F" w:rsidTr="00AF5F55">
        <w:trPr>
          <w:trHeight w:val="380"/>
        </w:trPr>
        <w:tc>
          <w:tcPr>
            <w:tcW w:w="9540" w:type="dxa"/>
            <w:gridSpan w:val="6"/>
          </w:tcPr>
          <w:p w:rsidR="00557A6F" w:rsidRDefault="00557A6F" w:rsidP="00AF5F55">
            <w:pPr>
              <w:jc w:val="center"/>
            </w:pPr>
            <w:r>
              <w:t>Bolig, bomiljø og bygg</w:t>
            </w:r>
          </w:p>
        </w:tc>
      </w:tr>
      <w:tr w:rsidR="00557A6F" w:rsidTr="00AF5F55">
        <w:trPr>
          <w:trHeight w:val="380"/>
        </w:trPr>
        <w:tc>
          <w:tcPr>
            <w:tcW w:w="680" w:type="dxa"/>
          </w:tcPr>
          <w:p w:rsidR="00557A6F" w:rsidRDefault="00557A6F" w:rsidP="00557A6F">
            <w:r>
              <w:t>581</w:t>
            </w:r>
          </w:p>
        </w:tc>
        <w:tc>
          <w:tcPr>
            <w:tcW w:w="680" w:type="dxa"/>
          </w:tcPr>
          <w:p w:rsidR="00557A6F" w:rsidRDefault="00557A6F" w:rsidP="00557A6F"/>
        </w:tc>
        <w:tc>
          <w:tcPr>
            <w:tcW w:w="3440" w:type="dxa"/>
          </w:tcPr>
          <w:p w:rsidR="00557A6F" w:rsidRDefault="00557A6F" w:rsidP="00557A6F">
            <w:r>
              <w:t>Bolig- og bomiljøtiltak</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70</w:t>
            </w:r>
          </w:p>
        </w:tc>
        <w:tc>
          <w:tcPr>
            <w:tcW w:w="3440" w:type="dxa"/>
          </w:tcPr>
          <w:p w:rsidR="00557A6F" w:rsidRDefault="00557A6F" w:rsidP="00557A6F">
            <w:r>
              <w:t>Bostøtte</w:t>
            </w:r>
            <w:r>
              <w:rPr>
                <w:rStyle w:val="kursiv"/>
                <w:sz w:val="21"/>
                <w:szCs w:val="21"/>
              </w:rPr>
              <w:t xml:space="preserve">, overslagsbevilgning </w:t>
            </w:r>
          </w:p>
        </w:tc>
        <w:tc>
          <w:tcPr>
            <w:tcW w:w="1580" w:type="dxa"/>
          </w:tcPr>
          <w:p w:rsidR="00557A6F" w:rsidRDefault="00557A6F" w:rsidP="00557A6F"/>
        </w:tc>
        <w:tc>
          <w:tcPr>
            <w:tcW w:w="1580" w:type="dxa"/>
          </w:tcPr>
          <w:p w:rsidR="00557A6F" w:rsidRDefault="00557A6F" w:rsidP="00AF5F55">
            <w:pPr>
              <w:jc w:val="right"/>
            </w:pPr>
            <w:r>
              <w:t>2 842 343 000</w:t>
            </w: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76</w:t>
            </w:r>
          </w:p>
        </w:tc>
        <w:tc>
          <w:tcPr>
            <w:tcW w:w="3440" w:type="dxa"/>
          </w:tcPr>
          <w:p w:rsidR="00557A6F" w:rsidRDefault="00557A6F" w:rsidP="00557A6F">
            <w:r>
              <w:t>Utleieboliger</w:t>
            </w:r>
            <w:r>
              <w:rPr>
                <w:rStyle w:val="kursiv"/>
                <w:sz w:val="21"/>
                <w:szCs w:val="21"/>
              </w:rPr>
              <w:t xml:space="preserve">, kan overføres </w:t>
            </w:r>
          </w:p>
        </w:tc>
        <w:tc>
          <w:tcPr>
            <w:tcW w:w="1580" w:type="dxa"/>
          </w:tcPr>
          <w:p w:rsidR="00557A6F" w:rsidRDefault="00557A6F" w:rsidP="00557A6F"/>
        </w:tc>
        <w:tc>
          <w:tcPr>
            <w:tcW w:w="1580" w:type="dxa"/>
          </w:tcPr>
          <w:p w:rsidR="00557A6F" w:rsidRDefault="00557A6F" w:rsidP="00AF5F55">
            <w:pPr>
              <w:jc w:val="right"/>
            </w:pPr>
            <w:r>
              <w:t>485 067 000</w:t>
            </w: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78</w:t>
            </w:r>
          </w:p>
        </w:tc>
        <w:tc>
          <w:tcPr>
            <w:tcW w:w="3440" w:type="dxa"/>
          </w:tcPr>
          <w:p w:rsidR="00557A6F" w:rsidRDefault="00557A6F" w:rsidP="00557A6F">
            <w:r>
              <w:t>Boligsosiale tiltak</w:t>
            </w:r>
            <w:r>
              <w:rPr>
                <w:rStyle w:val="kursiv"/>
                <w:sz w:val="21"/>
                <w:szCs w:val="21"/>
              </w:rPr>
              <w:t xml:space="preserve">, kan overføres </w:t>
            </w:r>
          </w:p>
        </w:tc>
        <w:tc>
          <w:tcPr>
            <w:tcW w:w="1580" w:type="dxa"/>
          </w:tcPr>
          <w:p w:rsidR="00557A6F" w:rsidRDefault="00557A6F" w:rsidP="00557A6F"/>
        </w:tc>
        <w:tc>
          <w:tcPr>
            <w:tcW w:w="1580" w:type="dxa"/>
          </w:tcPr>
          <w:p w:rsidR="00557A6F" w:rsidRDefault="00557A6F" w:rsidP="00AF5F55">
            <w:pPr>
              <w:jc w:val="right"/>
            </w:pPr>
            <w:r>
              <w:t>11 229 000</w:t>
            </w:r>
          </w:p>
        </w:tc>
        <w:tc>
          <w:tcPr>
            <w:tcW w:w="1580" w:type="dxa"/>
          </w:tcPr>
          <w:p w:rsidR="00557A6F" w:rsidRDefault="00557A6F" w:rsidP="00AF5F55">
            <w:pPr>
              <w:jc w:val="right"/>
            </w:pPr>
          </w:p>
        </w:tc>
      </w:tr>
      <w:tr w:rsidR="00557A6F" w:rsidTr="00AF5F55">
        <w:trPr>
          <w:trHeight w:val="640"/>
        </w:trPr>
        <w:tc>
          <w:tcPr>
            <w:tcW w:w="680" w:type="dxa"/>
          </w:tcPr>
          <w:p w:rsidR="00557A6F" w:rsidRDefault="00557A6F" w:rsidP="00557A6F"/>
        </w:tc>
        <w:tc>
          <w:tcPr>
            <w:tcW w:w="680" w:type="dxa"/>
          </w:tcPr>
          <w:p w:rsidR="00557A6F" w:rsidRDefault="00557A6F" w:rsidP="00557A6F">
            <w:r>
              <w:t>79</w:t>
            </w:r>
          </w:p>
        </w:tc>
        <w:tc>
          <w:tcPr>
            <w:tcW w:w="3440" w:type="dxa"/>
          </w:tcPr>
          <w:p w:rsidR="00557A6F" w:rsidRDefault="00557A6F" w:rsidP="00557A6F">
            <w:r>
              <w:t>Heis og tilstandsvurdering</w:t>
            </w:r>
            <w:r>
              <w:rPr>
                <w:rStyle w:val="kursiv"/>
                <w:sz w:val="21"/>
                <w:szCs w:val="21"/>
              </w:rPr>
              <w:t xml:space="preserve">, </w:t>
            </w:r>
            <w:r>
              <w:rPr>
                <w:rStyle w:val="kursiv"/>
                <w:sz w:val="21"/>
                <w:szCs w:val="21"/>
              </w:rPr>
              <w:br/>
              <w:t xml:space="preserve">kan overføres </w:t>
            </w:r>
          </w:p>
        </w:tc>
        <w:tc>
          <w:tcPr>
            <w:tcW w:w="1580" w:type="dxa"/>
          </w:tcPr>
          <w:p w:rsidR="00557A6F" w:rsidRDefault="00557A6F" w:rsidP="00557A6F"/>
        </w:tc>
        <w:tc>
          <w:tcPr>
            <w:tcW w:w="1580" w:type="dxa"/>
          </w:tcPr>
          <w:p w:rsidR="00557A6F" w:rsidRDefault="00557A6F" w:rsidP="00AF5F55">
            <w:pPr>
              <w:jc w:val="right"/>
            </w:pPr>
            <w:r>
              <w:t>50 000 000</w:t>
            </w:r>
          </w:p>
        </w:tc>
        <w:tc>
          <w:tcPr>
            <w:tcW w:w="1580" w:type="dxa"/>
          </w:tcPr>
          <w:p w:rsidR="00557A6F" w:rsidRDefault="00557A6F" w:rsidP="00AF5F55">
            <w:pPr>
              <w:jc w:val="right"/>
            </w:pPr>
            <w:r>
              <w:t>3 388 639 000</w:t>
            </w:r>
          </w:p>
        </w:tc>
      </w:tr>
      <w:tr w:rsidR="00557A6F" w:rsidTr="00AF5F55">
        <w:trPr>
          <w:trHeight w:val="380"/>
        </w:trPr>
        <w:tc>
          <w:tcPr>
            <w:tcW w:w="680" w:type="dxa"/>
          </w:tcPr>
          <w:p w:rsidR="00557A6F" w:rsidRDefault="00557A6F" w:rsidP="00557A6F">
            <w:r>
              <w:t>585</w:t>
            </w:r>
          </w:p>
        </w:tc>
        <w:tc>
          <w:tcPr>
            <w:tcW w:w="680" w:type="dxa"/>
          </w:tcPr>
          <w:p w:rsidR="00557A6F" w:rsidRDefault="00557A6F" w:rsidP="00557A6F"/>
        </w:tc>
        <w:tc>
          <w:tcPr>
            <w:tcW w:w="3440" w:type="dxa"/>
          </w:tcPr>
          <w:p w:rsidR="00557A6F" w:rsidRDefault="00557A6F" w:rsidP="00557A6F">
            <w:r>
              <w:t>Husleietvistutvalget</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01</w:t>
            </w:r>
          </w:p>
        </w:tc>
        <w:tc>
          <w:tcPr>
            <w:tcW w:w="3440" w:type="dxa"/>
          </w:tcPr>
          <w:p w:rsidR="00557A6F" w:rsidRDefault="00557A6F" w:rsidP="00557A6F">
            <w:r>
              <w:t xml:space="preserve">Driftsutgifter </w:t>
            </w:r>
          </w:p>
        </w:tc>
        <w:tc>
          <w:tcPr>
            <w:tcW w:w="1580" w:type="dxa"/>
          </w:tcPr>
          <w:p w:rsidR="00557A6F" w:rsidRDefault="00557A6F" w:rsidP="00557A6F"/>
        </w:tc>
        <w:tc>
          <w:tcPr>
            <w:tcW w:w="1580" w:type="dxa"/>
          </w:tcPr>
          <w:p w:rsidR="00557A6F" w:rsidRDefault="00557A6F" w:rsidP="00AF5F55">
            <w:pPr>
              <w:jc w:val="right"/>
            </w:pPr>
            <w:r>
              <w:t>30 821 000</w:t>
            </w:r>
          </w:p>
        </w:tc>
        <w:tc>
          <w:tcPr>
            <w:tcW w:w="1580" w:type="dxa"/>
          </w:tcPr>
          <w:p w:rsidR="00557A6F" w:rsidRDefault="00557A6F" w:rsidP="00AF5F55">
            <w:pPr>
              <w:jc w:val="right"/>
            </w:pPr>
            <w:r>
              <w:t>30 821 000</w:t>
            </w:r>
          </w:p>
        </w:tc>
      </w:tr>
      <w:tr w:rsidR="00557A6F" w:rsidTr="00AF5F55">
        <w:trPr>
          <w:trHeight w:val="380"/>
        </w:trPr>
        <w:tc>
          <w:tcPr>
            <w:tcW w:w="680" w:type="dxa"/>
          </w:tcPr>
          <w:p w:rsidR="00557A6F" w:rsidRDefault="00557A6F" w:rsidP="00557A6F">
            <w:r>
              <w:t>587</w:t>
            </w:r>
          </w:p>
        </w:tc>
        <w:tc>
          <w:tcPr>
            <w:tcW w:w="680" w:type="dxa"/>
          </w:tcPr>
          <w:p w:rsidR="00557A6F" w:rsidRDefault="00557A6F" w:rsidP="00557A6F"/>
        </w:tc>
        <w:tc>
          <w:tcPr>
            <w:tcW w:w="3440" w:type="dxa"/>
          </w:tcPr>
          <w:p w:rsidR="00557A6F" w:rsidRDefault="00557A6F" w:rsidP="00557A6F">
            <w:r>
              <w:t>Direktoratet for byggkvalitet</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01</w:t>
            </w:r>
          </w:p>
        </w:tc>
        <w:tc>
          <w:tcPr>
            <w:tcW w:w="3440" w:type="dxa"/>
          </w:tcPr>
          <w:p w:rsidR="00557A6F" w:rsidRDefault="00557A6F" w:rsidP="00557A6F">
            <w:r>
              <w:t xml:space="preserve">Driftsutgifter </w:t>
            </w:r>
          </w:p>
        </w:tc>
        <w:tc>
          <w:tcPr>
            <w:tcW w:w="1580" w:type="dxa"/>
          </w:tcPr>
          <w:p w:rsidR="00557A6F" w:rsidRDefault="00557A6F" w:rsidP="00557A6F"/>
        </w:tc>
        <w:tc>
          <w:tcPr>
            <w:tcW w:w="1580" w:type="dxa"/>
          </w:tcPr>
          <w:p w:rsidR="00557A6F" w:rsidRDefault="00557A6F" w:rsidP="00AF5F55">
            <w:pPr>
              <w:jc w:val="right"/>
            </w:pPr>
            <w:r>
              <w:t>105 022 000</w:t>
            </w:r>
          </w:p>
        </w:tc>
        <w:tc>
          <w:tcPr>
            <w:tcW w:w="1580" w:type="dxa"/>
          </w:tcPr>
          <w:p w:rsidR="00557A6F" w:rsidRDefault="00557A6F" w:rsidP="00AF5F55">
            <w:pPr>
              <w:jc w:val="right"/>
            </w:pPr>
          </w:p>
        </w:tc>
      </w:tr>
      <w:tr w:rsidR="00557A6F" w:rsidTr="00AF5F55">
        <w:trPr>
          <w:trHeight w:val="640"/>
        </w:trPr>
        <w:tc>
          <w:tcPr>
            <w:tcW w:w="680" w:type="dxa"/>
          </w:tcPr>
          <w:p w:rsidR="00557A6F" w:rsidRDefault="00557A6F" w:rsidP="00557A6F"/>
        </w:tc>
        <w:tc>
          <w:tcPr>
            <w:tcW w:w="680" w:type="dxa"/>
          </w:tcPr>
          <w:p w:rsidR="00557A6F" w:rsidRDefault="00557A6F" w:rsidP="00557A6F">
            <w:r>
              <w:t>22</w:t>
            </w:r>
          </w:p>
        </w:tc>
        <w:tc>
          <w:tcPr>
            <w:tcW w:w="3440" w:type="dxa"/>
          </w:tcPr>
          <w:p w:rsidR="00557A6F" w:rsidRDefault="00557A6F" w:rsidP="00557A6F">
            <w:r>
              <w:t xml:space="preserve">Kunnskapsutvikling og </w:t>
            </w:r>
            <w:r>
              <w:br/>
              <w:t xml:space="preserve">informasjonsformidling </w:t>
            </w:r>
          </w:p>
        </w:tc>
        <w:tc>
          <w:tcPr>
            <w:tcW w:w="1580" w:type="dxa"/>
          </w:tcPr>
          <w:p w:rsidR="00557A6F" w:rsidRDefault="00557A6F" w:rsidP="00557A6F"/>
        </w:tc>
        <w:tc>
          <w:tcPr>
            <w:tcW w:w="1580" w:type="dxa"/>
          </w:tcPr>
          <w:p w:rsidR="00557A6F" w:rsidRDefault="00557A6F" w:rsidP="00AF5F55">
            <w:pPr>
              <w:jc w:val="right"/>
            </w:pPr>
            <w:r>
              <w:t>51 085 000</w:t>
            </w:r>
          </w:p>
        </w:tc>
        <w:tc>
          <w:tcPr>
            <w:tcW w:w="1580" w:type="dxa"/>
          </w:tcPr>
          <w:p w:rsidR="00557A6F" w:rsidRDefault="00557A6F" w:rsidP="00AF5F55">
            <w:pPr>
              <w:jc w:val="right"/>
            </w:pPr>
            <w:r>
              <w:t>156 107 000</w:t>
            </w:r>
          </w:p>
        </w:tc>
      </w:tr>
      <w:tr w:rsidR="00557A6F" w:rsidTr="00AF5F55">
        <w:trPr>
          <w:trHeight w:val="380"/>
        </w:trPr>
        <w:tc>
          <w:tcPr>
            <w:tcW w:w="680" w:type="dxa"/>
          </w:tcPr>
          <w:p w:rsidR="00557A6F" w:rsidRDefault="00557A6F" w:rsidP="00557A6F"/>
        </w:tc>
        <w:tc>
          <w:tcPr>
            <w:tcW w:w="680" w:type="dxa"/>
          </w:tcPr>
          <w:p w:rsidR="00557A6F" w:rsidRDefault="00557A6F" w:rsidP="00557A6F"/>
        </w:tc>
        <w:tc>
          <w:tcPr>
            <w:tcW w:w="3440" w:type="dxa"/>
          </w:tcPr>
          <w:p w:rsidR="00557A6F" w:rsidRDefault="00557A6F" w:rsidP="00557A6F">
            <w:r>
              <w:t>Sum Bolig, bomiljø og bygg</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r>
              <w:t>3 575 567 000</w:t>
            </w:r>
          </w:p>
        </w:tc>
      </w:tr>
      <w:tr w:rsidR="00557A6F" w:rsidTr="00AF5F55">
        <w:trPr>
          <w:trHeight w:val="380"/>
        </w:trPr>
        <w:tc>
          <w:tcPr>
            <w:tcW w:w="9540" w:type="dxa"/>
            <w:gridSpan w:val="6"/>
          </w:tcPr>
          <w:p w:rsidR="00557A6F" w:rsidRDefault="00557A6F" w:rsidP="00AF5F55">
            <w:pPr>
              <w:jc w:val="center"/>
            </w:pPr>
            <w:r>
              <w:t>Planlegging, byutvikling og geodata</w:t>
            </w:r>
          </w:p>
        </w:tc>
      </w:tr>
      <w:tr w:rsidR="00557A6F" w:rsidTr="00AF5F55">
        <w:trPr>
          <w:trHeight w:val="380"/>
        </w:trPr>
        <w:tc>
          <w:tcPr>
            <w:tcW w:w="680" w:type="dxa"/>
          </w:tcPr>
          <w:p w:rsidR="00557A6F" w:rsidRDefault="00557A6F" w:rsidP="00557A6F">
            <w:r>
              <w:t>590</w:t>
            </w:r>
          </w:p>
        </w:tc>
        <w:tc>
          <w:tcPr>
            <w:tcW w:w="680" w:type="dxa"/>
          </w:tcPr>
          <w:p w:rsidR="00557A6F" w:rsidRDefault="00557A6F" w:rsidP="00557A6F"/>
        </w:tc>
        <w:tc>
          <w:tcPr>
            <w:tcW w:w="3440" w:type="dxa"/>
          </w:tcPr>
          <w:p w:rsidR="00557A6F" w:rsidRDefault="00557A6F" w:rsidP="00557A6F">
            <w:r>
              <w:t>Planlegging og byutvikling</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61</w:t>
            </w:r>
          </w:p>
        </w:tc>
        <w:tc>
          <w:tcPr>
            <w:tcW w:w="3440" w:type="dxa"/>
          </w:tcPr>
          <w:p w:rsidR="00557A6F" w:rsidRDefault="00557A6F" w:rsidP="00557A6F">
            <w:r>
              <w:t>Byvekstavtaler</w:t>
            </w:r>
            <w:r>
              <w:rPr>
                <w:rStyle w:val="kursiv"/>
                <w:sz w:val="21"/>
                <w:szCs w:val="21"/>
              </w:rPr>
              <w:t xml:space="preserve">, kan overføres </w:t>
            </w:r>
          </w:p>
        </w:tc>
        <w:tc>
          <w:tcPr>
            <w:tcW w:w="1580" w:type="dxa"/>
          </w:tcPr>
          <w:p w:rsidR="00557A6F" w:rsidRDefault="00557A6F" w:rsidP="00557A6F"/>
        </w:tc>
        <w:tc>
          <w:tcPr>
            <w:tcW w:w="1580" w:type="dxa"/>
          </w:tcPr>
          <w:p w:rsidR="00557A6F" w:rsidRDefault="00557A6F" w:rsidP="00AF5F55">
            <w:pPr>
              <w:jc w:val="right"/>
            </w:pPr>
            <w:r>
              <w:t>21 348 000</w:t>
            </w: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65</w:t>
            </w:r>
          </w:p>
        </w:tc>
        <w:tc>
          <w:tcPr>
            <w:tcW w:w="3440" w:type="dxa"/>
          </w:tcPr>
          <w:p w:rsidR="00557A6F" w:rsidRDefault="00557A6F" w:rsidP="00557A6F">
            <w:r>
              <w:t>Områdesatsing i byer</w:t>
            </w:r>
            <w:r>
              <w:rPr>
                <w:rStyle w:val="kursiv"/>
                <w:sz w:val="21"/>
                <w:szCs w:val="21"/>
              </w:rPr>
              <w:t xml:space="preserve">, kan overføres </w:t>
            </w:r>
          </w:p>
        </w:tc>
        <w:tc>
          <w:tcPr>
            <w:tcW w:w="1580" w:type="dxa"/>
          </w:tcPr>
          <w:p w:rsidR="00557A6F" w:rsidRDefault="00557A6F" w:rsidP="00557A6F"/>
        </w:tc>
        <w:tc>
          <w:tcPr>
            <w:tcW w:w="1580" w:type="dxa"/>
          </w:tcPr>
          <w:p w:rsidR="00557A6F" w:rsidRDefault="00557A6F" w:rsidP="00AF5F55">
            <w:pPr>
              <w:jc w:val="right"/>
            </w:pPr>
            <w:r>
              <w:t>63 235 000</w:t>
            </w:r>
          </w:p>
        </w:tc>
        <w:tc>
          <w:tcPr>
            <w:tcW w:w="1580" w:type="dxa"/>
          </w:tcPr>
          <w:p w:rsidR="00557A6F" w:rsidRDefault="00557A6F" w:rsidP="00AF5F55">
            <w:pPr>
              <w:jc w:val="right"/>
            </w:pPr>
          </w:p>
        </w:tc>
      </w:tr>
      <w:tr w:rsidR="00557A6F" w:rsidTr="00AF5F55">
        <w:trPr>
          <w:trHeight w:val="640"/>
        </w:trPr>
        <w:tc>
          <w:tcPr>
            <w:tcW w:w="680" w:type="dxa"/>
          </w:tcPr>
          <w:p w:rsidR="00557A6F" w:rsidRDefault="00557A6F" w:rsidP="00557A6F"/>
        </w:tc>
        <w:tc>
          <w:tcPr>
            <w:tcW w:w="680" w:type="dxa"/>
          </w:tcPr>
          <w:p w:rsidR="00557A6F" w:rsidRDefault="00557A6F" w:rsidP="00557A6F">
            <w:r>
              <w:t>72</w:t>
            </w:r>
          </w:p>
        </w:tc>
        <w:tc>
          <w:tcPr>
            <w:tcW w:w="3440" w:type="dxa"/>
          </w:tcPr>
          <w:p w:rsidR="00557A6F" w:rsidRDefault="00557A6F" w:rsidP="00557A6F">
            <w:r>
              <w:t>Bolig- og områdeutvikling i byer</w:t>
            </w:r>
            <w:r>
              <w:rPr>
                <w:rStyle w:val="kursiv"/>
                <w:sz w:val="21"/>
                <w:szCs w:val="21"/>
              </w:rPr>
              <w:t xml:space="preserve">, kan overføres </w:t>
            </w:r>
          </w:p>
        </w:tc>
        <w:tc>
          <w:tcPr>
            <w:tcW w:w="1580" w:type="dxa"/>
          </w:tcPr>
          <w:p w:rsidR="00557A6F" w:rsidRDefault="00557A6F" w:rsidP="00557A6F"/>
        </w:tc>
        <w:tc>
          <w:tcPr>
            <w:tcW w:w="1580" w:type="dxa"/>
          </w:tcPr>
          <w:p w:rsidR="00557A6F" w:rsidRDefault="00557A6F" w:rsidP="00AF5F55">
            <w:pPr>
              <w:jc w:val="right"/>
            </w:pPr>
            <w:r>
              <w:t>20 175 000</w:t>
            </w: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81</w:t>
            </w:r>
          </w:p>
        </w:tc>
        <w:tc>
          <w:tcPr>
            <w:tcW w:w="3440" w:type="dxa"/>
          </w:tcPr>
          <w:p w:rsidR="00557A6F" w:rsidRDefault="00557A6F" w:rsidP="00557A6F">
            <w:r>
              <w:t>Kompetansetiltak</w:t>
            </w:r>
            <w:r>
              <w:rPr>
                <w:rStyle w:val="kursiv"/>
                <w:sz w:val="21"/>
                <w:szCs w:val="21"/>
              </w:rPr>
              <w:t xml:space="preserve">, kan overføres </w:t>
            </w:r>
          </w:p>
        </w:tc>
        <w:tc>
          <w:tcPr>
            <w:tcW w:w="1580" w:type="dxa"/>
          </w:tcPr>
          <w:p w:rsidR="00557A6F" w:rsidRDefault="00557A6F" w:rsidP="00557A6F"/>
        </w:tc>
        <w:tc>
          <w:tcPr>
            <w:tcW w:w="1580" w:type="dxa"/>
          </w:tcPr>
          <w:p w:rsidR="00557A6F" w:rsidRDefault="00557A6F" w:rsidP="00AF5F55">
            <w:pPr>
              <w:jc w:val="right"/>
            </w:pPr>
            <w:r>
              <w:t>6 696 000</w:t>
            </w:r>
          </w:p>
        </w:tc>
        <w:tc>
          <w:tcPr>
            <w:tcW w:w="1580" w:type="dxa"/>
          </w:tcPr>
          <w:p w:rsidR="00557A6F" w:rsidRDefault="00557A6F" w:rsidP="00AF5F55">
            <w:pPr>
              <w:jc w:val="right"/>
            </w:pPr>
            <w:r>
              <w:t>111 454 000</w:t>
            </w:r>
          </w:p>
        </w:tc>
      </w:tr>
      <w:tr w:rsidR="00557A6F" w:rsidTr="00AF5F55">
        <w:trPr>
          <w:trHeight w:val="380"/>
        </w:trPr>
        <w:tc>
          <w:tcPr>
            <w:tcW w:w="680" w:type="dxa"/>
          </w:tcPr>
          <w:p w:rsidR="00557A6F" w:rsidRDefault="00557A6F" w:rsidP="00557A6F">
            <w:r>
              <w:t>595</w:t>
            </w:r>
          </w:p>
        </w:tc>
        <w:tc>
          <w:tcPr>
            <w:tcW w:w="680" w:type="dxa"/>
          </w:tcPr>
          <w:p w:rsidR="00557A6F" w:rsidRDefault="00557A6F" w:rsidP="00557A6F"/>
        </w:tc>
        <w:tc>
          <w:tcPr>
            <w:tcW w:w="3440" w:type="dxa"/>
          </w:tcPr>
          <w:p w:rsidR="00557A6F" w:rsidRDefault="00557A6F" w:rsidP="00557A6F">
            <w:r>
              <w:t>Statens kartverk</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p>
        </w:tc>
      </w:tr>
      <w:tr w:rsidR="00557A6F" w:rsidTr="00AF5F55">
        <w:trPr>
          <w:trHeight w:val="640"/>
        </w:trPr>
        <w:tc>
          <w:tcPr>
            <w:tcW w:w="680" w:type="dxa"/>
          </w:tcPr>
          <w:p w:rsidR="00557A6F" w:rsidRDefault="00557A6F" w:rsidP="00557A6F"/>
        </w:tc>
        <w:tc>
          <w:tcPr>
            <w:tcW w:w="680" w:type="dxa"/>
          </w:tcPr>
          <w:p w:rsidR="00557A6F" w:rsidRDefault="00557A6F" w:rsidP="00557A6F">
            <w:r>
              <w:t>01</w:t>
            </w:r>
          </w:p>
        </w:tc>
        <w:tc>
          <w:tcPr>
            <w:tcW w:w="3440" w:type="dxa"/>
          </w:tcPr>
          <w:p w:rsidR="00557A6F" w:rsidRDefault="00557A6F" w:rsidP="00557A6F">
            <w:r>
              <w:t>Driftsutgifter</w:t>
            </w:r>
            <w:r>
              <w:rPr>
                <w:rStyle w:val="kursiv"/>
                <w:sz w:val="21"/>
                <w:szCs w:val="21"/>
              </w:rPr>
              <w:t xml:space="preserve">, kan nyttes under post 21 og 45 </w:t>
            </w:r>
          </w:p>
        </w:tc>
        <w:tc>
          <w:tcPr>
            <w:tcW w:w="1580" w:type="dxa"/>
          </w:tcPr>
          <w:p w:rsidR="00557A6F" w:rsidRDefault="00557A6F" w:rsidP="00557A6F"/>
        </w:tc>
        <w:tc>
          <w:tcPr>
            <w:tcW w:w="1580" w:type="dxa"/>
          </w:tcPr>
          <w:p w:rsidR="00557A6F" w:rsidRDefault="00557A6F" w:rsidP="00AF5F55">
            <w:pPr>
              <w:jc w:val="right"/>
            </w:pPr>
            <w:r>
              <w:t>913 380 000</w:t>
            </w:r>
          </w:p>
        </w:tc>
        <w:tc>
          <w:tcPr>
            <w:tcW w:w="1580" w:type="dxa"/>
          </w:tcPr>
          <w:p w:rsidR="00557A6F" w:rsidRDefault="00557A6F" w:rsidP="00AF5F55">
            <w:pPr>
              <w:jc w:val="right"/>
            </w:pPr>
          </w:p>
        </w:tc>
      </w:tr>
      <w:tr w:rsidR="00557A6F" w:rsidTr="00AF5F55">
        <w:trPr>
          <w:trHeight w:val="640"/>
        </w:trPr>
        <w:tc>
          <w:tcPr>
            <w:tcW w:w="680" w:type="dxa"/>
          </w:tcPr>
          <w:p w:rsidR="00557A6F" w:rsidRDefault="00557A6F" w:rsidP="00557A6F"/>
        </w:tc>
        <w:tc>
          <w:tcPr>
            <w:tcW w:w="680" w:type="dxa"/>
          </w:tcPr>
          <w:p w:rsidR="00557A6F" w:rsidRDefault="00557A6F" w:rsidP="00557A6F">
            <w:r>
              <w:t>21</w:t>
            </w:r>
          </w:p>
        </w:tc>
        <w:tc>
          <w:tcPr>
            <w:tcW w:w="3440" w:type="dxa"/>
          </w:tcPr>
          <w:p w:rsidR="00557A6F" w:rsidRDefault="00557A6F" w:rsidP="00557A6F">
            <w:r>
              <w:t>Spesielle driftsutgifter</w:t>
            </w:r>
            <w:r>
              <w:rPr>
                <w:rStyle w:val="kursiv"/>
                <w:sz w:val="21"/>
                <w:szCs w:val="21"/>
              </w:rPr>
              <w:t>, kan overf</w:t>
            </w:r>
            <w:r>
              <w:rPr>
                <w:rStyle w:val="kursiv"/>
                <w:sz w:val="21"/>
                <w:szCs w:val="21"/>
              </w:rPr>
              <w:t>ø</w:t>
            </w:r>
            <w:r>
              <w:rPr>
                <w:rStyle w:val="kursiv"/>
                <w:sz w:val="21"/>
                <w:szCs w:val="21"/>
              </w:rPr>
              <w:t xml:space="preserve">res, kan nyttes under post 01 og 45 </w:t>
            </w:r>
          </w:p>
        </w:tc>
        <w:tc>
          <w:tcPr>
            <w:tcW w:w="1580" w:type="dxa"/>
          </w:tcPr>
          <w:p w:rsidR="00557A6F" w:rsidRDefault="00557A6F" w:rsidP="00557A6F"/>
        </w:tc>
        <w:tc>
          <w:tcPr>
            <w:tcW w:w="1580" w:type="dxa"/>
          </w:tcPr>
          <w:p w:rsidR="00557A6F" w:rsidRDefault="00557A6F" w:rsidP="00AF5F55">
            <w:pPr>
              <w:jc w:val="right"/>
            </w:pPr>
            <w:r>
              <w:t>293 827 000</w:t>
            </w: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30</w:t>
            </w:r>
          </w:p>
        </w:tc>
        <w:tc>
          <w:tcPr>
            <w:tcW w:w="3440" w:type="dxa"/>
          </w:tcPr>
          <w:p w:rsidR="00557A6F" w:rsidRDefault="00557A6F" w:rsidP="00557A6F">
            <w:r>
              <w:t>Geodesiobservatoriet</w:t>
            </w:r>
            <w:r>
              <w:rPr>
                <w:rStyle w:val="kursiv"/>
                <w:sz w:val="21"/>
                <w:szCs w:val="21"/>
              </w:rPr>
              <w:t xml:space="preserve">, kan overføres </w:t>
            </w:r>
          </w:p>
        </w:tc>
        <w:tc>
          <w:tcPr>
            <w:tcW w:w="1580" w:type="dxa"/>
          </w:tcPr>
          <w:p w:rsidR="00557A6F" w:rsidRDefault="00557A6F" w:rsidP="00557A6F"/>
        </w:tc>
        <w:tc>
          <w:tcPr>
            <w:tcW w:w="1580" w:type="dxa"/>
          </w:tcPr>
          <w:p w:rsidR="00557A6F" w:rsidRDefault="00557A6F" w:rsidP="00AF5F55">
            <w:pPr>
              <w:jc w:val="right"/>
            </w:pPr>
            <w:r>
              <w:t>7 636 000</w:t>
            </w:r>
          </w:p>
        </w:tc>
        <w:tc>
          <w:tcPr>
            <w:tcW w:w="1580" w:type="dxa"/>
          </w:tcPr>
          <w:p w:rsidR="00557A6F" w:rsidRDefault="00557A6F" w:rsidP="00AF5F55">
            <w:pPr>
              <w:jc w:val="right"/>
            </w:pPr>
            <w:r>
              <w:t>1 214 843 000</w:t>
            </w:r>
          </w:p>
        </w:tc>
      </w:tr>
      <w:tr w:rsidR="00557A6F" w:rsidTr="00AF5F55">
        <w:trPr>
          <w:trHeight w:val="640"/>
        </w:trPr>
        <w:tc>
          <w:tcPr>
            <w:tcW w:w="680" w:type="dxa"/>
          </w:tcPr>
          <w:p w:rsidR="00557A6F" w:rsidRDefault="00557A6F" w:rsidP="00557A6F"/>
        </w:tc>
        <w:tc>
          <w:tcPr>
            <w:tcW w:w="680" w:type="dxa"/>
          </w:tcPr>
          <w:p w:rsidR="00557A6F" w:rsidRDefault="00557A6F" w:rsidP="00557A6F"/>
        </w:tc>
        <w:tc>
          <w:tcPr>
            <w:tcW w:w="3440" w:type="dxa"/>
          </w:tcPr>
          <w:p w:rsidR="00557A6F" w:rsidRDefault="00557A6F" w:rsidP="00557A6F">
            <w:r>
              <w:t>Sum Planlegging, byutvikling og geodata</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r>
              <w:t>1 326 297 000</w:t>
            </w:r>
          </w:p>
        </w:tc>
      </w:tr>
      <w:tr w:rsidR="00557A6F" w:rsidTr="00AF5F55">
        <w:trPr>
          <w:trHeight w:val="380"/>
        </w:trPr>
        <w:tc>
          <w:tcPr>
            <w:tcW w:w="9540" w:type="dxa"/>
            <w:gridSpan w:val="6"/>
          </w:tcPr>
          <w:p w:rsidR="00557A6F" w:rsidRDefault="00557A6F" w:rsidP="00AF5F55">
            <w:pPr>
              <w:jc w:val="center"/>
            </w:pPr>
            <w:r>
              <w:t>Statsbankene</w:t>
            </w:r>
          </w:p>
        </w:tc>
      </w:tr>
      <w:tr w:rsidR="00557A6F" w:rsidTr="00AF5F55">
        <w:trPr>
          <w:trHeight w:val="380"/>
        </w:trPr>
        <w:tc>
          <w:tcPr>
            <w:tcW w:w="680" w:type="dxa"/>
          </w:tcPr>
          <w:p w:rsidR="00557A6F" w:rsidRDefault="00557A6F" w:rsidP="00557A6F">
            <w:r>
              <w:t>2412</w:t>
            </w:r>
          </w:p>
        </w:tc>
        <w:tc>
          <w:tcPr>
            <w:tcW w:w="680" w:type="dxa"/>
          </w:tcPr>
          <w:p w:rsidR="00557A6F" w:rsidRDefault="00557A6F" w:rsidP="00557A6F"/>
        </w:tc>
        <w:tc>
          <w:tcPr>
            <w:tcW w:w="3440" w:type="dxa"/>
          </w:tcPr>
          <w:p w:rsidR="00557A6F" w:rsidRDefault="00557A6F" w:rsidP="00557A6F">
            <w:r>
              <w:t>Husbanken</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01</w:t>
            </w:r>
          </w:p>
        </w:tc>
        <w:tc>
          <w:tcPr>
            <w:tcW w:w="3440" w:type="dxa"/>
          </w:tcPr>
          <w:p w:rsidR="00557A6F" w:rsidRDefault="00557A6F" w:rsidP="00557A6F">
            <w:r>
              <w:t xml:space="preserve">Driftsutgifter </w:t>
            </w:r>
          </w:p>
        </w:tc>
        <w:tc>
          <w:tcPr>
            <w:tcW w:w="1580" w:type="dxa"/>
          </w:tcPr>
          <w:p w:rsidR="00557A6F" w:rsidRDefault="00557A6F" w:rsidP="00557A6F"/>
        </w:tc>
        <w:tc>
          <w:tcPr>
            <w:tcW w:w="1580" w:type="dxa"/>
          </w:tcPr>
          <w:p w:rsidR="00557A6F" w:rsidRDefault="00557A6F" w:rsidP="00AF5F55">
            <w:pPr>
              <w:jc w:val="right"/>
            </w:pPr>
            <w:r>
              <w:t>365 288 000</w:t>
            </w: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21</w:t>
            </w:r>
          </w:p>
        </w:tc>
        <w:tc>
          <w:tcPr>
            <w:tcW w:w="3440" w:type="dxa"/>
          </w:tcPr>
          <w:p w:rsidR="00557A6F" w:rsidRDefault="00557A6F" w:rsidP="00557A6F">
            <w:r>
              <w:t>Spesielle driftsutgifter</w:t>
            </w:r>
            <w:r>
              <w:rPr>
                <w:rStyle w:val="kursiv"/>
                <w:sz w:val="21"/>
                <w:szCs w:val="21"/>
              </w:rPr>
              <w:t>, kan overf</w:t>
            </w:r>
            <w:r>
              <w:rPr>
                <w:rStyle w:val="kursiv"/>
                <w:sz w:val="21"/>
                <w:szCs w:val="21"/>
              </w:rPr>
              <w:t>ø</w:t>
            </w:r>
            <w:r>
              <w:rPr>
                <w:rStyle w:val="kursiv"/>
                <w:sz w:val="21"/>
                <w:szCs w:val="21"/>
              </w:rPr>
              <w:t xml:space="preserve">res </w:t>
            </w:r>
          </w:p>
        </w:tc>
        <w:tc>
          <w:tcPr>
            <w:tcW w:w="1580" w:type="dxa"/>
          </w:tcPr>
          <w:p w:rsidR="00557A6F" w:rsidRDefault="00557A6F" w:rsidP="00557A6F"/>
        </w:tc>
        <w:tc>
          <w:tcPr>
            <w:tcW w:w="1580" w:type="dxa"/>
          </w:tcPr>
          <w:p w:rsidR="00557A6F" w:rsidRDefault="00557A6F" w:rsidP="00AF5F55">
            <w:pPr>
              <w:jc w:val="right"/>
            </w:pPr>
            <w:r>
              <w:t>11 841 000</w:t>
            </w:r>
          </w:p>
        </w:tc>
        <w:tc>
          <w:tcPr>
            <w:tcW w:w="1580" w:type="dxa"/>
          </w:tcPr>
          <w:p w:rsidR="00557A6F" w:rsidRDefault="00557A6F" w:rsidP="00AF5F55">
            <w:pPr>
              <w:jc w:val="right"/>
            </w:pPr>
          </w:p>
        </w:tc>
      </w:tr>
      <w:tr w:rsidR="00557A6F" w:rsidTr="00AF5F55">
        <w:trPr>
          <w:trHeight w:val="640"/>
        </w:trPr>
        <w:tc>
          <w:tcPr>
            <w:tcW w:w="680" w:type="dxa"/>
          </w:tcPr>
          <w:p w:rsidR="00557A6F" w:rsidRDefault="00557A6F" w:rsidP="00557A6F"/>
        </w:tc>
        <w:tc>
          <w:tcPr>
            <w:tcW w:w="680" w:type="dxa"/>
          </w:tcPr>
          <w:p w:rsidR="00557A6F" w:rsidRDefault="00557A6F" w:rsidP="00557A6F">
            <w:r>
              <w:t>45</w:t>
            </w:r>
          </w:p>
        </w:tc>
        <w:tc>
          <w:tcPr>
            <w:tcW w:w="3440" w:type="dxa"/>
          </w:tcPr>
          <w:p w:rsidR="00557A6F" w:rsidRDefault="00557A6F" w:rsidP="00557A6F">
            <w:r>
              <w:t xml:space="preserve">Større utstyrsanskaffelser og </w:t>
            </w:r>
            <w:r>
              <w:br/>
              <w:t>vedlikehold</w:t>
            </w:r>
            <w:r>
              <w:rPr>
                <w:rStyle w:val="kursiv"/>
                <w:sz w:val="21"/>
                <w:szCs w:val="21"/>
              </w:rPr>
              <w:t xml:space="preserve">, kan overføres </w:t>
            </w:r>
          </w:p>
        </w:tc>
        <w:tc>
          <w:tcPr>
            <w:tcW w:w="1580" w:type="dxa"/>
          </w:tcPr>
          <w:p w:rsidR="00557A6F" w:rsidRDefault="00557A6F" w:rsidP="00557A6F"/>
        </w:tc>
        <w:tc>
          <w:tcPr>
            <w:tcW w:w="1580" w:type="dxa"/>
          </w:tcPr>
          <w:p w:rsidR="00557A6F" w:rsidRDefault="00557A6F" w:rsidP="00AF5F55">
            <w:pPr>
              <w:jc w:val="right"/>
            </w:pPr>
            <w:r>
              <w:t>70 565 000</w:t>
            </w: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71</w:t>
            </w:r>
          </w:p>
        </w:tc>
        <w:tc>
          <w:tcPr>
            <w:tcW w:w="3440" w:type="dxa"/>
          </w:tcPr>
          <w:p w:rsidR="00557A6F" w:rsidRDefault="00557A6F" w:rsidP="00557A6F">
            <w:r>
              <w:t xml:space="preserve">Tap på lån </w:t>
            </w:r>
          </w:p>
        </w:tc>
        <w:tc>
          <w:tcPr>
            <w:tcW w:w="1580" w:type="dxa"/>
          </w:tcPr>
          <w:p w:rsidR="00557A6F" w:rsidRDefault="00557A6F" w:rsidP="00557A6F"/>
        </w:tc>
        <w:tc>
          <w:tcPr>
            <w:tcW w:w="1580" w:type="dxa"/>
          </w:tcPr>
          <w:p w:rsidR="00557A6F" w:rsidRDefault="00557A6F" w:rsidP="00AF5F55">
            <w:pPr>
              <w:jc w:val="right"/>
            </w:pPr>
            <w:r>
              <w:t>12 000 000</w:t>
            </w: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72</w:t>
            </w:r>
          </w:p>
        </w:tc>
        <w:tc>
          <w:tcPr>
            <w:tcW w:w="3440" w:type="dxa"/>
          </w:tcPr>
          <w:p w:rsidR="00557A6F" w:rsidRDefault="00557A6F" w:rsidP="00557A6F">
            <w:r>
              <w:t xml:space="preserve">Rentestøtte </w:t>
            </w:r>
          </w:p>
        </w:tc>
        <w:tc>
          <w:tcPr>
            <w:tcW w:w="1580" w:type="dxa"/>
          </w:tcPr>
          <w:p w:rsidR="00557A6F" w:rsidRDefault="00557A6F" w:rsidP="00557A6F"/>
        </w:tc>
        <w:tc>
          <w:tcPr>
            <w:tcW w:w="1580" w:type="dxa"/>
          </w:tcPr>
          <w:p w:rsidR="00557A6F" w:rsidRDefault="00557A6F" w:rsidP="00AF5F55">
            <w:pPr>
              <w:jc w:val="right"/>
            </w:pPr>
            <w:r>
              <w:t>3 000 000</w:t>
            </w: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90</w:t>
            </w:r>
          </w:p>
        </w:tc>
        <w:tc>
          <w:tcPr>
            <w:tcW w:w="3440" w:type="dxa"/>
          </w:tcPr>
          <w:p w:rsidR="00557A6F" w:rsidRDefault="00557A6F" w:rsidP="00557A6F">
            <w:r>
              <w:t>Nye lån</w:t>
            </w:r>
            <w:r>
              <w:rPr>
                <w:rStyle w:val="kursiv"/>
                <w:sz w:val="21"/>
                <w:szCs w:val="21"/>
              </w:rPr>
              <w:t xml:space="preserve">, overslagsbevilgning </w:t>
            </w:r>
          </w:p>
        </w:tc>
        <w:tc>
          <w:tcPr>
            <w:tcW w:w="1580" w:type="dxa"/>
          </w:tcPr>
          <w:p w:rsidR="00557A6F" w:rsidRDefault="00557A6F" w:rsidP="00557A6F"/>
        </w:tc>
        <w:tc>
          <w:tcPr>
            <w:tcW w:w="1580" w:type="dxa"/>
          </w:tcPr>
          <w:p w:rsidR="00557A6F" w:rsidRDefault="00557A6F" w:rsidP="00AF5F55">
            <w:pPr>
              <w:jc w:val="right"/>
            </w:pPr>
            <w:r>
              <w:t>14 810 000 000</w:t>
            </w:r>
          </w:p>
        </w:tc>
        <w:tc>
          <w:tcPr>
            <w:tcW w:w="1580" w:type="dxa"/>
          </w:tcPr>
          <w:p w:rsidR="00557A6F" w:rsidRDefault="00557A6F" w:rsidP="00AF5F55">
            <w:pPr>
              <w:jc w:val="right"/>
            </w:pPr>
            <w:r>
              <w:t>15 272 694 000</w:t>
            </w:r>
          </w:p>
        </w:tc>
      </w:tr>
      <w:tr w:rsidR="00557A6F" w:rsidTr="00AF5F55">
        <w:trPr>
          <w:trHeight w:val="380"/>
        </w:trPr>
        <w:tc>
          <w:tcPr>
            <w:tcW w:w="680" w:type="dxa"/>
          </w:tcPr>
          <w:p w:rsidR="00557A6F" w:rsidRDefault="00557A6F" w:rsidP="00557A6F"/>
        </w:tc>
        <w:tc>
          <w:tcPr>
            <w:tcW w:w="680" w:type="dxa"/>
          </w:tcPr>
          <w:p w:rsidR="00557A6F" w:rsidRDefault="00557A6F" w:rsidP="00557A6F"/>
        </w:tc>
        <w:tc>
          <w:tcPr>
            <w:tcW w:w="3440" w:type="dxa"/>
          </w:tcPr>
          <w:p w:rsidR="00557A6F" w:rsidRDefault="00557A6F" w:rsidP="00557A6F">
            <w:r>
              <w:t>Sum Statsbankene</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r>
              <w:t>15 272 694 000</w:t>
            </w:r>
          </w:p>
        </w:tc>
      </w:tr>
      <w:tr w:rsidR="00557A6F" w:rsidTr="00AF5F55">
        <w:trPr>
          <w:trHeight w:val="380"/>
        </w:trPr>
        <w:tc>
          <w:tcPr>
            <w:tcW w:w="9540" w:type="dxa"/>
            <w:gridSpan w:val="6"/>
          </w:tcPr>
          <w:p w:rsidR="00557A6F" w:rsidRDefault="00557A6F" w:rsidP="00AF5F55">
            <w:pPr>
              <w:jc w:val="center"/>
            </w:pPr>
            <w:r>
              <w:lastRenderedPageBreak/>
              <w:t>Statens forretningsdrift</w:t>
            </w:r>
          </w:p>
        </w:tc>
      </w:tr>
      <w:tr w:rsidR="00557A6F" w:rsidTr="00AF5F55">
        <w:trPr>
          <w:trHeight w:val="380"/>
        </w:trPr>
        <w:tc>
          <w:tcPr>
            <w:tcW w:w="680" w:type="dxa"/>
          </w:tcPr>
          <w:p w:rsidR="00557A6F" w:rsidRDefault="00557A6F" w:rsidP="00557A6F">
            <w:r>
              <w:t>2445</w:t>
            </w:r>
          </w:p>
        </w:tc>
        <w:tc>
          <w:tcPr>
            <w:tcW w:w="680" w:type="dxa"/>
          </w:tcPr>
          <w:p w:rsidR="00557A6F" w:rsidRDefault="00557A6F" w:rsidP="00557A6F"/>
        </w:tc>
        <w:tc>
          <w:tcPr>
            <w:tcW w:w="3440" w:type="dxa"/>
          </w:tcPr>
          <w:p w:rsidR="00557A6F" w:rsidRDefault="00557A6F" w:rsidP="00557A6F">
            <w:r>
              <w:t>Statsbygg</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24</w:t>
            </w:r>
          </w:p>
        </w:tc>
        <w:tc>
          <w:tcPr>
            <w:tcW w:w="3440" w:type="dxa"/>
          </w:tcPr>
          <w:p w:rsidR="00557A6F" w:rsidRDefault="00557A6F" w:rsidP="00557A6F">
            <w:r>
              <w:t xml:space="preserve">Driftsresultat </w:t>
            </w:r>
          </w:p>
        </w:tc>
        <w:tc>
          <w:tcPr>
            <w:tcW w:w="1580" w:type="dxa"/>
          </w:tcPr>
          <w:p w:rsidR="00557A6F" w:rsidRDefault="00557A6F" w:rsidP="00AF5F55">
            <w:pPr>
              <w:jc w:val="right"/>
            </w:pPr>
          </w:p>
        </w:tc>
        <w:tc>
          <w:tcPr>
            <w:tcW w:w="1580" w:type="dxa"/>
          </w:tcPr>
          <w:p w:rsidR="00557A6F" w:rsidRDefault="00557A6F" w:rsidP="00AF5F55">
            <w:pPr>
              <w:jc w:val="right"/>
            </w:pP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tc>
        <w:tc>
          <w:tcPr>
            <w:tcW w:w="3440" w:type="dxa"/>
          </w:tcPr>
          <w:p w:rsidR="00557A6F" w:rsidRDefault="00557A6F" w:rsidP="00557A6F">
            <w:r>
              <w:t xml:space="preserve">1 Driftsinntekter </w:t>
            </w:r>
          </w:p>
        </w:tc>
        <w:tc>
          <w:tcPr>
            <w:tcW w:w="1580" w:type="dxa"/>
          </w:tcPr>
          <w:p w:rsidR="00557A6F" w:rsidRDefault="00557A6F" w:rsidP="00AF5F55">
            <w:pPr>
              <w:jc w:val="right"/>
            </w:pPr>
            <w:r>
              <w:t>-5 322 749 000</w:t>
            </w:r>
          </w:p>
        </w:tc>
        <w:tc>
          <w:tcPr>
            <w:tcW w:w="1580" w:type="dxa"/>
          </w:tcPr>
          <w:p w:rsidR="00557A6F" w:rsidRDefault="00557A6F" w:rsidP="00AF5F55">
            <w:pPr>
              <w:jc w:val="right"/>
            </w:pP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tc>
        <w:tc>
          <w:tcPr>
            <w:tcW w:w="3440" w:type="dxa"/>
          </w:tcPr>
          <w:p w:rsidR="00557A6F" w:rsidRDefault="00557A6F" w:rsidP="00557A6F">
            <w:r>
              <w:t xml:space="preserve">2 Driftsutgifter </w:t>
            </w:r>
          </w:p>
        </w:tc>
        <w:tc>
          <w:tcPr>
            <w:tcW w:w="1580" w:type="dxa"/>
          </w:tcPr>
          <w:p w:rsidR="00557A6F" w:rsidRDefault="00557A6F" w:rsidP="00AF5F55">
            <w:pPr>
              <w:jc w:val="right"/>
            </w:pPr>
            <w:r>
              <w:t>1 974 228 000</w:t>
            </w:r>
          </w:p>
        </w:tc>
        <w:tc>
          <w:tcPr>
            <w:tcW w:w="1580" w:type="dxa"/>
          </w:tcPr>
          <w:p w:rsidR="00557A6F" w:rsidRDefault="00557A6F" w:rsidP="00AF5F55">
            <w:pPr>
              <w:jc w:val="right"/>
            </w:pP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tc>
        <w:tc>
          <w:tcPr>
            <w:tcW w:w="3440" w:type="dxa"/>
          </w:tcPr>
          <w:p w:rsidR="00557A6F" w:rsidRDefault="00557A6F" w:rsidP="00557A6F">
            <w:r>
              <w:t xml:space="preserve">3 Avskrivninger </w:t>
            </w:r>
          </w:p>
        </w:tc>
        <w:tc>
          <w:tcPr>
            <w:tcW w:w="1580" w:type="dxa"/>
          </w:tcPr>
          <w:p w:rsidR="00557A6F" w:rsidRDefault="00557A6F" w:rsidP="00AF5F55">
            <w:pPr>
              <w:jc w:val="right"/>
            </w:pPr>
            <w:r>
              <w:t>1 464 300 000</w:t>
            </w:r>
          </w:p>
        </w:tc>
        <w:tc>
          <w:tcPr>
            <w:tcW w:w="1580" w:type="dxa"/>
          </w:tcPr>
          <w:p w:rsidR="00557A6F" w:rsidRDefault="00557A6F" w:rsidP="00AF5F55">
            <w:pPr>
              <w:jc w:val="right"/>
            </w:pP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tc>
        <w:tc>
          <w:tcPr>
            <w:tcW w:w="3440" w:type="dxa"/>
          </w:tcPr>
          <w:p w:rsidR="00557A6F" w:rsidRDefault="00557A6F" w:rsidP="00557A6F">
            <w:r>
              <w:t xml:space="preserve">4 Renter av statens kapital </w:t>
            </w:r>
          </w:p>
        </w:tc>
        <w:tc>
          <w:tcPr>
            <w:tcW w:w="1580" w:type="dxa"/>
          </w:tcPr>
          <w:p w:rsidR="00557A6F" w:rsidRDefault="00557A6F" w:rsidP="00AF5F55">
            <w:pPr>
              <w:jc w:val="right"/>
            </w:pPr>
            <w:r>
              <w:t>100 808 000</w:t>
            </w:r>
          </w:p>
        </w:tc>
        <w:tc>
          <w:tcPr>
            <w:tcW w:w="1580" w:type="dxa"/>
          </w:tcPr>
          <w:p w:rsidR="00557A6F" w:rsidRDefault="00557A6F" w:rsidP="00AF5F55">
            <w:pPr>
              <w:jc w:val="right"/>
            </w:pP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tc>
        <w:tc>
          <w:tcPr>
            <w:tcW w:w="3440" w:type="dxa"/>
          </w:tcPr>
          <w:p w:rsidR="00557A6F" w:rsidRDefault="00557A6F" w:rsidP="00557A6F">
            <w:r>
              <w:t xml:space="preserve">5 Til investeringsformål </w:t>
            </w:r>
          </w:p>
        </w:tc>
        <w:tc>
          <w:tcPr>
            <w:tcW w:w="1580" w:type="dxa"/>
          </w:tcPr>
          <w:p w:rsidR="00557A6F" w:rsidRDefault="00557A6F" w:rsidP="00AF5F55">
            <w:pPr>
              <w:jc w:val="right"/>
            </w:pPr>
            <w:r>
              <w:t>1 132 272 000</w:t>
            </w:r>
          </w:p>
        </w:tc>
        <w:tc>
          <w:tcPr>
            <w:tcW w:w="1580" w:type="dxa"/>
          </w:tcPr>
          <w:p w:rsidR="00557A6F" w:rsidRDefault="00557A6F" w:rsidP="00AF5F55">
            <w:pPr>
              <w:jc w:val="right"/>
            </w:pPr>
            <w:r>
              <w:t>-651 141 000</w:t>
            </w: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30</w:t>
            </w:r>
          </w:p>
        </w:tc>
        <w:tc>
          <w:tcPr>
            <w:tcW w:w="3440" w:type="dxa"/>
          </w:tcPr>
          <w:p w:rsidR="00557A6F" w:rsidRDefault="00557A6F" w:rsidP="00557A6F">
            <w:r>
              <w:t>Prosjektering av bygg</w:t>
            </w:r>
            <w:r>
              <w:rPr>
                <w:rStyle w:val="kursiv"/>
                <w:sz w:val="21"/>
                <w:szCs w:val="21"/>
              </w:rPr>
              <w:t>, kan overf</w:t>
            </w:r>
            <w:r>
              <w:rPr>
                <w:rStyle w:val="kursiv"/>
                <w:sz w:val="21"/>
                <w:szCs w:val="21"/>
              </w:rPr>
              <w:t>ø</w:t>
            </w:r>
            <w:r>
              <w:rPr>
                <w:rStyle w:val="kursiv"/>
                <w:sz w:val="21"/>
                <w:szCs w:val="21"/>
              </w:rPr>
              <w:t xml:space="preserve">res </w:t>
            </w:r>
          </w:p>
        </w:tc>
        <w:tc>
          <w:tcPr>
            <w:tcW w:w="1580" w:type="dxa"/>
          </w:tcPr>
          <w:p w:rsidR="00557A6F" w:rsidRDefault="00557A6F" w:rsidP="00AF5F55">
            <w:pPr>
              <w:jc w:val="right"/>
            </w:pPr>
          </w:p>
        </w:tc>
        <w:tc>
          <w:tcPr>
            <w:tcW w:w="1580" w:type="dxa"/>
          </w:tcPr>
          <w:p w:rsidR="00557A6F" w:rsidRDefault="00557A6F" w:rsidP="00AF5F55">
            <w:pPr>
              <w:jc w:val="right"/>
            </w:pPr>
            <w:r>
              <w:t>515 000 000</w:t>
            </w:r>
          </w:p>
        </w:tc>
        <w:tc>
          <w:tcPr>
            <w:tcW w:w="1580" w:type="dxa"/>
          </w:tcPr>
          <w:p w:rsidR="00557A6F" w:rsidRDefault="00557A6F" w:rsidP="00AF5F55">
            <w:pPr>
              <w:jc w:val="right"/>
            </w:pPr>
          </w:p>
        </w:tc>
      </w:tr>
      <w:tr w:rsidR="00557A6F" w:rsidTr="00AF5F55">
        <w:trPr>
          <w:trHeight w:val="640"/>
        </w:trPr>
        <w:tc>
          <w:tcPr>
            <w:tcW w:w="680" w:type="dxa"/>
          </w:tcPr>
          <w:p w:rsidR="00557A6F" w:rsidRDefault="00557A6F" w:rsidP="00557A6F"/>
        </w:tc>
        <w:tc>
          <w:tcPr>
            <w:tcW w:w="680" w:type="dxa"/>
          </w:tcPr>
          <w:p w:rsidR="00557A6F" w:rsidRDefault="00557A6F" w:rsidP="00557A6F">
            <w:r>
              <w:t>31</w:t>
            </w:r>
          </w:p>
        </w:tc>
        <w:tc>
          <w:tcPr>
            <w:tcW w:w="3440" w:type="dxa"/>
          </w:tcPr>
          <w:p w:rsidR="00557A6F" w:rsidRDefault="00557A6F" w:rsidP="00557A6F">
            <w:r>
              <w:t>Igangsetting av ordinære byggepr</w:t>
            </w:r>
            <w:r>
              <w:t>o</w:t>
            </w:r>
            <w:r>
              <w:t>sjekter</w:t>
            </w:r>
            <w:r>
              <w:rPr>
                <w:rStyle w:val="kursiv"/>
                <w:sz w:val="21"/>
                <w:szCs w:val="21"/>
              </w:rPr>
              <w:t xml:space="preserve">, kan overføres </w:t>
            </w:r>
          </w:p>
        </w:tc>
        <w:tc>
          <w:tcPr>
            <w:tcW w:w="1580" w:type="dxa"/>
          </w:tcPr>
          <w:p w:rsidR="00557A6F" w:rsidRDefault="00557A6F" w:rsidP="00AF5F55">
            <w:pPr>
              <w:jc w:val="right"/>
            </w:pPr>
          </w:p>
        </w:tc>
        <w:tc>
          <w:tcPr>
            <w:tcW w:w="1580" w:type="dxa"/>
          </w:tcPr>
          <w:p w:rsidR="00557A6F" w:rsidRDefault="00557A6F" w:rsidP="00AF5F55">
            <w:pPr>
              <w:jc w:val="right"/>
            </w:pPr>
            <w:r>
              <w:t>187 000 000</w:t>
            </w:r>
          </w:p>
        </w:tc>
        <w:tc>
          <w:tcPr>
            <w:tcW w:w="1580" w:type="dxa"/>
          </w:tcPr>
          <w:p w:rsidR="00557A6F" w:rsidRDefault="00557A6F" w:rsidP="00AF5F55">
            <w:pPr>
              <w:jc w:val="right"/>
            </w:pPr>
          </w:p>
        </w:tc>
      </w:tr>
      <w:tr w:rsidR="00557A6F" w:rsidTr="00AF5F55">
        <w:trPr>
          <w:trHeight w:val="880"/>
        </w:trPr>
        <w:tc>
          <w:tcPr>
            <w:tcW w:w="680" w:type="dxa"/>
          </w:tcPr>
          <w:p w:rsidR="00557A6F" w:rsidRDefault="00557A6F" w:rsidP="00557A6F"/>
        </w:tc>
        <w:tc>
          <w:tcPr>
            <w:tcW w:w="680" w:type="dxa"/>
          </w:tcPr>
          <w:p w:rsidR="00557A6F" w:rsidRDefault="00557A6F" w:rsidP="00557A6F">
            <w:r>
              <w:t>32</w:t>
            </w:r>
          </w:p>
        </w:tc>
        <w:tc>
          <w:tcPr>
            <w:tcW w:w="3440" w:type="dxa"/>
          </w:tcPr>
          <w:p w:rsidR="00557A6F" w:rsidRDefault="00557A6F" w:rsidP="00557A6F">
            <w:r>
              <w:t>Prosjektering og igangsetting av brukerfinansierte byggeprosjekter</w:t>
            </w:r>
            <w:r>
              <w:rPr>
                <w:rStyle w:val="kursiv"/>
                <w:sz w:val="21"/>
                <w:szCs w:val="21"/>
              </w:rPr>
              <w:t xml:space="preserve">, kan overføres </w:t>
            </w:r>
          </w:p>
        </w:tc>
        <w:tc>
          <w:tcPr>
            <w:tcW w:w="1580" w:type="dxa"/>
          </w:tcPr>
          <w:p w:rsidR="00557A6F" w:rsidRDefault="00557A6F" w:rsidP="00AF5F55">
            <w:pPr>
              <w:jc w:val="right"/>
            </w:pPr>
          </w:p>
        </w:tc>
        <w:tc>
          <w:tcPr>
            <w:tcW w:w="1580" w:type="dxa"/>
          </w:tcPr>
          <w:p w:rsidR="00557A6F" w:rsidRDefault="00557A6F" w:rsidP="00AF5F55">
            <w:pPr>
              <w:jc w:val="right"/>
            </w:pPr>
            <w:r>
              <w:t>327 000 000</w:t>
            </w:r>
          </w:p>
        </w:tc>
        <w:tc>
          <w:tcPr>
            <w:tcW w:w="1580" w:type="dxa"/>
          </w:tcPr>
          <w:p w:rsidR="00557A6F" w:rsidRDefault="00557A6F" w:rsidP="00AF5F55">
            <w:pPr>
              <w:jc w:val="right"/>
            </w:pPr>
          </w:p>
        </w:tc>
      </w:tr>
      <w:tr w:rsidR="00557A6F" w:rsidTr="00AF5F55">
        <w:trPr>
          <w:trHeight w:val="640"/>
        </w:trPr>
        <w:tc>
          <w:tcPr>
            <w:tcW w:w="680" w:type="dxa"/>
          </w:tcPr>
          <w:p w:rsidR="00557A6F" w:rsidRDefault="00557A6F" w:rsidP="00557A6F"/>
        </w:tc>
        <w:tc>
          <w:tcPr>
            <w:tcW w:w="680" w:type="dxa"/>
          </w:tcPr>
          <w:p w:rsidR="00557A6F" w:rsidRDefault="00557A6F" w:rsidP="00557A6F">
            <w:r>
              <w:t>33</w:t>
            </w:r>
          </w:p>
        </w:tc>
        <w:tc>
          <w:tcPr>
            <w:tcW w:w="3440" w:type="dxa"/>
          </w:tcPr>
          <w:p w:rsidR="00557A6F" w:rsidRDefault="00557A6F" w:rsidP="00557A6F">
            <w:r>
              <w:t>Videreføring av ordinære bygg</w:t>
            </w:r>
            <w:r>
              <w:t>e</w:t>
            </w:r>
            <w:r>
              <w:t>prosjekter</w:t>
            </w:r>
            <w:r>
              <w:rPr>
                <w:rStyle w:val="kursiv"/>
                <w:sz w:val="21"/>
                <w:szCs w:val="21"/>
              </w:rPr>
              <w:t xml:space="preserve">, kan overføres </w:t>
            </w:r>
          </w:p>
        </w:tc>
        <w:tc>
          <w:tcPr>
            <w:tcW w:w="1580" w:type="dxa"/>
          </w:tcPr>
          <w:p w:rsidR="00557A6F" w:rsidRDefault="00557A6F" w:rsidP="00AF5F55">
            <w:pPr>
              <w:jc w:val="right"/>
            </w:pPr>
          </w:p>
        </w:tc>
        <w:tc>
          <w:tcPr>
            <w:tcW w:w="1580" w:type="dxa"/>
          </w:tcPr>
          <w:p w:rsidR="00557A6F" w:rsidRDefault="00557A6F" w:rsidP="00AF5F55">
            <w:pPr>
              <w:jc w:val="right"/>
            </w:pPr>
            <w:r>
              <w:t>799 745 000</w:t>
            </w:r>
          </w:p>
        </w:tc>
        <w:tc>
          <w:tcPr>
            <w:tcW w:w="1580" w:type="dxa"/>
          </w:tcPr>
          <w:p w:rsidR="00557A6F" w:rsidRDefault="00557A6F" w:rsidP="00AF5F55">
            <w:pPr>
              <w:jc w:val="right"/>
            </w:pPr>
          </w:p>
        </w:tc>
      </w:tr>
      <w:tr w:rsidR="00557A6F" w:rsidTr="00AF5F55">
        <w:trPr>
          <w:trHeight w:val="640"/>
        </w:trPr>
        <w:tc>
          <w:tcPr>
            <w:tcW w:w="680" w:type="dxa"/>
          </w:tcPr>
          <w:p w:rsidR="00557A6F" w:rsidRDefault="00557A6F" w:rsidP="00557A6F"/>
        </w:tc>
        <w:tc>
          <w:tcPr>
            <w:tcW w:w="680" w:type="dxa"/>
          </w:tcPr>
          <w:p w:rsidR="00557A6F" w:rsidRDefault="00557A6F" w:rsidP="00557A6F">
            <w:r>
              <w:t>34</w:t>
            </w:r>
          </w:p>
        </w:tc>
        <w:tc>
          <w:tcPr>
            <w:tcW w:w="3440" w:type="dxa"/>
          </w:tcPr>
          <w:p w:rsidR="00557A6F" w:rsidRDefault="00557A6F" w:rsidP="00557A6F">
            <w:r>
              <w:t>Videreføring av brukerfinansierte byggeprosjekter</w:t>
            </w:r>
            <w:r>
              <w:rPr>
                <w:rStyle w:val="kursiv"/>
                <w:sz w:val="21"/>
                <w:szCs w:val="21"/>
              </w:rPr>
              <w:t xml:space="preserve">, kan overføres </w:t>
            </w:r>
          </w:p>
        </w:tc>
        <w:tc>
          <w:tcPr>
            <w:tcW w:w="1580" w:type="dxa"/>
          </w:tcPr>
          <w:p w:rsidR="00557A6F" w:rsidRDefault="00557A6F" w:rsidP="00AF5F55">
            <w:pPr>
              <w:jc w:val="right"/>
            </w:pPr>
          </w:p>
        </w:tc>
        <w:tc>
          <w:tcPr>
            <w:tcW w:w="1580" w:type="dxa"/>
          </w:tcPr>
          <w:p w:rsidR="00557A6F" w:rsidRDefault="00557A6F" w:rsidP="00AF5F55">
            <w:pPr>
              <w:jc w:val="right"/>
            </w:pPr>
            <w:r>
              <w:t>800 000 000</w:t>
            </w:r>
          </w:p>
        </w:tc>
        <w:tc>
          <w:tcPr>
            <w:tcW w:w="1580" w:type="dxa"/>
          </w:tcPr>
          <w:p w:rsidR="00557A6F" w:rsidRDefault="00557A6F" w:rsidP="00AF5F55">
            <w:pPr>
              <w:jc w:val="right"/>
            </w:pPr>
          </w:p>
        </w:tc>
      </w:tr>
      <w:tr w:rsidR="00557A6F" w:rsidTr="00AF5F55">
        <w:trPr>
          <w:trHeight w:val="640"/>
        </w:trPr>
        <w:tc>
          <w:tcPr>
            <w:tcW w:w="680" w:type="dxa"/>
          </w:tcPr>
          <w:p w:rsidR="00557A6F" w:rsidRDefault="00557A6F" w:rsidP="00557A6F"/>
        </w:tc>
        <w:tc>
          <w:tcPr>
            <w:tcW w:w="680" w:type="dxa"/>
          </w:tcPr>
          <w:p w:rsidR="00557A6F" w:rsidRDefault="00557A6F" w:rsidP="00557A6F">
            <w:r>
              <w:t>45</w:t>
            </w:r>
          </w:p>
        </w:tc>
        <w:tc>
          <w:tcPr>
            <w:tcW w:w="3440" w:type="dxa"/>
          </w:tcPr>
          <w:p w:rsidR="00557A6F" w:rsidRDefault="00557A6F" w:rsidP="00557A6F">
            <w:r>
              <w:t>Større utstyrsanskaffelser og vedl</w:t>
            </w:r>
            <w:r>
              <w:t>i</w:t>
            </w:r>
            <w:r>
              <w:t>kehold</w:t>
            </w:r>
            <w:r>
              <w:rPr>
                <w:rStyle w:val="kursiv"/>
                <w:sz w:val="21"/>
                <w:szCs w:val="21"/>
              </w:rPr>
              <w:t xml:space="preserve">, kan overføres </w:t>
            </w:r>
          </w:p>
        </w:tc>
        <w:tc>
          <w:tcPr>
            <w:tcW w:w="1580" w:type="dxa"/>
          </w:tcPr>
          <w:p w:rsidR="00557A6F" w:rsidRDefault="00557A6F" w:rsidP="00AF5F55">
            <w:pPr>
              <w:jc w:val="right"/>
            </w:pPr>
          </w:p>
        </w:tc>
        <w:tc>
          <w:tcPr>
            <w:tcW w:w="1580" w:type="dxa"/>
          </w:tcPr>
          <w:p w:rsidR="00557A6F" w:rsidRDefault="00557A6F" w:rsidP="00AF5F55">
            <w:pPr>
              <w:jc w:val="right"/>
            </w:pPr>
            <w:r>
              <w:t>303 864 000</w:t>
            </w:r>
          </w:p>
        </w:tc>
        <w:tc>
          <w:tcPr>
            <w:tcW w:w="1580" w:type="dxa"/>
          </w:tcPr>
          <w:p w:rsidR="00557A6F" w:rsidRDefault="00557A6F" w:rsidP="00AF5F55">
            <w:pPr>
              <w:jc w:val="right"/>
            </w:pPr>
          </w:p>
        </w:tc>
      </w:tr>
      <w:tr w:rsidR="00557A6F" w:rsidTr="00AF5F55">
        <w:trPr>
          <w:trHeight w:val="380"/>
        </w:trPr>
        <w:tc>
          <w:tcPr>
            <w:tcW w:w="680" w:type="dxa"/>
          </w:tcPr>
          <w:p w:rsidR="00557A6F" w:rsidRDefault="00557A6F" w:rsidP="00557A6F"/>
        </w:tc>
        <w:tc>
          <w:tcPr>
            <w:tcW w:w="680" w:type="dxa"/>
          </w:tcPr>
          <w:p w:rsidR="00557A6F" w:rsidRDefault="00557A6F" w:rsidP="00557A6F">
            <w:r>
              <w:t>49</w:t>
            </w:r>
          </w:p>
        </w:tc>
        <w:tc>
          <w:tcPr>
            <w:tcW w:w="3440" w:type="dxa"/>
          </w:tcPr>
          <w:p w:rsidR="00557A6F" w:rsidRDefault="00557A6F" w:rsidP="00557A6F">
            <w:r>
              <w:t>Kjøp av eiendommer</w:t>
            </w:r>
            <w:r>
              <w:rPr>
                <w:rStyle w:val="kursiv"/>
                <w:sz w:val="21"/>
                <w:szCs w:val="21"/>
              </w:rPr>
              <w:t xml:space="preserve">, kan overføres </w:t>
            </w:r>
          </w:p>
        </w:tc>
        <w:tc>
          <w:tcPr>
            <w:tcW w:w="1580" w:type="dxa"/>
          </w:tcPr>
          <w:p w:rsidR="00557A6F" w:rsidRDefault="00557A6F" w:rsidP="00AF5F55">
            <w:pPr>
              <w:jc w:val="right"/>
            </w:pPr>
          </w:p>
        </w:tc>
        <w:tc>
          <w:tcPr>
            <w:tcW w:w="1580" w:type="dxa"/>
          </w:tcPr>
          <w:p w:rsidR="00557A6F" w:rsidRDefault="00557A6F" w:rsidP="00AF5F55">
            <w:pPr>
              <w:jc w:val="right"/>
            </w:pPr>
            <w:r>
              <w:t>103 763 000</w:t>
            </w:r>
          </w:p>
        </w:tc>
        <w:tc>
          <w:tcPr>
            <w:tcW w:w="1580" w:type="dxa"/>
          </w:tcPr>
          <w:p w:rsidR="00557A6F" w:rsidRDefault="00557A6F" w:rsidP="00AF5F55">
            <w:pPr>
              <w:jc w:val="right"/>
            </w:pPr>
            <w:r>
              <w:t>2 385 231 000</w:t>
            </w:r>
          </w:p>
        </w:tc>
      </w:tr>
      <w:tr w:rsidR="00557A6F" w:rsidTr="00AF5F55">
        <w:trPr>
          <w:trHeight w:val="380"/>
        </w:trPr>
        <w:tc>
          <w:tcPr>
            <w:tcW w:w="680" w:type="dxa"/>
          </w:tcPr>
          <w:p w:rsidR="00557A6F" w:rsidRDefault="00557A6F" w:rsidP="00557A6F"/>
        </w:tc>
        <w:tc>
          <w:tcPr>
            <w:tcW w:w="680" w:type="dxa"/>
          </w:tcPr>
          <w:p w:rsidR="00557A6F" w:rsidRDefault="00557A6F" w:rsidP="00557A6F"/>
        </w:tc>
        <w:tc>
          <w:tcPr>
            <w:tcW w:w="3440" w:type="dxa"/>
          </w:tcPr>
          <w:p w:rsidR="00557A6F" w:rsidRDefault="00557A6F" w:rsidP="00557A6F">
            <w:r>
              <w:t>Sum Statens forretningsdrift</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r>
              <w:t>2 385 231 000</w:t>
            </w:r>
          </w:p>
        </w:tc>
      </w:tr>
      <w:tr w:rsidR="00557A6F" w:rsidTr="00AF5F55">
        <w:trPr>
          <w:trHeight w:val="380"/>
        </w:trPr>
        <w:tc>
          <w:tcPr>
            <w:tcW w:w="680" w:type="dxa"/>
          </w:tcPr>
          <w:p w:rsidR="00557A6F" w:rsidRDefault="00557A6F" w:rsidP="00557A6F"/>
        </w:tc>
        <w:tc>
          <w:tcPr>
            <w:tcW w:w="680" w:type="dxa"/>
          </w:tcPr>
          <w:p w:rsidR="00557A6F" w:rsidRDefault="00557A6F" w:rsidP="00557A6F"/>
        </w:tc>
        <w:tc>
          <w:tcPr>
            <w:tcW w:w="3440" w:type="dxa"/>
          </w:tcPr>
          <w:p w:rsidR="00557A6F" w:rsidRDefault="00557A6F" w:rsidP="00557A6F">
            <w:r>
              <w:t>Sum departementets utgifter</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r>
              <w:t>224 233 152 000</w:t>
            </w:r>
          </w:p>
        </w:tc>
      </w:tr>
    </w:tbl>
    <w:p w:rsidR="00557A6F" w:rsidRDefault="00557A6F" w:rsidP="00557A6F">
      <w:pPr>
        <w:pStyle w:val="a-vedtak-tekst"/>
      </w:pPr>
      <w:r>
        <w:t>Inntekter:</w:t>
      </w:r>
    </w:p>
    <w:tbl>
      <w:tblPr>
        <w:tblStyle w:val="StandardTabell"/>
        <w:tblW w:w="0" w:type="auto"/>
        <w:tblLayout w:type="fixed"/>
        <w:tblLook w:val="04A0" w:firstRow="1" w:lastRow="0" w:firstColumn="1" w:lastColumn="0" w:noHBand="0" w:noVBand="1"/>
      </w:tblPr>
      <w:tblGrid>
        <w:gridCol w:w="680"/>
        <w:gridCol w:w="680"/>
        <w:gridCol w:w="3440"/>
        <w:gridCol w:w="1580"/>
        <w:gridCol w:w="1580"/>
        <w:gridCol w:w="1580"/>
      </w:tblGrid>
      <w:tr w:rsidR="00557A6F" w:rsidTr="00AF5F55">
        <w:trPr>
          <w:trHeight w:val="860"/>
        </w:trPr>
        <w:tc>
          <w:tcPr>
            <w:tcW w:w="680" w:type="dxa"/>
            <w:shd w:val="clear" w:color="auto" w:fill="FFFFFF"/>
          </w:tcPr>
          <w:p w:rsidR="00557A6F" w:rsidRDefault="00557A6F" w:rsidP="00557A6F">
            <w:pPr>
              <w:pStyle w:val="Tabellnavn"/>
            </w:pPr>
            <w:r>
              <w:t>VK</w:t>
            </w:r>
          </w:p>
          <w:p w:rsidR="00557A6F" w:rsidRDefault="00557A6F" w:rsidP="00557A6F">
            <w:r>
              <w:t>Kap.</w:t>
            </w:r>
          </w:p>
        </w:tc>
        <w:tc>
          <w:tcPr>
            <w:tcW w:w="680" w:type="dxa"/>
          </w:tcPr>
          <w:p w:rsidR="00557A6F" w:rsidRDefault="00557A6F" w:rsidP="00557A6F">
            <w:r>
              <w:t>Post</w:t>
            </w:r>
          </w:p>
        </w:tc>
        <w:tc>
          <w:tcPr>
            <w:tcW w:w="3440" w:type="dxa"/>
          </w:tcPr>
          <w:p w:rsidR="00557A6F" w:rsidRDefault="00557A6F" w:rsidP="00557A6F"/>
        </w:tc>
        <w:tc>
          <w:tcPr>
            <w:tcW w:w="1580" w:type="dxa"/>
          </w:tcPr>
          <w:p w:rsidR="00557A6F" w:rsidRDefault="00557A6F" w:rsidP="00557A6F"/>
        </w:tc>
        <w:tc>
          <w:tcPr>
            <w:tcW w:w="1580" w:type="dxa"/>
          </w:tcPr>
          <w:p w:rsidR="00557A6F" w:rsidRDefault="00557A6F" w:rsidP="00AF5F55">
            <w:pPr>
              <w:jc w:val="right"/>
            </w:pPr>
            <w:r>
              <w:t>Kroner</w:t>
            </w:r>
          </w:p>
        </w:tc>
        <w:tc>
          <w:tcPr>
            <w:tcW w:w="1580" w:type="dxa"/>
          </w:tcPr>
          <w:p w:rsidR="00557A6F" w:rsidRDefault="00557A6F" w:rsidP="00AF5F55">
            <w:pPr>
              <w:jc w:val="right"/>
            </w:pPr>
            <w:r>
              <w:t>Kroner</w:t>
            </w:r>
          </w:p>
        </w:tc>
      </w:tr>
      <w:tr w:rsidR="00557A6F" w:rsidTr="00AF5F55">
        <w:trPr>
          <w:trHeight w:val="360"/>
        </w:trPr>
        <w:tc>
          <w:tcPr>
            <w:tcW w:w="9540" w:type="dxa"/>
            <w:gridSpan w:val="6"/>
          </w:tcPr>
          <w:p w:rsidR="00557A6F" w:rsidRDefault="00557A6F" w:rsidP="00AF5F55">
            <w:pPr>
              <w:jc w:val="center"/>
            </w:pPr>
            <w:r>
              <w:t>Kommunal- og moderniseringsdepartementet</w:t>
            </w:r>
          </w:p>
        </w:tc>
      </w:tr>
      <w:tr w:rsidR="00557A6F" w:rsidTr="00AF5F55">
        <w:trPr>
          <w:trHeight w:val="620"/>
        </w:trPr>
        <w:tc>
          <w:tcPr>
            <w:tcW w:w="680" w:type="dxa"/>
          </w:tcPr>
          <w:p w:rsidR="00557A6F" w:rsidRDefault="00557A6F" w:rsidP="00557A6F">
            <w:r>
              <w:t>3510</w:t>
            </w:r>
          </w:p>
        </w:tc>
        <w:tc>
          <w:tcPr>
            <w:tcW w:w="680" w:type="dxa"/>
          </w:tcPr>
          <w:p w:rsidR="00557A6F" w:rsidRDefault="00557A6F" w:rsidP="00557A6F"/>
        </w:tc>
        <w:tc>
          <w:tcPr>
            <w:tcW w:w="3440" w:type="dxa"/>
          </w:tcPr>
          <w:p w:rsidR="00557A6F" w:rsidRDefault="00557A6F" w:rsidP="00557A6F">
            <w:r>
              <w:t>Departementenes sikkerhets- og serviceorganisasjon</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p>
        </w:tc>
      </w:tr>
      <w:tr w:rsidR="00557A6F" w:rsidTr="00AF5F55">
        <w:trPr>
          <w:trHeight w:val="360"/>
        </w:trPr>
        <w:tc>
          <w:tcPr>
            <w:tcW w:w="680" w:type="dxa"/>
          </w:tcPr>
          <w:p w:rsidR="00557A6F" w:rsidRDefault="00557A6F" w:rsidP="00557A6F"/>
        </w:tc>
        <w:tc>
          <w:tcPr>
            <w:tcW w:w="680" w:type="dxa"/>
          </w:tcPr>
          <w:p w:rsidR="00557A6F" w:rsidRDefault="00557A6F" w:rsidP="00557A6F">
            <w:r>
              <w:t>02</w:t>
            </w:r>
          </w:p>
        </w:tc>
        <w:tc>
          <w:tcPr>
            <w:tcW w:w="3440" w:type="dxa"/>
          </w:tcPr>
          <w:p w:rsidR="00557A6F" w:rsidRDefault="00557A6F" w:rsidP="00557A6F">
            <w:r>
              <w:t>Diverse inntekter</w:t>
            </w:r>
          </w:p>
        </w:tc>
        <w:tc>
          <w:tcPr>
            <w:tcW w:w="1580" w:type="dxa"/>
          </w:tcPr>
          <w:p w:rsidR="00557A6F" w:rsidRDefault="00557A6F" w:rsidP="00557A6F"/>
        </w:tc>
        <w:tc>
          <w:tcPr>
            <w:tcW w:w="1580" w:type="dxa"/>
          </w:tcPr>
          <w:p w:rsidR="00557A6F" w:rsidRDefault="00557A6F" w:rsidP="00AF5F55">
            <w:pPr>
              <w:jc w:val="right"/>
            </w:pPr>
            <w:r>
              <w:t>22 761 000</w:t>
            </w:r>
          </w:p>
        </w:tc>
        <w:tc>
          <w:tcPr>
            <w:tcW w:w="1580" w:type="dxa"/>
          </w:tcPr>
          <w:p w:rsidR="00557A6F" w:rsidRDefault="00557A6F" w:rsidP="00AF5F55">
            <w:pPr>
              <w:jc w:val="right"/>
            </w:pPr>
          </w:p>
        </w:tc>
      </w:tr>
      <w:tr w:rsidR="00557A6F" w:rsidTr="00AF5F55">
        <w:trPr>
          <w:trHeight w:val="360"/>
        </w:trPr>
        <w:tc>
          <w:tcPr>
            <w:tcW w:w="680" w:type="dxa"/>
          </w:tcPr>
          <w:p w:rsidR="00557A6F" w:rsidRDefault="00557A6F" w:rsidP="00557A6F"/>
        </w:tc>
        <w:tc>
          <w:tcPr>
            <w:tcW w:w="680" w:type="dxa"/>
          </w:tcPr>
          <w:p w:rsidR="00557A6F" w:rsidRDefault="00557A6F" w:rsidP="00557A6F">
            <w:r>
              <w:t>03</w:t>
            </w:r>
          </w:p>
        </w:tc>
        <w:tc>
          <w:tcPr>
            <w:tcW w:w="3440" w:type="dxa"/>
          </w:tcPr>
          <w:p w:rsidR="00557A6F" w:rsidRDefault="00557A6F" w:rsidP="00557A6F">
            <w:r>
              <w:t>Brukerbetaling</w:t>
            </w:r>
          </w:p>
        </w:tc>
        <w:tc>
          <w:tcPr>
            <w:tcW w:w="1580" w:type="dxa"/>
          </w:tcPr>
          <w:p w:rsidR="00557A6F" w:rsidRDefault="00557A6F" w:rsidP="00557A6F"/>
        </w:tc>
        <w:tc>
          <w:tcPr>
            <w:tcW w:w="1580" w:type="dxa"/>
          </w:tcPr>
          <w:p w:rsidR="00557A6F" w:rsidRDefault="00557A6F" w:rsidP="00AF5F55">
            <w:pPr>
              <w:jc w:val="right"/>
            </w:pPr>
            <w:r>
              <w:t>62 295 000</w:t>
            </w:r>
          </w:p>
        </w:tc>
        <w:tc>
          <w:tcPr>
            <w:tcW w:w="1580" w:type="dxa"/>
          </w:tcPr>
          <w:p w:rsidR="00557A6F" w:rsidRDefault="00557A6F" w:rsidP="00AF5F55">
            <w:pPr>
              <w:jc w:val="right"/>
            </w:pPr>
            <w:r>
              <w:t>85 056 000</w:t>
            </w:r>
          </w:p>
        </w:tc>
      </w:tr>
      <w:tr w:rsidR="00557A6F" w:rsidTr="00AF5F55">
        <w:trPr>
          <w:trHeight w:val="360"/>
        </w:trPr>
        <w:tc>
          <w:tcPr>
            <w:tcW w:w="680" w:type="dxa"/>
          </w:tcPr>
          <w:p w:rsidR="00557A6F" w:rsidRDefault="00557A6F" w:rsidP="00557A6F">
            <w:r>
              <w:t>3525</w:t>
            </w:r>
          </w:p>
        </w:tc>
        <w:tc>
          <w:tcPr>
            <w:tcW w:w="680" w:type="dxa"/>
          </w:tcPr>
          <w:p w:rsidR="00557A6F" w:rsidRDefault="00557A6F" w:rsidP="00557A6F"/>
        </w:tc>
        <w:tc>
          <w:tcPr>
            <w:tcW w:w="3440" w:type="dxa"/>
          </w:tcPr>
          <w:p w:rsidR="00557A6F" w:rsidRDefault="00557A6F" w:rsidP="00557A6F">
            <w:r>
              <w:t>Fylkesmannsembetene</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p>
        </w:tc>
      </w:tr>
      <w:tr w:rsidR="00557A6F" w:rsidTr="00AF5F55">
        <w:trPr>
          <w:trHeight w:val="360"/>
        </w:trPr>
        <w:tc>
          <w:tcPr>
            <w:tcW w:w="680" w:type="dxa"/>
          </w:tcPr>
          <w:p w:rsidR="00557A6F" w:rsidRDefault="00557A6F" w:rsidP="00557A6F"/>
        </w:tc>
        <w:tc>
          <w:tcPr>
            <w:tcW w:w="680" w:type="dxa"/>
          </w:tcPr>
          <w:p w:rsidR="00557A6F" w:rsidRDefault="00557A6F" w:rsidP="00557A6F">
            <w:r>
              <w:t>01</w:t>
            </w:r>
          </w:p>
        </w:tc>
        <w:tc>
          <w:tcPr>
            <w:tcW w:w="3440" w:type="dxa"/>
          </w:tcPr>
          <w:p w:rsidR="00557A6F" w:rsidRDefault="00557A6F" w:rsidP="00557A6F">
            <w:r>
              <w:t>Inntekter ved oppdrag</w:t>
            </w:r>
          </w:p>
        </w:tc>
        <w:tc>
          <w:tcPr>
            <w:tcW w:w="1580" w:type="dxa"/>
          </w:tcPr>
          <w:p w:rsidR="00557A6F" w:rsidRDefault="00557A6F" w:rsidP="00557A6F"/>
        </w:tc>
        <w:tc>
          <w:tcPr>
            <w:tcW w:w="1580" w:type="dxa"/>
          </w:tcPr>
          <w:p w:rsidR="00557A6F" w:rsidRDefault="00557A6F" w:rsidP="00AF5F55">
            <w:pPr>
              <w:jc w:val="right"/>
            </w:pPr>
            <w:r>
              <w:t>172 308 000</w:t>
            </w:r>
          </w:p>
        </w:tc>
        <w:tc>
          <w:tcPr>
            <w:tcW w:w="1580" w:type="dxa"/>
          </w:tcPr>
          <w:p w:rsidR="00557A6F" w:rsidRDefault="00557A6F" w:rsidP="00AF5F55">
            <w:pPr>
              <w:jc w:val="right"/>
            </w:pPr>
            <w:r>
              <w:t>172 308 000</w:t>
            </w:r>
          </w:p>
        </w:tc>
      </w:tr>
      <w:tr w:rsidR="00557A6F" w:rsidTr="00AF5F55">
        <w:trPr>
          <w:trHeight w:val="620"/>
        </w:trPr>
        <w:tc>
          <w:tcPr>
            <w:tcW w:w="680" w:type="dxa"/>
          </w:tcPr>
          <w:p w:rsidR="00557A6F" w:rsidRDefault="00557A6F" w:rsidP="00557A6F">
            <w:r>
              <w:t>3533</w:t>
            </w:r>
          </w:p>
        </w:tc>
        <w:tc>
          <w:tcPr>
            <w:tcW w:w="680" w:type="dxa"/>
          </w:tcPr>
          <w:p w:rsidR="00557A6F" w:rsidRDefault="00557A6F" w:rsidP="00557A6F"/>
        </w:tc>
        <w:tc>
          <w:tcPr>
            <w:tcW w:w="3440" w:type="dxa"/>
          </w:tcPr>
          <w:p w:rsidR="00557A6F" w:rsidRDefault="00557A6F" w:rsidP="00557A6F">
            <w:r>
              <w:t>Eiendommer utenfor husleieor</w:t>
            </w:r>
            <w:r>
              <w:t>d</w:t>
            </w:r>
            <w:r>
              <w:t>ningen</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p>
        </w:tc>
      </w:tr>
      <w:tr w:rsidR="00557A6F" w:rsidTr="00AF5F55">
        <w:trPr>
          <w:trHeight w:val="360"/>
        </w:trPr>
        <w:tc>
          <w:tcPr>
            <w:tcW w:w="680" w:type="dxa"/>
          </w:tcPr>
          <w:p w:rsidR="00557A6F" w:rsidRDefault="00557A6F" w:rsidP="00557A6F"/>
        </w:tc>
        <w:tc>
          <w:tcPr>
            <w:tcW w:w="680" w:type="dxa"/>
          </w:tcPr>
          <w:p w:rsidR="00557A6F" w:rsidRDefault="00557A6F" w:rsidP="00557A6F">
            <w:r>
              <w:t>02</w:t>
            </w:r>
          </w:p>
        </w:tc>
        <w:tc>
          <w:tcPr>
            <w:tcW w:w="3440" w:type="dxa"/>
          </w:tcPr>
          <w:p w:rsidR="00557A6F" w:rsidRDefault="00557A6F" w:rsidP="00557A6F">
            <w:r>
              <w:t>Diverse inntekter</w:t>
            </w:r>
          </w:p>
        </w:tc>
        <w:tc>
          <w:tcPr>
            <w:tcW w:w="1580" w:type="dxa"/>
          </w:tcPr>
          <w:p w:rsidR="00557A6F" w:rsidRDefault="00557A6F" w:rsidP="00557A6F"/>
        </w:tc>
        <w:tc>
          <w:tcPr>
            <w:tcW w:w="1580" w:type="dxa"/>
          </w:tcPr>
          <w:p w:rsidR="00557A6F" w:rsidRDefault="00557A6F" w:rsidP="00AF5F55">
            <w:pPr>
              <w:jc w:val="right"/>
            </w:pPr>
            <w:r>
              <w:t>2 447 000</w:t>
            </w:r>
          </w:p>
        </w:tc>
        <w:tc>
          <w:tcPr>
            <w:tcW w:w="1580" w:type="dxa"/>
          </w:tcPr>
          <w:p w:rsidR="00557A6F" w:rsidRDefault="00557A6F" w:rsidP="00AF5F55">
            <w:pPr>
              <w:jc w:val="right"/>
            </w:pPr>
            <w:r>
              <w:t>2 447 000</w:t>
            </w:r>
          </w:p>
        </w:tc>
      </w:tr>
      <w:tr w:rsidR="00557A6F" w:rsidTr="00AF5F55">
        <w:trPr>
          <w:trHeight w:val="360"/>
        </w:trPr>
        <w:tc>
          <w:tcPr>
            <w:tcW w:w="680" w:type="dxa"/>
          </w:tcPr>
          <w:p w:rsidR="00557A6F" w:rsidRDefault="00557A6F" w:rsidP="00557A6F">
            <w:r>
              <w:t>3540</w:t>
            </w:r>
          </w:p>
        </w:tc>
        <w:tc>
          <w:tcPr>
            <w:tcW w:w="680" w:type="dxa"/>
          </w:tcPr>
          <w:p w:rsidR="00557A6F" w:rsidRDefault="00557A6F" w:rsidP="00557A6F"/>
        </w:tc>
        <w:tc>
          <w:tcPr>
            <w:tcW w:w="3440" w:type="dxa"/>
          </w:tcPr>
          <w:p w:rsidR="00557A6F" w:rsidRDefault="00557A6F" w:rsidP="00557A6F">
            <w:r>
              <w:t>Digitaliseringsdirektoratet</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p>
        </w:tc>
      </w:tr>
      <w:tr w:rsidR="00557A6F" w:rsidTr="00AF5F55">
        <w:trPr>
          <w:trHeight w:val="360"/>
        </w:trPr>
        <w:tc>
          <w:tcPr>
            <w:tcW w:w="680" w:type="dxa"/>
          </w:tcPr>
          <w:p w:rsidR="00557A6F" w:rsidRDefault="00557A6F" w:rsidP="00557A6F"/>
        </w:tc>
        <w:tc>
          <w:tcPr>
            <w:tcW w:w="680" w:type="dxa"/>
          </w:tcPr>
          <w:p w:rsidR="00557A6F" w:rsidRDefault="00557A6F" w:rsidP="00557A6F">
            <w:r>
              <w:t>03</w:t>
            </w:r>
          </w:p>
        </w:tc>
        <w:tc>
          <w:tcPr>
            <w:tcW w:w="3440" w:type="dxa"/>
          </w:tcPr>
          <w:p w:rsidR="00557A6F" w:rsidRDefault="00557A6F" w:rsidP="00557A6F">
            <w:r>
              <w:t>Diverse inntekter</w:t>
            </w:r>
          </w:p>
        </w:tc>
        <w:tc>
          <w:tcPr>
            <w:tcW w:w="1580" w:type="dxa"/>
          </w:tcPr>
          <w:p w:rsidR="00557A6F" w:rsidRDefault="00557A6F" w:rsidP="00557A6F"/>
        </w:tc>
        <w:tc>
          <w:tcPr>
            <w:tcW w:w="1580" w:type="dxa"/>
          </w:tcPr>
          <w:p w:rsidR="00557A6F" w:rsidRDefault="00557A6F" w:rsidP="00AF5F55">
            <w:pPr>
              <w:jc w:val="right"/>
            </w:pPr>
            <w:r>
              <w:t>433 000</w:t>
            </w:r>
          </w:p>
        </w:tc>
        <w:tc>
          <w:tcPr>
            <w:tcW w:w="1580" w:type="dxa"/>
          </w:tcPr>
          <w:p w:rsidR="00557A6F" w:rsidRDefault="00557A6F" w:rsidP="00AF5F55">
            <w:pPr>
              <w:jc w:val="right"/>
            </w:pPr>
          </w:p>
        </w:tc>
      </w:tr>
      <w:tr w:rsidR="00557A6F" w:rsidTr="00AF5F55">
        <w:trPr>
          <w:trHeight w:val="620"/>
        </w:trPr>
        <w:tc>
          <w:tcPr>
            <w:tcW w:w="680" w:type="dxa"/>
          </w:tcPr>
          <w:p w:rsidR="00557A6F" w:rsidRDefault="00557A6F" w:rsidP="00557A6F"/>
        </w:tc>
        <w:tc>
          <w:tcPr>
            <w:tcW w:w="680" w:type="dxa"/>
          </w:tcPr>
          <w:p w:rsidR="00557A6F" w:rsidRDefault="00557A6F" w:rsidP="00557A6F">
            <w:r>
              <w:t>05</w:t>
            </w:r>
          </w:p>
        </w:tc>
        <w:tc>
          <w:tcPr>
            <w:tcW w:w="3440" w:type="dxa"/>
          </w:tcPr>
          <w:p w:rsidR="00557A6F" w:rsidRDefault="00557A6F" w:rsidP="00557A6F">
            <w:r>
              <w:t>Bruk av nasjonale felleskompone</w:t>
            </w:r>
            <w:r>
              <w:t>n</w:t>
            </w:r>
            <w:r>
              <w:t>ter</w:t>
            </w:r>
          </w:p>
        </w:tc>
        <w:tc>
          <w:tcPr>
            <w:tcW w:w="1580" w:type="dxa"/>
          </w:tcPr>
          <w:p w:rsidR="00557A6F" w:rsidRDefault="00557A6F" w:rsidP="00557A6F"/>
        </w:tc>
        <w:tc>
          <w:tcPr>
            <w:tcW w:w="1580" w:type="dxa"/>
          </w:tcPr>
          <w:p w:rsidR="00557A6F" w:rsidRDefault="00557A6F" w:rsidP="00AF5F55">
            <w:pPr>
              <w:jc w:val="right"/>
            </w:pPr>
            <w:r>
              <w:t>80 000 000</w:t>
            </w:r>
          </w:p>
        </w:tc>
        <w:tc>
          <w:tcPr>
            <w:tcW w:w="1580" w:type="dxa"/>
          </w:tcPr>
          <w:p w:rsidR="00557A6F" w:rsidRDefault="00557A6F" w:rsidP="00AF5F55">
            <w:pPr>
              <w:jc w:val="right"/>
            </w:pPr>
          </w:p>
        </w:tc>
      </w:tr>
      <w:tr w:rsidR="00557A6F" w:rsidTr="00AF5F55">
        <w:trPr>
          <w:trHeight w:val="620"/>
        </w:trPr>
        <w:tc>
          <w:tcPr>
            <w:tcW w:w="680" w:type="dxa"/>
          </w:tcPr>
          <w:p w:rsidR="00557A6F" w:rsidRDefault="00557A6F" w:rsidP="00557A6F"/>
        </w:tc>
        <w:tc>
          <w:tcPr>
            <w:tcW w:w="680" w:type="dxa"/>
          </w:tcPr>
          <w:p w:rsidR="00557A6F" w:rsidRDefault="00557A6F" w:rsidP="00557A6F">
            <w:r>
              <w:t>06</w:t>
            </w:r>
          </w:p>
        </w:tc>
        <w:tc>
          <w:tcPr>
            <w:tcW w:w="3440" w:type="dxa"/>
          </w:tcPr>
          <w:p w:rsidR="00557A6F" w:rsidRDefault="00557A6F" w:rsidP="00557A6F">
            <w:r>
              <w:t>Tilleggstjenester til nasjonale fe</w:t>
            </w:r>
            <w:r>
              <w:t>l</w:t>
            </w:r>
            <w:r>
              <w:t>leskomponenter</w:t>
            </w:r>
          </w:p>
        </w:tc>
        <w:tc>
          <w:tcPr>
            <w:tcW w:w="1580" w:type="dxa"/>
          </w:tcPr>
          <w:p w:rsidR="00557A6F" w:rsidRDefault="00557A6F" w:rsidP="00557A6F"/>
        </w:tc>
        <w:tc>
          <w:tcPr>
            <w:tcW w:w="1580" w:type="dxa"/>
          </w:tcPr>
          <w:p w:rsidR="00557A6F" w:rsidRDefault="00557A6F" w:rsidP="00AF5F55">
            <w:pPr>
              <w:jc w:val="right"/>
            </w:pPr>
            <w:r>
              <w:t>799 000</w:t>
            </w:r>
          </w:p>
        </w:tc>
        <w:tc>
          <w:tcPr>
            <w:tcW w:w="1580" w:type="dxa"/>
          </w:tcPr>
          <w:p w:rsidR="00557A6F" w:rsidRDefault="00557A6F" w:rsidP="00AF5F55">
            <w:pPr>
              <w:jc w:val="right"/>
            </w:pPr>
          </w:p>
        </w:tc>
      </w:tr>
      <w:tr w:rsidR="00557A6F" w:rsidTr="00AF5F55">
        <w:trPr>
          <w:trHeight w:val="360"/>
        </w:trPr>
        <w:tc>
          <w:tcPr>
            <w:tcW w:w="680" w:type="dxa"/>
          </w:tcPr>
          <w:p w:rsidR="00557A6F" w:rsidRDefault="00557A6F" w:rsidP="00557A6F"/>
        </w:tc>
        <w:tc>
          <w:tcPr>
            <w:tcW w:w="680" w:type="dxa"/>
          </w:tcPr>
          <w:p w:rsidR="00557A6F" w:rsidRDefault="00557A6F" w:rsidP="00557A6F">
            <w:r>
              <w:t>07</w:t>
            </w:r>
          </w:p>
        </w:tc>
        <w:tc>
          <w:tcPr>
            <w:tcW w:w="3440" w:type="dxa"/>
          </w:tcPr>
          <w:p w:rsidR="00557A6F" w:rsidRDefault="00557A6F" w:rsidP="00557A6F">
            <w:r>
              <w:t>Altinn</w:t>
            </w:r>
          </w:p>
        </w:tc>
        <w:tc>
          <w:tcPr>
            <w:tcW w:w="1580" w:type="dxa"/>
          </w:tcPr>
          <w:p w:rsidR="00557A6F" w:rsidRDefault="00557A6F" w:rsidP="00557A6F"/>
        </w:tc>
        <w:tc>
          <w:tcPr>
            <w:tcW w:w="1580" w:type="dxa"/>
          </w:tcPr>
          <w:p w:rsidR="00557A6F" w:rsidRDefault="00557A6F" w:rsidP="00AF5F55">
            <w:pPr>
              <w:jc w:val="right"/>
            </w:pPr>
            <w:r>
              <w:t>91 545 000</w:t>
            </w:r>
          </w:p>
        </w:tc>
        <w:tc>
          <w:tcPr>
            <w:tcW w:w="1580" w:type="dxa"/>
          </w:tcPr>
          <w:p w:rsidR="00557A6F" w:rsidRDefault="00557A6F" w:rsidP="00AF5F55">
            <w:pPr>
              <w:jc w:val="right"/>
            </w:pPr>
          </w:p>
        </w:tc>
      </w:tr>
      <w:tr w:rsidR="00557A6F" w:rsidTr="00AF5F55">
        <w:trPr>
          <w:trHeight w:val="360"/>
        </w:trPr>
        <w:tc>
          <w:tcPr>
            <w:tcW w:w="680" w:type="dxa"/>
          </w:tcPr>
          <w:p w:rsidR="00557A6F" w:rsidRDefault="00557A6F" w:rsidP="00557A6F"/>
        </w:tc>
        <w:tc>
          <w:tcPr>
            <w:tcW w:w="680" w:type="dxa"/>
          </w:tcPr>
          <w:p w:rsidR="00557A6F" w:rsidRDefault="00557A6F" w:rsidP="00557A6F">
            <w:r>
              <w:t>86</w:t>
            </w:r>
          </w:p>
        </w:tc>
        <w:tc>
          <w:tcPr>
            <w:tcW w:w="3440" w:type="dxa"/>
          </w:tcPr>
          <w:p w:rsidR="00557A6F" w:rsidRDefault="00557A6F" w:rsidP="00557A6F">
            <w:r>
              <w:t>Tvangsmulkt</w:t>
            </w:r>
          </w:p>
        </w:tc>
        <w:tc>
          <w:tcPr>
            <w:tcW w:w="1580" w:type="dxa"/>
          </w:tcPr>
          <w:p w:rsidR="00557A6F" w:rsidRDefault="00557A6F" w:rsidP="00557A6F"/>
        </w:tc>
        <w:tc>
          <w:tcPr>
            <w:tcW w:w="1580" w:type="dxa"/>
          </w:tcPr>
          <w:p w:rsidR="00557A6F" w:rsidRDefault="00557A6F" w:rsidP="00AF5F55">
            <w:pPr>
              <w:jc w:val="right"/>
            </w:pPr>
            <w:r>
              <w:t>100 000</w:t>
            </w:r>
          </w:p>
        </w:tc>
        <w:tc>
          <w:tcPr>
            <w:tcW w:w="1580" w:type="dxa"/>
          </w:tcPr>
          <w:p w:rsidR="00557A6F" w:rsidRDefault="00557A6F" w:rsidP="00AF5F55">
            <w:pPr>
              <w:jc w:val="right"/>
            </w:pPr>
            <w:r>
              <w:t>172 877 000</w:t>
            </w:r>
          </w:p>
        </w:tc>
      </w:tr>
      <w:tr w:rsidR="00557A6F" w:rsidTr="00AF5F55">
        <w:trPr>
          <w:trHeight w:val="360"/>
        </w:trPr>
        <w:tc>
          <w:tcPr>
            <w:tcW w:w="680" w:type="dxa"/>
          </w:tcPr>
          <w:p w:rsidR="00557A6F" w:rsidRDefault="00557A6F" w:rsidP="00557A6F">
            <w:r>
              <w:t>3542</w:t>
            </w:r>
          </w:p>
        </w:tc>
        <w:tc>
          <w:tcPr>
            <w:tcW w:w="680" w:type="dxa"/>
          </w:tcPr>
          <w:p w:rsidR="00557A6F" w:rsidRDefault="00557A6F" w:rsidP="00557A6F"/>
        </w:tc>
        <w:tc>
          <w:tcPr>
            <w:tcW w:w="3440" w:type="dxa"/>
          </w:tcPr>
          <w:p w:rsidR="00557A6F" w:rsidRDefault="00557A6F" w:rsidP="00557A6F">
            <w:r>
              <w:t>Internasjonalt samarbeid</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p>
        </w:tc>
      </w:tr>
      <w:tr w:rsidR="00557A6F" w:rsidTr="00AF5F55">
        <w:trPr>
          <w:trHeight w:val="360"/>
        </w:trPr>
        <w:tc>
          <w:tcPr>
            <w:tcW w:w="680" w:type="dxa"/>
          </w:tcPr>
          <w:p w:rsidR="00557A6F" w:rsidRDefault="00557A6F" w:rsidP="00557A6F"/>
        </w:tc>
        <w:tc>
          <w:tcPr>
            <w:tcW w:w="680" w:type="dxa"/>
          </w:tcPr>
          <w:p w:rsidR="00557A6F" w:rsidRDefault="00557A6F" w:rsidP="00557A6F">
            <w:r>
              <w:t>01</w:t>
            </w:r>
          </w:p>
        </w:tc>
        <w:tc>
          <w:tcPr>
            <w:tcW w:w="3440" w:type="dxa"/>
          </w:tcPr>
          <w:p w:rsidR="00557A6F" w:rsidRDefault="00557A6F" w:rsidP="00557A6F">
            <w:r>
              <w:t>Refusjon fra Utenriksdepart</w:t>
            </w:r>
            <w:r>
              <w:t>e</w:t>
            </w:r>
            <w:r>
              <w:t>mentet</w:t>
            </w:r>
          </w:p>
        </w:tc>
        <w:tc>
          <w:tcPr>
            <w:tcW w:w="1580" w:type="dxa"/>
          </w:tcPr>
          <w:p w:rsidR="00557A6F" w:rsidRDefault="00557A6F" w:rsidP="00557A6F"/>
        </w:tc>
        <w:tc>
          <w:tcPr>
            <w:tcW w:w="1580" w:type="dxa"/>
          </w:tcPr>
          <w:p w:rsidR="00557A6F" w:rsidRDefault="00557A6F" w:rsidP="00AF5F55">
            <w:pPr>
              <w:jc w:val="right"/>
            </w:pPr>
            <w:r>
              <w:t>2 259 000</w:t>
            </w:r>
          </w:p>
        </w:tc>
        <w:tc>
          <w:tcPr>
            <w:tcW w:w="1580" w:type="dxa"/>
          </w:tcPr>
          <w:p w:rsidR="00557A6F" w:rsidRDefault="00557A6F" w:rsidP="00AF5F55">
            <w:pPr>
              <w:jc w:val="right"/>
            </w:pPr>
            <w:r>
              <w:t>2 259 000</w:t>
            </w:r>
          </w:p>
        </w:tc>
      </w:tr>
      <w:tr w:rsidR="00557A6F" w:rsidTr="00AF5F55">
        <w:trPr>
          <w:trHeight w:val="620"/>
        </w:trPr>
        <w:tc>
          <w:tcPr>
            <w:tcW w:w="680" w:type="dxa"/>
          </w:tcPr>
          <w:p w:rsidR="00557A6F" w:rsidRDefault="00557A6F" w:rsidP="00557A6F">
            <w:r>
              <w:t>3543</w:t>
            </w:r>
          </w:p>
        </w:tc>
        <w:tc>
          <w:tcPr>
            <w:tcW w:w="680" w:type="dxa"/>
          </w:tcPr>
          <w:p w:rsidR="00557A6F" w:rsidRDefault="00557A6F" w:rsidP="00557A6F"/>
        </w:tc>
        <w:tc>
          <w:tcPr>
            <w:tcW w:w="3440" w:type="dxa"/>
          </w:tcPr>
          <w:p w:rsidR="00557A6F" w:rsidRDefault="00557A6F" w:rsidP="00557A6F">
            <w:r>
              <w:t>Nasjonal kommunikasjonsmyndi</w:t>
            </w:r>
            <w:r>
              <w:t>g</w:t>
            </w:r>
            <w:r>
              <w:t>het</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p>
        </w:tc>
      </w:tr>
      <w:tr w:rsidR="00557A6F" w:rsidTr="00AF5F55">
        <w:trPr>
          <w:trHeight w:val="360"/>
        </w:trPr>
        <w:tc>
          <w:tcPr>
            <w:tcW w:w="680" w:type="dxa"/>
          </w:tcPr>
          <w:p w:rsidR="00557A6F" w:rsidRDefault="00557A6F" w:rsidP="00557A6F"/>
        </w:tc>
        <w:tc>
          <w:tcPr>
            <w:tcW w:w="680" w:type="dxa"/>
          </w:tcPr>
          <w:p w:rsidR="00557A6F" w:rsidRDefault="00557A6F" w:rsidP="00557A6F">
            <w:r>
              <w:t>01</w:t>
            </w:r>
          </w:p>
        </w:tc>
        <w:tc>
          <w:tcPr>
            <w:tcW w:w="3440" w:type="dxa"/>
          </w:tcPr>
          <w:p w:rsidR="00557A6F" w:rsidRDefault="00557A6F" w:rsidP="00557A6F">
            <w:r>
              <w:t>Diverse gebyrer</w:t>
            </w:r>
          </w:p>
        </w:tc>
        <w:tc>
          <w:tcPr>
            <w:tcW w:w="1580" w:type="dxa"/>
          </w:tcPr>
          <w:p w:rsidR="00557A6F" w:rsidRDefault="00557A6F" w:rsidP="00557A6F"/>
        </w:tc>
        <w:tc>
          <w:tcPr>
            <w:tcW w:w="1580" w:type="dxa"/>
          </w:tcPr>
          <w:p w:rsidR="00557A6F" w:rsidRDefault="00557A6F" w:rsidP="00AF5F55">
            <w:pPr>
              <w:jc w:val="right"/>
            </w:pPr>
            <w:r>
              <w:t>597 000</w:t>
            </w:r>
          </w:p>
        </w:tc>
        <w:tc>
          <w:tcPr>
            <w:tcW w:w="1580" w:type="dxa"/>
          </w:tcPr>
          <w:p w:rsidR="00557A6F" w:rsidRDefault="00557A6F" w:rsidP="00AF5F55">
            <w:pPr>
              <w:jc w:val="right"/>
            </w:pPr>
            <w:r>
              <w:t>597 000</w:t>
            </w:r>
          </w:p>
        </w:tc>
      </w:tr>
      <w:tr w:rsidR="00557A6F" w:rsidTr="00AF5F55">
        <w:trPr>
          <w:trHeight w:val="360"/>
        </w:trPr>
        <w:tc>
          <w:tcPr>
            <w:tcW w:w="680" w:type="dxa"/>
          </w:tcPr>
          <w:p w:rsidR="00557A6F" w:rsidRDefault="00557A6F" w:rsidP="00557A6F">
            <w:r>
              <w:t>3563</w:t>
            </w:r>
          </w:p>
        </w:tc>
        <w:tc>
          <w:tcPr>
            <w:tcW w:w="680" w:type="dxa"/>
          </w:tcPr>
          <w:p w:rsidR="00557A6F" w:rsidRDefault="00557A6F" w:rsidP="00557A6F"/>
        </w:tc>
        <w:tc>
          <w:tcPr>
            <w:tcW w:w="3440" w:type="dxa"/>
          </w:tcPr>
          <w:p w:rsidR="00557A6F" w:rsidRDefault="00557A6F" w:rsidP="00557A6F">
            <w:r>
              <w:t>Internasjonalt reindriftssenter</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p>
        </w:tc>
      </w:tr>
      <w:tr w:rsidR="00557A6F" w:rsidTr="00AF5F55">
        <w:trPr>
          <w:trHeight w:val="360"/>
        </w:trPr>
        <w:tc>
          <w:tcPr>
            <w:tcW w:w="680" w:type="dxa"/>
          </w:tcPr>
          <w:p w:rsidR="00557A6F" w:rsidRDefault="00557A6F" w:rsidP="00557A6F"/>
        </w:tc>
        <w:tc>
          <w:tcPr>
            <w:tcW w:w="680" w:type="dxa"/>
          </w:tcPr>
          <w:p w:rsidR="00557A6F" w:rsidRDefault="00557A6F" w:rsidP="00557A6F">
            <w:r>
              <w:t>02</w:t>
            </w:r>
          </w:p>
        </w:tc>
        <w:tc>
          <w:tcPr>
            <w:tcW w:w="3440" w:type="dxa"/>
          </w:tcPr>
          <w:p w:rsidR="00557A6F" w:rsidRDefault="00557A6F" w:rsidP="00557A6F">
            <w:r>
              <w:t>Diverse inntekter</w:t>
            </w:r>
          </w:p>
        </w:tc>
        <w:tc>
          <w:tcPr>
            <w:tcW w:w="1580" w:type="dxa"/>
          </w:tcPr>
          <w:p w:rsidR="00557A6F" w:rsidRDefault="00557A6F" w:rsidP="00557A6F"/>
        </w:tc>
        <w:tc>
          <w:tcPr>
            <w:tcW w:w="1580" w:type="dxa"/>
          </w:tcPr>
          <w:p w:rsidR="00557A6F" w:rsidRDefault="00557A6F" w:rsidP="00AF5F55">
            <w:pPr>
              <w:jc w:val="right"/>
            </w:pPr>
            <w:r>
              <w:t>2 789 000</w:t>
            </w:r>
          </w:p>
        </w:tc>
        <w:tc>
          <w:tcPr>
            <w:tcW w:w="1580" w:type="dxa"/>
          </w:tcPr>
          <w:p w:rsidR="00557A6F" w:rsidRDefault="00557A6F" w:rsidP="00AF5F55">
            <w:pPr>
              <w:jc w:val="right"/>
            </w:pPr>
          </w:p>
        </w:tc>
      </w:tr>
      <w:tr w:rsidR="00557A6F" w:rsidTr="00AF5F55">
        <w:trPr>
          <w:trHeight w:val="360"/>
        </w:trPr>
        <w:tc>
          <w:tcPr>
            <w:tcW w:w="680" w:type="dxa"/>
          </w:tcPr>
          <w:p w:rsidR="00557A6F" w:rsidRDefault="00557A6F" w:rsidP="00557A6F"/>
        </w:tc>
        <w:tc>
          <w:tcPr>
            <w:tcW w:w="680" w:type="dxa"/>
          </w:tcPr>
          <w:p w:rsidR="00557A6F" w:rsidRDefault="00557A6F" w:rsidP="00557A6F">
            <w:r>
              <w:t>03</w:t>
            </w:r>
          </w:p>
        </w:tc>
        <w:tc>
          <w:tcPr>
            <w:tcW w:w="3440" w:type="dxa"/>
          </w:tcPr>
          <w:p w:rsidR="00557A6F" w:rsidRDefault="00557A6F" w:rsidP="00557A6F">
            <w:r>
              <w:t>Leieinntekter</w:t>
            </w:r>
          </w:p>
        </w:tc>
        <w:tc>
          <w:tcPr>
            <w:tcW w:w="1580" w:type="dxa"/>
          </w:tcPr>
          <w:p w:rsidR="00557A6F" w:rsidRDefault="00557A6F" w:rsidP="00557A6F"/>
        </w:tc>
        <w:tc>
          <w:tcPr>
            <w:tcW w:w="1580" w:type="dxa"/>
          </w:tcPr>
          <w:p w:rsidR="00557A6F" w:rsidRDefault="00557A6F" w:rsidP="00AF5F55">
            <w:pPr>
              <w:jc w:val="right"/>
            </w:pPr>
            <w:r>
              <w:t>279 000</w:t>
            </w:r>
          </w:p>
        </w:tc>
        <w:tc>
          <w:tcPr>
            <w:tcW w:w="1580" w:type="dxa"/>
          </w:tcPr>
          <w:p w:rsidR="00557A6F" w:rsidRDefault="00557A6F" w:rsidP="00AF5F55">
            <w:pPr>
              <w:jc w:val="right"/>
            </w:pPr>
            <w:r>
              <w:t>3 068 000</w:t>
            </w:r>
          </w:p>
        </w:tc>
      </w:tr>
      <w:tr w:rsidR="00557A6F" w:rsidTr="00AF5F55">
        <w:trPr>
          <w:trHeight w:val="360"/>
        </w:trPr>
        <w:tc>
          <w:tcPr>
            <w:tcW w:w="680" w:type="dxa"/>
          </w:tcPr>
          <w:p w:rsidR="00557A6F" w:rsidRDefault="00557A6F" w:rsidP="00557A6F">
            <w:r>
              <w:lastRenderedPageBreak/>
              <w:t>3585</w:t>
            </w:r>
          </w:p>
        </w:tc>
        <w:tc>
          <w:tcPr>
            <w:tcW w:w="680" w:type="dxa"/>
          </w:tcPr>
          <w:p w:rsidR="00557A6F" w:rsidRDefault="00557A6F" w:rsidP="00557A6F"/>
        </w:tc>
        <w:tc>
          <w:tcPr>
            <w:tcW w:w="3440" w:type="dxa"/>
          </w:tcPr>
          <w:p w:rsidR="00557A6F" w:rsidRDefault="00557A6F" w:rsidP="00557A6F">
            <w:r>
              <w:t>Husleietvistutvalget</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p>
        </w:tc>
      </w:tr>
      <w:tr w:rsidR="00557A6F" w:rsidTr="00AF5F55">
        <w:trPr>
          <w:trHeight w:val="360"/>
        </w:trPr>
        <w:tc>
          <w:tcPr>
            <w:tcW w:w="680" w:type="dxa"/>
          </w:tcPr>
          <w:p w:rsidR="00557A6F" w:rsidRDefault="00557A6F" w:rsidP="00557A6F"/>
        </w:tc>
        <w:tc>
          <w:tcPr>
            <w:tcW w:w="680" w:type="dxa"/>
          </w:tcPr>
          <w:p w:rsidR="00557A6F" w:rsidRDefault="00557A6F" w:rsidP="00557A6F">
            <w:r>
              <w:t>01</w:t>
            </w:r>
          </w:p>
        </w:tc>
        <w:tc>
          <w:tcPr>
            <w:tcW w:w="3440" w:type="dxa"/>
          </w:tcPr>
          <w:p w:rsidR="00557A6F" w:rsidRDefault="00557A6F" w:rsidP="00557A6F">
            <w:r>
              <w:t>Gebyrer</w:t>
            </w:r>
          </w:p>
        </w:tc>
        <w:tc>
          <w:tcPr>
            <w:tcW w:w="1580" w:type="dxa"/>
          </w:tcPr>
          <w:p w:rsidR="00557A6F" w:rsidRDefault="00557A6F" w:rsidP="00557A6F"/>
        </w:tc>
        <w:tc>
          <w:tcPr>
            <w:tcW w:w="1580" w:type="dxa"/>
          </w:tcPr>
          <w:p w:rsidR="00557A6F" w:rsidRDefault="00557A6F" w:rsidP="00AF5F55">
            <w:pPr>
              <w:jc w:val="right"/>
            </w:pPr>
            <w:r>
              <w:t>1 915 000</w:t>
            </w:r>
          </w:p>
        </w:tc>
        <w:tc>
          <w:tcPr>
            <w:tcW w:w="1580" w:type="dxa"/>
          </w:tcPr>
          <w:p w:rsidR="00557A6F" w:rsidRDefault="00557A6F" w:rsidP="00AF5F55">
            <w:pPr>
              <w:jc w:val="right"/>
            </w:pPr>
            <w:r>
              <w:t>1 915 000</w:t>
            </w:r>
          </w:p>
        </w:tc>
      </w:tr>
      <w:tr w:rsidR="00557A6F" w:rsidTr="00AF5F55">
        <w:trPr>
          <w:trHeight w:val="360"/>
        </w:trPr>
        <w:tc>
          <w:tcPr>
            <w:tcW w:w="680" w:type="dxa"/>
          </w:tcPr>
          <w:p w:rsidR="00557A6F" w:rsidRDefault="00557A6F" w:rsidP="00557A6F">
            <w:r>
              <w:t>3587</w:t>
            </w:r>
          </w:p>
        </w:tc>
        <w:tc>
          <w:tcPr>
            <w:tcW w:w="680" w:type="dxa"/>
          </w:tcPr>
          <w:p w:rsidR="00557A6F" w:rsidRDefault="00557A6F" w:rsidP="00557A6F"/>
        </w:tc>
        <w:tc>
          <w:tcPr>
            <w:tcW w:w="3440" w:type="dxa"/>
          </w:tcPr>
          <w:p w:rsidR="00557A6F" w:rsidRDefault="00557A6F" w:rsidP="00557A6F">
            <w:r>
              <w:t>Direktoratet for byggkvalitet</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p>
        </w:tc>
      </w:tr>
      <w:tr w:rsidR="00557A6F" w:rsidTr="00AF5F55">
        <w:trPr>
          <w:trHeight w:val="360"/>
        </w:trPr>
        <w:tc>
          <w:tcPr>
            <w:tcW w:w="680" w:type="dxa"/>
          </w:tcPr>
          <w:p w:rsidR="00557A6F" w:rsidRDefault="00557A6F" w:rsidP="00557A6F"/>
        </w:tc>
        <w:tc>
          <w:tcPr>
            <w:tcW w:w="680" w:type="dxa"/>
          </w:tcPr>
          <w:p w:rsidR="00557A6F" w:rsidRDefault="00557A6F" w:rsidP="00557A6F">
            <w:r>
              <w:t>01</w:t>
            </w:r>
          </w:p>
        </w:tc>
        <w:tc>
          <w:tcPr>
            <w:tcW w:w="3440" w:type="dxa"/>
          </w:tcPr>
          <w:p w:rsidR="00557A6F" w:rsidRDefault="00557A6F" w:rsidP="00557A6F">
            <w:r>
              <w:t>Diverse inntekter</w:t>
            </w:r>
          </w:p>
        </w:tc>
        <w:tc>
          <w:tcPr>
            <w:tcW w:w="1580" w:type="dxa"/>
          </w:tcPr>
          <w:p w:rsidR="00557A6F" w:rsidRDefault="00557A6F" w:rsidP="00557A6F"/>
        </w:tc>
        <w:tc>
          <w:tcPr>
            <w:tcW w:w="1580" w:type="dxa"/>
          </w:tcPr>
          <w:p w:rsidR="00557A6F" w:rsidRDefault="00557A6F" w:rsidP="00AF5F55">
            <w:pPr>
              <w:jc w:val="right"/>
            </w:pPr>
            <w:r>
              <w:t>108 000</w:t>
            </w:r>
          </w:p>
        </w:tc>
        <w:tc>
          <w:tcPr>
            <w:tcW w:w="1580" w:type="dxa"/>
          </w:tcPr>
          <w:p w:rsidR="00557A6F" w:rsidRDefault="00557A6F" w:rsidP="00AF5F55">
            <w:pPr>
              <w:jc w:val="right"/>
            </w:pPr>
          </w:p>
        </w:tc>
      </w:tr>
      <w:tr w:rsidR="00557A6F" w:rsidTr="00AF5F55">
        <w:trPr>
          <w:trHeight w:val="360"/>
        </w:trPr>
        <w:tc>
          <w:tcPr>
            <w:tcW w:w="680" w:type="dxa"/>
          </w:tcPr>
          <w:p w:rsidR="00557A6F" w:rsidRDefault="00557A6F" w:rsidP="00557A6F"/>
        </w:tc>
        <w:tc>
          <w:tcPr>
            <w:tcW w:w="680" w:type="dxa"/>
          </w:tcPr>
          <w:p w:rsidR="00557A6F" w:rsidRDefault="00557A6F" w:rsidP="00557A6F">
            <w:r>
              <w:t>04</w:t>
            </w:r>
          </w:p>
        </w:tc>
        <w:tc>
          <w:tcPr>
            <w:tcW w:w="3440" w:type="dxa"/>
          </w:tcPr>
          <w:p w:rsidR="00557A6F" w:rsidRDefault="00557A6F" w:rsidP="00557A6F">
            <w:r>
              <w:t>Gebyrer</w:t>
            </w:r>
          </w:p>
        </w:tc>
        <w:tc>
          <w:tcPr>
            <w:tcW w:w="1580" w:type="dxa"/>
          </w:tcPr>
          <w:p w:rsidR="00557A6F" w:rsidRDefault="00557A6F" w:rsidP="00557A6F"/>
        </w:tc>
        <w:tc>
          <w:tcPr>
            <w:tcW w:w="1580" w:type="dxa"/>
          </w:tcPr>
          <w:p w:rsidR="00557A6F" w:rsidRDefault="00557A6F" w:rsidP="00AF5F55">
            <w:pPr>
              <w:jc w:val="right"/>
            </w:pPr>
            <w:r>
              <w:t>41 000 000</w:t>
            </w:r>
          </w:p>
        </w:tc>
        <w:tc>
          <w:tcPr>
            <w:tcW w:w="1580" w:type="dxa"/>
          </w:tcPr>
          <w:p w:rsidR="00557A6F" w:rsidRDefault="00557A6F" w:rsidP="00AF5F55">
            <w:pPr>
              <w:jc w:val="right"/>
            </w:pPr>
            <w:r>
              <w:t>41 108 000</w:t>
            </w:r>
          </w:p>
        </w:tc>
      </w:tr>
      <w:tr w:rsidR="00557A6F" w:rsidTr="00AF5F55">
        <w:trPr>
          <w:trHeight w:val="360"/>
        </w:trPr>
        <w:tc>
          <w:tcPr>
            <w:tcW w:w="680" w:type="dxa"/>
          </w:tcPr>
          <w:p w:rsidR="00557A6F" w:rsidRDefault="00557A6F" w:rsidP="00557A6F">
            <w:r>
              <w:t>3595</w:t>
            </w:r>
          </w:p>
        </w:tc>
        <w:tc>
          <w:tcPr>
            <w:tcW w:w="680" w:type="dxa"/>
          </w:tcPr>
          <w:p w:rsidR="00557A6F" w:rsidRDefault="00557A6F" w:rsidP="00557A6F"/>
        </w:tc>
        <w:tc>
          <w:tcPr>
            <w:tcW w:w="3440" w:type="dxa"/>
          </w:tcPr>
          <w:p w:rsidR="00557A6F" w:rsidRDefault="00557A6F" w:rsidP="00557A6F">
            <w:r>
              <w:t>Statens kartverk</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p>
        </w:tc>
      </w:tr>
      <w:tr w:rsidR="00557A6F" w:rsidTr="00AF5F55">
        <w:trPr>
          <w:trHeight w:val="360"/>
        </w:trPr>
        <w:tc>
          <w:tcPr>
            <w:tcW w:w="680" w:type="dxa"/>
          </w:tcPr>
          <w:p w:rsidR="00557A6F" w:rsidRDefault="00557A6F" w:rsidP="00557A6F"/>
        </w:tc>
        <w:tc>
          <w:tcPr>
            <w:tcW w:w="680" w:type="dxa"/>
          </w:tcPr>
          <w:p w:rsidR="00557A6F" w:rsidRDefault="00557A6F" w:rsidP="00557A6F">
            <w:r>
              <w:t>01</w:t>
            </w:r>
          </w:p>
        </w:tc>
        <w:tc>
          <w:tcPr>
            <w:tcW w:w="3440" w:type="dxa"/>
          </w:tcPr>
          <w:p w:rsidR="00557A6F" w:rsidRDefault="00557A6F" w:rsidP="00557A6F">
            <w:r>
              <w:t>Gebyrinntekter tinglysing</w:t>
            </w:r>
          </w:p>
        </w:tc>
        <w:tc>
          <w:tcPr>
            <w:tcW w:w="1580" w:type="dxa"/>
          </w:tcPr>
          <w:p w:rsidR="00557A6F" w:rsidRDefault="00557A6F" w:rsidP="00557A6F"/>
        </w:tc>
        <w:tc>
          <w:tcPr>
            <w:tcW w:w="1580" w:type="dxa"/>
          </w:tcPr>
          <w:p w:rsidR="00557A6F" w:rsidRDefault="00557A6F" w:rsidP="00AF5F55">
            <w:pPr>
              <w:jc w:val="right"/>
            </w:pPr>
            <w:r>
              <w:t>450 000 000</w:t>
            </w:r>
          </w:p>
        </w:tc>
        <w:tc>
          <w:tcPr>
            <w:tcW w:w="1580" w:type="dxa"/>
          </w:tcPr>
          <w:p w:rsidR="00557A6F" w:rsidRDefault="00557A6F" w:rsidP="00AF5F55">
            <w:pPr>
              <w:jc w:val="right"/>
            </w:pPr>
          </w:p>
        </w:tc>
      </w:tr>
      <w:tr w:rsidR="00557A6F" w:rsidTr="00AF5F55">
        <w:trPr>
          <w:trHeight w:val="360"/>
        </w:trPr>
        <w:tc>
          <w:tcPr>
            <w:tcW w:w="680" w:type="dxa"/>
          </w:tcPr>
          <w:p w:rsidR="00557A6F" w:rsidRDefault="00557A6F" w:rsidP="00557A6F"/>
        </w:tc>
        <w:tc>
          <w:tcPr>
            <w:tcW w:w="680" w:type="dxa"/>
          </w:tcPr>
          <w:p w:rsidR="00557A6F" w:rsidRDefault="00557A6F" w:rsidP="00557A6F">
            <w:r>
              <w:t>02</w:t>
            </w:r>
          </w:p>
        </w:tc>
        <w:tc>
          <w:tcPr>
            <w:tcW w:w="3440" w:type="dxa"/>
          </w:tcPr>
          <w:p w:rsidR="00557A6F" w:rsidRDefault="00557A6F" w:rsidP="00557A6F">
            <w:r>
              <w:t>Salg og abonnement m.m.</w:t>
            </w:r>
          </w:p>
        </w:tc>
        <w:tc>
          <w:tcPr>
            <w:tcW w:w="1580" w:type="dxa"/>
          </w:tcPr>
          <w:p w:rsidR="00557A6F" w:rsidRDefault="00557A6F" w:rsidP="00557A6F"/>
        </w:tc>
        <w:tc>
          <w:tcPr>
            <w:tcW w:w="1580" w:type="dxa"/>
          </w:tcPr>
          <w:p w:rsidR="00557A6F" w:rsidRDefault="00557A6F" w:rsidP="00AF5F55">
            <w:pPr>
              <w:jc w:val="right"/>
            </w:pPr>
            <w:r>
              <w:t>149 207 000</w:t>
            </w:r>
          </w:p>
        </w:tc>
        <w:tc>
          <w:tcPr>
            <w:tcW w:w="1580" w:type="dxa"/>
          </w:tcPr>
          <w:p w:rsidR="00557A6F" w:rsidRDefault="00557A6F" w:rsidP="00AF5F55">
            <w:pPr>
              <w:jc w:val="right"/>
            </w:pPr>
          </w:p>
        </w:tc>
      </w:tr>
      <w:tr w:rsidR="00557A6F" w:rsidTr="00AF5F55">
        <w:trPr>
          <w:trHeight w:val="360"/>
        </w:trPr>
        <w:tc>
          <w:tcPr>
            <w:tcW w:w="680" w:type="dxa"/>
          </w:tcPr>
          <w:p w:rsidR="00557A6F" w:rsidRDefault="00557A6F" w:rsidP="00557A6F"/>
        </w:tc>
        <w:tc>
          <w:tcPr>
            <w:tcW w:w="680" w:type="dxa"/>
          </w:tcPr>
          <w:p w:rsidR="00557A6F" w:rsidRDefault="00557A6F" w:rsidP="00557A6F">
            <w:r>
              <w:t>03</w:t>
            </w:r>
          </w:p>
        </w:tc>
        <w:tc>
          <w:tcPr>
            <w:tcW w:w="3440" w:type="dxa"/>
          </w:tcPr>
          <w:p w:rsidR="00557A6F" w:rsidRDefault="00557A6F" w:rsidP="00557A6F">
            <w:r>
              <w:t>Samfinansiering</w:t>
            </w:r>
          </w:p>
        </w:tc>
        <w:tc>
          <w:tcPr>
            <w:tcW w:w="1580" w:type="dxa"/>
          </w:tcPr>
          <w:p w:rsidR="00557A6F" w:rsidRDefault="00557A6F" w:rsidP="00557A6F"/>
        </w:tc>
        <w:tc>
          <w:tcPr>
            <w:tcW w:w="1580" w:type="dxa"/>
          </w:tcPr>
          <w:p w:rsidR="00557A6F" w:rsidRDefault="00557A6F" w:rsidP="00AF5F55">
            <w:pPr>
              <w:jc w:val="right"/>
            </w:pPr>
            <w:r>
              <w:t>210 324 000</w:t>
            </w:r>
          </w:p>
        </w:tc>
        <w:tc>
          <w:tcPr>
            <w:tcW w:w="1580" w:type="dxa"/>
          </w:tcPr>
          <w:p w:rsidR="00557A6F" w:rsidRDefault="00557A6F" w:rsidP="00AF5F55">
            <w:pPr>
              <w:jc w:val="right"/>
            </w:pPr>
            <w:r>
              <w:t>809 531 000</w:t>
            </w:r>
          </w:p>
        </w:tc>
      </w:tr>
      <w:tr w:rsidR="00557A6F" w:rsidTr="00AF5F55">
        <w:trPr>
          <w:trHeight w:val="620"/>
        </w:trPr>
        <w:tc>
          <w:tcPr>
            <w:tcW w:w="680" w:type="dxa"/>
          </w:tcPr>
          <w:p w:rsidR="00557A6F" w:rsidRDefault="00557A6F" w:rsidP="00557A6F"/>
        </w:tc>
        <w:tc>
          <w:tcPr>
            <w:tcW w:w="680" w:type="dxa"/>
          </w:tcPr>
          <w:p w:rsidR="00557A6F" w:rsidRDefault="00557A6F" w:rsidP="00557A6F"/>
        </w:tc>
        <w:tc>
          <w:tcPr>
            <w:tcW w:w="3440" w:type="dxa"/>
          </w:tcPr>
          <w:p w:rsidR="00557A6F" w:rsidRDefault="00557A6F" w:rsidP="00557A6F">
            <w:r>
              <w:t>Sum Kommunal- og modernis</w:t>
            </w:r>
            <w:r>
              <w:t>e</w:t>
            </w:r>
            <w:r>
              <w:t>ringsdepartementet</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r>
              <w:t>1 291 166 000</w:t>
            </w:r>
          </w:p>
        </w:tc>
      </w:tr>
      <w:tr w:rsidR="00557A6F" w:rsidTr="00AF5F55">
        <w:trPr>
          <w:trHeight w:val="360"/>
        </w:trPr>
        <w:tc>
          <w:tcPr>
            <w:tcW w:w="9540" w:type="dxa"/>
            <w:gridSpan w:val="6"/>
          </w:tcPr>
          <w:p w:rsidR="00557A6F" w:rsidRDefault="00557A6F" w:rsidP="00AF5F55">
            <w:pPr>
              <w:jc w:val="center"/>
            </w:pPr>
            <w:r>
              <w:t>Ymse inntekter</w:t>
            </w:r>
          </w:p>
        </w:tc>
      </w:tr>
      <w:tr w:rsidR="00557A6F" w:rsidTr="00AF5F55">
        <w:trPr>
          <w:trHeight w:val="360"/>
        </w:trPr>
        <w:tc>
          <w:tcPr>
            <w:tcW w:w="680" w:type="dxa"/>
          </w:tcPr>
          <w:p w:rsidR="00557A6F" w:rsidRDefault="00557A6F" w:rsidP="00557A6F">
            <w:r>
              <w:t>5312</w:t>
            </w:r>
          </w:p>
        </w:tc>
        <w:tc>
          <w:tcPr>
            <w:tcW w:w="680" w:type="dxa"/>
          </w:tcPr>
          <w:p w:rsidR="00557A6F" w:rsidRDefault="00557A6F" w:rsidP="00557A6F"/>
        </w:tc>
        <w:tc>
          <w:tcPr>
            <w:tcW w:w="3440" w:type="dxa"/>
          </w:tcPr>
          <w:p w:rsidR="00557A6F" w:rsidRDefault="00557A6F" w:rsidP="00557A6F">
            <w:r>
              <w:t>Husbanken</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p>
        </w:tc>
      </w:tr>
      <w:tr w:rsidR="00557A6F" w:rsidTr="00AF5F55">
        <w:trPr>
          <w:trHeight w:val="360"/>
        </w:trPr>
        <w:tc>
          <w:tcPr>
            <w:tcW w:w="680" w:type="dxa"/>
          </w:tcPr>
          <w:p w:rsidR="00557A6F" w:rsidRDefault="00557A6F" w:rsidP="00557A6F"/>
        </w:tc>
        <w:tc>
          <w:tcPr>
            <w:tcW w:w="680" w:type="dxa"/>
          </w:tcPr>
          <w:p w:rsidR="00557A6F" w:rsidRDefault="00557A6F" w:rsidP="00557A6F">
            <w:r>
              <w:t>01</w:t>
            </w:r>
          </w:p>
        </w:tc>
        <w:tc>
          <w:tcPr>
            <w:tcW w:w="3440" w:type="dxa"/>
          </w:tcPr>
          <w:p w:rsidR="00557A6F" w:rsidRDefault="00557A6F" w:rsidP="00557A6F">
            <w:r>
              <w:t>Gebyrer m.m.</w:t>
            </w:r>
          </w:p>
        </w:tc>
        <w:tc>
          <w:tcPr>
            <w:tcW w:w="1580" w:type="dxa"/>
          </w:tcPr>
          <w:p w:rsidR="00557A6F" w:rsidRDefault="00557A6F" w:rsidP="00557A6F"/>
        </w:tc>
        <w:tc>
          <w:tcPr>
            <w:tcW w:w="1580" w:type="dxa"/>
          </w:tcPr>
          <w:p w:rsidR="00557A6F" w:rsidRDefault="00557A6F" w:rsidP="00AF5F55">
            <w:pPr>
              <w:jc w:val="right"/>
            </w:pPr>
            <w:r>
              <w:t>10 743 000</w:t>
            </w:r>
          </w:p>
        </w:tc>
        <w:tc>
          <w:tcPr>
            <w:tcW w:w="1580" w:type="dxa"/>
          </w:tcPr>
          <w:p w:rsidR="00557A6F" w:rsidRDefault="00557A6F" w:rsidP="00AF5F55">
            <w:pPr>
              <w:jc w:val="right"/>
            </w:pPr>
          </w:p>
        </w:tc>
      </w:tr>
      <w:tr w:rsidR="00557A6F" w:rsidTr="00AF5F55">
        <w:trPr>
          <w:trHeight w:val="360"/>
        </w:trPr>
        <w:tc>
          <w:tcPr>
            <w:tcW w:w="680" w:type="dxa"/>
          </w:tcPr>
          <w:p w:rsidR="00557A6F" w:rsidRDefault="00557A6F" w:rsidP="00557A6F"/>
        </w:tc>
        <w:tc>
          <w:tcPr>
            <w:tcW w:w="680" w:type="dxa"/>
          </w:tcPr>
          <w:p w:rsidR="00557A6F" w:rsidRDefault="00557A6F" w:rsidP="00557A6F">
            <w:r>
              <w:t>11</w:t>
            </w:r>
          </w:p>
        </w:tc>
        <w:tc>
          <w:tcPr>
            <w:tcW w:w="3440" w:type="dxa"/>
          </w:tcPr>
          <w:p w:rsidR="00557A6F" w:rsidRDefault="00557A6F" w:rsidP="00557A6F">
            <w:r>
              <w:t>Diverse inntekter</w:t>
            </w:r>
          </w:p>
        </w:tc>
        <w:tc>
          <w:tcPr>
            <w:tcW w:w="1580" w:type="dxa"/>
          </w:tcPr>
          <w:p w:rsidR="00557A6F" w:rsidRDefault="00557A6F" w:rsidP="00557A6F"/>
        </w:tc>
        <w:tc>
          <w:tcPr>
            <w:tcW w:w="1580" w:type="dxa"/>
          </w:tcPr>
          <w:p w:rsidR="00557A6F" w:rsidRDefault="00557A6F" w:rsidP="00AF5F55">
            <w:pPr>
              <w:jc w:val="right"/>
            </w:pPr>
            <w:r>
              <w:t>61 920 000</w:t>
            </w:r>
          </w:p>
        </w:tc>
        <w:tc>
          <w:tcPr>
            <w:tcW w:w="1580" w:type="dxa"/>
          </w:tcPr>
          <w:p w:rsidR="00557A6F" w:rsidRDefault="00557A6F" w:rsidP="00AF5F55">
            <w:pPr>
              <w:jc w:val="right"/>
            </w:pPr>
          </w:p>
        </w:tc>
      </w:tr>
      <w:tr w:rsidR="00557A6F" w:rsidTr="00AF5F55">
        <w:trPr>
          <w:trHeight w:val="360"/>
        </w:trPr>
        <w:tc>
          <w:tcPr>
            <w:tcW w:w="680" w:type="dxa"/>
          </w:tcPr>
          <w:p w:rsidR="00557A6F" w:rsidRDefault="00557A6F" w:rsidP="00557A6F"/>
        </w:tc>
        <w:tc>
          <w:tcPr>
            <w:tcW w:w="680" w:type="dxa"/>
          </w:tcPr>
          <w:p w:rsidR="00557A6F" w:rsidRDefault="00557A6F" w:rsidP="00557A6F">
            <w:r>
              <w:t>90</w:t>
            </w:r>
          </w:p>
        </w:tc>
        <w:tc>
          <w:tcPr>
            <w:tcW w:w="3440" w:type="dxa"/>
          </w:tcPr>
          <w:p w:rsidR="00557A6F" w:rsidRDefault="00557A6F" w:rsidP="00557A6F">
            <w:r>
              <w:t>Avdrag</w:t>
            </w:r>
          </w:p>
        </w:tc>
        <w:tc>
          <w:tcPr>
            <w:tcW w:w="1580" w:type="dxa"/>
          </w:tcPr>
          <w:p w:rsidR="00557A6F" w:rsidRDefault="00557A6F" w:rsidP="00557A6F"/>
        </w:tc>
        <w:tc>
          <w:tcPr>
            <w:tcW w:w="1580" w:type="dxa"/>
          </w:tcPr>
          <w:p w:rsidR="00557A6F" w:rsidRDefault="00557A6F" w:rsidP="00AF5F55">
            <w:pPr>
              <w:jc w:val="right"/>
            </w:pPr>
            <w:r>
              <w:t>12 710 000 000</w:t>
            </w:r>
          </w:p>
        </w:tc>
        <w:tc>
          <w:tcPr>
            <w:tcW w:w="1580" w:type="dxa"/>
          </w:tcPr>
          <w:p w:rsidR="00557A6F" w:rsidRDefault="00557A6F" w:rsidP="00AF5F55">
            <w:pPr>
              <w:jc w:val="right"/>
            </w:pPr>
            <w:r>
              <w:t>12 782 663 000</w:t>
            </w:r>
          </w:p>
        </w:tc>
      </w:tr>
      <w:tr w:rsidR="00557A6F" w:rsidTr="00AF5F55">
        <w:trPr>
          <w:trHeight w:val="360"/>
        </w:trPr>
        <w:tc>
          <w:tcPr>
            <w:tcW w:w="680" w:type="dxa"/>
          </w:tcPr>
          <w:p w:rsidR="00557A6F" w:rsidRDefault="00557A6F" w:rsidP="00557A6F"/>
        </w:tc>
        <w:tc>
          <w:tcPr>
            <w:tcW w:w="680" w:type="dxa"/>
          </w:tcPr>
          <w:p w:rsidR="00557A6F" w:rsidRDefault="00557A6F" w:rsidP="00557A6F"/>
        </w:tc>
        <w:tc>
          <w:tcPr>
            <w:tcW w:w="3440" w:type="dxa"/>
          </w:tcPr>
          <w:p w:rsidR="00557A6F" w:rsidRDefault="00557A6F" w:rsidP="00557A6F">
            <w:r>
              <w:t>Sum Ymse inntekter</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r>
              <w:t>12 782 663 000</w:t>
            </w:r>
          </w:p>
        </w:tc>
      </w:tr>
      <w:tr w:rsidR="00557A6F" w:rsidTr="00AF5F55">
        <w:trPr>
          <w:trHeight w:val="620"/>
        </w:trPr>
        <w:tc>
          <w:tcPr>
            <w:tcW w:w="9540" w:type="dxa"/>
            <w:gridSpan w:val="6"/>
          </w:tcPr>
          <w:p w:rsidR="00557A6F" w:rsidRDefault="00557A6F" w:rsidP="00AF5F55">
            <w:pPr>
              <w:jc w:val="center"/>
            </w:pPr>
            <w:r>
              <w:t xml:space="preserve">Avskrivninger, avsetninger til investeringsformål og inntekter av statens forreningsdrift </w:t>
            </w:r>
            <w:r>
              <w:br/>
              <w:t>i samband med nybygg, anlegg mv.</w:t>
            </w:r>
          </w:p>
        </w:tc>
      </w:tr>
      <w:tr w:rsidR="00557A6F" w:rsidTr="00AF5F55">
        <w:trPr>
          <w:trHeight w:val="360"/>
        </w:trPr>
        <w:tc>
          <w:tcPr>
            <w:tcW w:w="680" w:type="dxa"/>
          </w:tcPr>
          <w:p w:rsidR="00557A6F" w:rsidRDefault="00557A6F" w:rsidP="00557A6F">
            <w:r>
              <w:t>5445</w:t>
            </w:r>
          </w:p>
        </w:tc>
        <w:tc>
          <w:tcPr>
            <w:tcW w:w="680" w:type="dxa"/>
          </w:tcPr>
          <w:p w:rsidR="00557A6F" w:rsidRDefault="00557A6F" w:rsidP="00557A6F"/>
        </w:tc>
        <w:tc>
          <w:tcPr>
            <w:tcW w:w="3440" w:type="dxa"/>
          </w:tcPr>
          <w:p w:rsidR="00557A6F" w:rsidRDefault="00557A6F" w:rsidP="00557A6F">
            <w:r>
              <w:t>Statsbygg</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p>
        </w:tc>
      </w:tr>
      <w:tr w:rsidR="00557A6F" w:rsidTr="00AF5F55">
        <w:trPr>
          <w:trHeight w:val="360"/>
        </w:trPr>
        <w:tc>
          <w:tcPr>
            <w:tcW w:w="680" w:type="dxa"/>
          </w:tcPr>
          <w:p w:rsidR="00557A6F" w:rsidRDefault="00557A6F" w:rsidP="00557A6F"/>
        </w:tc>
        <w:tc>
          <w:tcPr>
            <w:tcW w:w="680" w:type="dxa"/>
          </w:tcPr>
          <w:p w:rsidR="00557A6F" w:rsidRDefault="00557A6F" w:rsidP="00557A6F">
            <w:r>
              <w:t>39</w:t>
            </w:r>
          </w:p>
        </w:tc>
        <w:tc>
          <w:tcPr>
            <w:tcW w:w="3440" w:type="dxa"/>
          </w:tcPr>
          <w:p w:rsidR="00557A6F" w:rsidRDefault="00557A6F" w:rsidP="00557A6F">
            <w:r>
              <w:t>Avsetning til investeringsformål</w:t>
            </w:r>
          </w:p>
        </w:tc>
        <w:tc>
          <w:tcPr>
            <w:tcW w:w="1580" w:type="dxa"/>
          </w:tcPr>
          <w:p w:rsidR="00557A6F" w:rsidRDefault="00557A6F" w:rsidP="00557A6F"/>
        </w:tc>
        <w:tc>
          <w:tcPr>
            <w:tcW w:w="1580" w:type="dxa"/>
          </w:tcPr>
          <w:p w:rsidR="00557A6F" w:rsidRDefault="00557A6F" w:rsidP="00AF5F55">
            <w:pPr>
              <w:jc w:val="right"/>
            </w:pPr>
            <w:r>
              <w:t>1 132 272 000</w:t>
            </w:r>
          </w:p>
        </w:tc>
        <w:tc>
          <w:tcPr>
            <w:tcW w:w="1580" w:type="dxa"/>
          </w:tcPr>
          <w:p w:rsidR="00557A6F" w:rsidRDefault="00557A6F" w:rsidP="00AF5F55">
            <w:pPr>
              <w:jc w:val="right"/>
            </w:pPr>
            <w:r>
              <w:t>1 132 272 000</w:t>
            </w:r>
          </w:p>
        </w:tc>
      </w:tr>
      <w:tr w:rsidR="00557A6F" w:rsidTr="00AF5F55">
        <w:trPr>
          <w:trHeight w:val="360"/>
        </w:trPr>
        <w:tc>
          <w:tcPr>
            <w:tcW w:w="680" w:type="dxa"/>
          </w:tcPr>
          <w:p w:rsidR="00557A6F" w:rsidRDefault="00557A6F" w:rsidP="00557A6F">
            <w:r>
              <w:t>5446</w:t>
            </w:r>
          </w:p>
        </w:tc>
        <w:tc>
          <w:tcPr>
            <w:tcW w:w="680" w:type="dxa"/>
          </w:tcPr>
          <w:p w:rsidR="00557A6F" w:rsidRDefault="00557A6F" w:rsidP="00557A6F"/>
        </w:tc>
        <w:tc>
          <w:tcPr>
            <w:tcW w:w="3440" w:type="dxa"/>
          </w:tcPr>
          <w:p w:rsidR="00557A6F" w:rsidRDefault="00557A6F" w:rsidP="00557A6F">
            <w:r>
              <w:t>Salg av eiendom, Fornebu</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p>
        </w:tc>
      </w:tr>
      <w:tr w:rsidR="00557A6F" w:rsidTr="00AF5F55">
        <w:trPr>
          <w:trHeight w:val="360"/>
        </w:trPr>
        <w:tc>
          <w:tcPr>
            <w:tcW w:w="680" w:type="dxa"/>
          </w:tcPr>
          <w:p w:rsidR="00557A6F" w:rsidRDefault="00557A6F" w:rsidP="00557A6F"/>
        </w:tc>
        <w:tc>
          <w:tcPr>
            <w:tcW w:w="680" w:type="dxa"/>
          </w:tcPr>
          <w:p w:rsidR="00557A6F" w:rsidRDefault="00557A6F" w:rsidP="00557A6F">
            <w:r>
              <w:t>40</w:t>
            </w:r>
          </w:p>
        </w:tc>
        <w:tc>
          <w:tcPr>
            <w:tcW w:w="3440" w:type="dxa"/>
          </w:tcPr>
          <w:p w:rsidR="00557A6F" w:rsidRDefault="00557A6F" w:rsidP="00557A6F">
            <w:r>
              <w:t>Salgsinntekter</w:t>
            </w:r>
          </w:p>
        </w:tc>
        <w:tc>
          <w:tcPr>
            <w:tcW w:w="1580" w:type="dxa"/>
          </w:tcPr>
          <w:p w:rsidR="00557A6F" w:rsidRDefault="00557A6F" w:rsidP="00557A6F"/>
        </w:tc>
        <w:tc>
          <w:tcPr>
            <w:tcW w:w="1580" w:type="dxa"/>
          </w:tcPr>
          <w:p w:rsidR="00557A6F" w:rsidRDefault="00557A6F" w:rsidP="00AF5F55">
            <w:pPr>
              <w:jc w:val="right"/>
            </w:pPr>
            <w:r>
              <w:t>200 000</w:t>
            </w:r>
          </w:p>
        </w:tc>
        <w:tc>
          <w:tcPr>
            <w:tcW w:w="1580" w:type="dxa"/>
          </w:tcPr>
          <w:p w:rsidR="00557A6F" w:rsidRDefault="00557A6F" w:rsidP="00AF5F55">
            <w:pPr>
              <w:jc w:val="right"/>
            </w:pPr>
            <w:r>
              <w:t>200 000</w:t>
            </w:r>
          </w:p>
        </w:tc>
      </w:tr>
      <w:tr w:rsidR="00557A6F" w:rsidTr="00AF5F55">
        <w:trPr>
          <w:trHeight w:val="1140"/>
        </w:trPr>
        <w:tc>
          <w:tcPr>
            <w:tcW w:w="680" w:type="dxa"/>
          </w:tcPr>
          <w:p w:rsidR="00557A6F" w:rsidRDefault="00557A6F" w:rsidP="00557A6F"/>
        </w:tc>
        <w:tc>
          <w:tcPr>
            <w:tcW w:w="680" w:type="dxa"/>
          </w:tcPr>
          <w:p w:rsidR="00557A6F" w:rsidRDefault="00557A6F" w:rsidP="00557A6F"/>
        </w:tc>
        <w:tc>
          <w:tcPr>
            <w:tcW w:w="3440" w:type="dxa"/>
          </w:tcPr>
          <w:p w:rsidR="00557A6F" w:rsidRDefault="00557A6F" w:rsidP="00557A6F">
            <w:r>
              <w:t>Sum Avskrivninger, avsetninger til investeringsformål og inntekter av statens forreningsdrift i sa</w:t>
            </w:r>
            <w:r>
              <w:t>m</w:t>
            </w:r>
            <w:r>
              <w:t>band med nybygg, anlegg mv.</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r>
              <w:t>1 132 472 000</w:t>
            </w:r>
          </w:p>
        </w:tc>
      </w:tr>
      <w:tr w:rsidR="00557A6F" w:rsidTr="00AF5F55">
        <w:trPr>
          <w:trHeight w:val="360"/>
        </w:trPr>
        <w:tc>
          <w:tcPr>
            <w:tcW w:w="9540" w:type="dxa"/>
            <w:gridSpan w:val="6"/>
          </w:tcPr>
          <w:p w:rsidR="00557A6F" w:rsidRDefault="00557A6F" w:rsidP="00AF5F55">
            <w:pPr>
              <w:jc w:val="center"/>
            </w:pPr>
            <w:r>
              <w:t>Skatter og avgifter</w:t>
            </w:r>
          </w:p>
        </w:tc>
      </w:tr>
      <w:tr w:rsidR="00557A6F" w:rsidTr="00AF5F55">
        <w:trPr>
          <w:trHeight w:val="620"/>
        </w:trPr>
        <w:tc>
          <w:tcPr>
            <w:tcW w:w="680" w:type="dxa"/>
          </w:tcPr>
          <w:p w:rsidR="00557A6F" w:rsidRDefault="00557A6F" w:rsidP="00557A6F">
            <w:r>
              <w:lastRenderedPageBreak/>
              <w:t>5570</w:t>
            </w:r>
          </w:p>
        </w:tc>
        <w:tc>
          <w:tcPr>
            <w:tcW w:w="680" w:type="dxa"/>
          </w:tcPr>
          <w:p w:rsidR="00557A6F" w:rsidRDefault="00557A6F" w:rsidP="00557A6F"/>
        </w:tc>
        <w:tc>
          <w:tcPr>
            <w:tcW w:w="3440" w:type="dxa"/>
          </w:tcPr>
          <w:p w:rsidR="00557A6F" w:rsidRDefault="00557A6F" w:rsidP="00557A6F">
            <w:r>
              <w:t>Sektoravgifter under Kommunal- og moderniseringsdepartementet</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p>
        </w:tc>
      </w:tr>
      <w:tr w:rsidR="00557A6F" w:rsidTr="00AF5F55">
        <w:trPr>
          <w:trHeight w:val="620"/>
        </w:trPr>
        <w:tc>
          <w:tcPr>
            <w:tcW w:w="680" w:type="dxa"/>
          </w:tcPr>
          <w:p w:rsidR="00557A6F" w:rsidRDefault="00557A6F" w:rsidP="00557A6F"/>
        </w:tc>
        <w:tc>
          <w:tcPr>
            <w:tcW w:w="680" w:type="dxa"/>
          </w:tcPr>
          <w:p w:rsidR="00557A6F" w:rsidRDefault="00557A6F" w:rsidP="00557A6F">
            <w:r>
              <w:t>70</w:t>
            </w:r>
          </w:p>
        </w:tc>
        <w:tc>
          <w:tcPr>
            <w:tcW w:w="3440" w:type="dxa"/>
          </w:tcPr>
          <w:p w:rsidR="00557A6F" w:rsidRDefault="00557A6F" w:rsidP="00557A6F">
            <w:r>
              <w:t>Sektoravgifter Nasjonal kommun</w:t>
            </w:r>
            <w:r>
              <w:t>i</w:t>
            </w:r>
            <w:r>
              <w:t>kasjonsmyndighet</w:t>
            </w:r>
          </w:p>
        </w:tc>
        <w:tc>
          <w:tcPr>
            <w:tcW w:w="1580" w:type="dxa"/>
          </w:tcPr>
          <w:p w:rsidR="00557A6F" w:rsidRDefault="00557A6F" w:rsidP="00557A6F"/>
        </w:tc>
        <w:tc>
          <w:tcPr>
            <w:tcW w:w="1580" w:type="dxa"/>
          </w:tcPr>
          <w:p w:rsidR="00557A6F" w:rsidRDefault="00557A6F" w:rsidP="00AF5F55">
            <w:pPr>
              <w:jc w:val="right"/>
            </w:pPr>
            <w:r>
              <w:t>247 880 000</w:t>
            </w:r>
          </w:p>
        </w:tc>
        <w:tc>
          <w:tcPr>
            <w:tcW w:w="1580" w:type="dxa"/>
          </w:tcPr>
          <w:p w:rsidR="00557A6F" w:rsidRDefault="00557A6F" w:rsidP="00AF5F55">
            <w:pPr>
              <w:jc w:val="right"/>
            </w:pPr>
            <w:r>
              <w:t>247 880 000</w:t>
            </w:r>
          </w:p>
        </w:tc>
      </w:tr>
      <w:tr w:rsidR="00557A6F" w:rsidTr="00AF5F55">
        <w:trPr>
          <w:trHeight w:val="360"/>
        </w:trPr>
        <w:tc>
          <w:tcPr>
            <w:tcW w:w="680" w:type="dxa"/>
          </w:tcPr>
          <w:p w:rsidR="00557A6F" w:rsidRDefault="00557A6F" w:rsidP="00557A6F"/>
        </w:tc>
        <w:tc>
          <w:tcPr>
            <w:tcW w:w="680" w:type="dxa"/>
          </w:tcPr>
          <w:p w:rsidR="00557A6F" w:rsidRDefault="00557A6F" w:rsidP="00557A6F"/>
        </w:tc>
        <w:tc>
          <w:tcPr>
            <w:tcW w:w="3440" w:type="dxa"/>
          </w:tcPr>
          <w:p w:rsidR="00557A6F" w:rsidRDefault="00557A6F" w:rsidP="00557A6F">
            <w:r>
              <w:t>Sum Skatter og avgifter</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r>
              <w:t>247 880 000</w:t>
            </w:r>
          </w:p>
        </w:tc>
      </w:tr>
      <w:tr w:rsidR="00557A6F" w:rsidTr="00AF5F55">
        <w:trPr>
          <w:trHeight w:val="360"/>
        </w:trPr>
        <w:tc>
          <w:tcPr>
            <w:tcW w:w="9540" w:type="dxa"/>
            <w:gridSpan w:val="6"/>
          </w:tcPr>
          <w:p w:rsidR="00557A6F" w:rsidRDefault="00557A6F" w:rsidP="00AF5F55">
            <w:pPr>
              <w:jc w:val="center"/>
            </w:pPr>
            <w:r>
              <w:t>Renter og utbytte mv.</w:t>
            </w:r>
          </w:p>
        </w:tc>
      </w:tr>
      <w:tr w:rsidR="00557A6F" w:rsidTr="00AF5F55">
        <w:trPr>
          <w:trHeight w:val="360"/>
        </w:trPr>
        <w:tc>
          <w:tcPr>
            <w:tcW w:w="680" w:type="dxa"/>
          </w:tcPr>
          <w:p w:rsidR="00557A6F" w:rsidRDefault="00557A6F" w:rsidP="00557A6F">
            <w:r>
              <w:t>5615</w:t>
            </w:r>
          </w:p>
        </w:tc>
        <w:tc>
          <w:tcPr>
            <w:tcW w:w="680" w:type="dxa"/>
          </w:tcPr>
          <w:p w:rsidR="00557A6F" w:rsidRDefault="00557A6F" w:rsidP="00557A6F"/>
        </w:tc>
        <w:tc>
          <w:tcPr>
            <w:tcW w:w="3440" w:type="dxa"/>
          </w:tcPr>
          <w:p w:rsidR="00557A6F" w:rsidRDefault="00557A6F" w:rsidP="00557A6F">
            <w:r>
              <w:t>Husbanken</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p>
        </w:tc>
      </w:tr>
      <w:tr w:rsidR="00557A6F" w:rsidTr="00AF5F55">
        <w:trPr>
          <w:trHeight w:val="360"/>
        </w:trPr>
        <w:tc>
          <w:tcPr>
            <w:tcW w:w="680" w:type="dxa"/>
          </w:tcPr>
          <w:p w:rsidR="00557A6F" w:rsidRDefault="00557A6F" w:rsidP="00557A6F"/>
        </w:tc>
        <w:tc>
          <w:tcPr>
            <w:tcW w:w="680" w:type="dxa"/>
          </w:tcPr>
          <w:p w:rsidR="00557A6F" w:rsidRDefault="00557A6F" w:rsidP="00557A6F">
            <w:r>
              <w:t>80</w:t>
            </w:r>
          </w:p>
        </w:tc>
        <w:tc>
          <w:tcPr>
            <w:tcW w:w="3440" w:type="dxa"/>
          </w:tcPr>
          <w:p w:rsidR="00557A6F" w:rsidRDefault="00557A6F" w:rsidP="00557A6F">
            <w:r>
              <w:t>Renter</w:t>
            </w:r>
          </w:p>
        </w:tc>
        <w:tc>
          <w:tcPr>
            <w:tcW w:w="1580" w:type="dxa"/>
          </w:tcPr>
          <w:p w:rsidR="00557A6F" w:rsidRDefault="00557A6F" w:rsidP="00557A6F"/>
        </w:tc>
        <w:tc>
          <w:tcPr>
            <w:tcW w:w="1580" w:type="dxa"/>
          </w:tcPr>
          <w:p w:rsidR="00557A6F" w:rsidRDefault="00557A6F" w:rsidP="00AF5F55">
            <w:pPr>
              <w:jc w:val="right"/>
            </w:pPr>
            <w:r>
              <w:t>3 386 000 000</w:t>
            </w:r>
          </w:p>
        </w:tc>
        <w:tc>
          <w:tcPr>
            <w:tcW w:w="1580" w:type="dxa"/>
          </w:tcPr>
          <w:p w:rsidR="00557A6F" w:rsidRDefault="00557A6F" w:rsidP="00AF5F55">
            <w:pPr>
              <w:jc w:val="right"/>
            </w:pPr>
            <w:r>
              <w:t>3 386 000 000</w:t>
            </w:r>
          </w:p>
        </w:tc>
      </w:tr>
      <w:tr w:rsidR="00557A6F" w:rsidTr="00AF5F55">
        <w:trPr>
          <w:trHeight w:val="360"/>
        </w:trPr>
        <w:tc>
          <w:tcPr>
            <w:tcW w:w="680" w:type="dxa"/>
          </w:tcPr>
          <w:p w:rsidR="00557A6F" w:rsidRDefault="00557A6F" w:rsidP="00557A6F">
            <w:r>
              <w:t>5616</w:t>
            </w:r>
          </w:p>
        </w:tc>
        <w:tc>
          <w:tcPr>
            <w:tcW w:w="680" w:type="dxa"/>
          </w:tcPr>
          <w:p w:rsidR="00557A6F" w:rsidRDefault="00557A6F" w:rsidP="00557A6F"/>
        </w:tc>
        <w:tc>
          <w:tcPr>
            <w:tcW w:w="3440" w:type="dxa"/>
          </w:tcPr>
          <w:p w:rsidR="00557A6F" w:rsidRDefault="00557A6F" w:rsidP="00557A6F">
            <w:r>
              <w:t>Kommunalbanken AS</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p>
        </w:tc>
      </w:tr>
      <w:tr w:rsidR="00557A6F" w:rsidTr="00AF5F55">
        <w:trPr>
          <w:trHeight w:val="360"/>
        </w:trPr>
        <w:tc>
          <w:tcPr>
            <w:tcW w:w="680" w:type="dxa"/>
          </w:tcPr>
          <w:p w:rsidR="00557A6F" w:rsidRDefault="00557A6F" w:rsidP="00557A6F"/>
        </w:tc>
        <w:tc>
          <w:tcPr>
            <w:tcW w:w="680" w:type="dxa"/>
          </w:tcPr>
          <w:p w:rsidR="00557A6F" w:rsidRDefault="00557A6F" w:rsidP="00557A6F">
            <w:r>
              <w:t>85</w:t>
            </w:r>
          </w:p>
        </w:tc>
        <w:tc>
          <w:tcPr>
            <w:tcW w:w="3440" w:type="dxa"/>
          </w:tcPr>
          <w:p w:rsidR="00557A6F" w:rsidRDefault="00557A6F" w:rsidP="00557A6F">
            <w:r>
              <w:t>Aksjeutbytte</w:t>
            </w:r>
          </w:p>
        </w:tc>
        <w:tc>
          <w:tcPr>
            <w:tcW w:w="1580" w:type="dxa"/>
          </w:tcPr>
          <w:p w:rsidR="00557A6F" w:rsidRDefault="00557A6F" w:rsidP="00557A6F"/>
        </w:tc>
        <w:tc>
          <w:tcPr>
            <w:tcW w:w="1580" w:type="dxa"/>
          </w:tcPr>
          <w:p w:rsidR="00557A6F" w:rsidRDefault="00557A6F" w:rsidP="00AF5F55">
            <w:pPr>
              <w:jc w:val="right"/>
            </w:pPr>
            <w:r>
              <w:t>510 000 000</w:t>
            </w:r>
          </w:p>
        </w:tc>
        <w:tc>
          <w:tcPr>
            <w:tcW w:w="1580" w:type="dxa"/>
          </w:tcPr>
          <w:p w:rsidR="00557A6F" w:rsidRDefault="00557A6F" w:rsidP="00AF5F55">
            <w:pPr>
              <w:jc w:val="right"/>
            </w:pPr>
            <w:r>
              <w:t>510 000 000</w:t>
            </w:r>
          </w:p>
        </w:tc>
      </w:tr>
      <w:tr w:rsidR="00557A6F" w:rsidTr="00AF5F55">
        <w:trPr>
          <w:trHeight w:val="360"/>
        </w:trPr>
        <w:tc>
          <w:tcPr>
            <w:tcW w:w="680" w:type="dxa"/>
          </w:tcPr>
          <w:p w:rsidR="00557A6F" w:rsidRDefault="00557A6F" w:rsidP="00557A6F"/>
        </w:tc>
        <w:tc>
          <w:tcPr>
            <w:tcW w:w="680" w:type="dxa"/>
          </w:tcPr>
          <w:p w:rsidR="00557A6F" w:rsidRDefault="00557A6F" w:rsidP="00557A6F"/>
        </w:tc>
        <w:tc>
          <w:tcPr>
            <w:tcW w:w="3440" w:type="dxa"/>
          </w:tcPr>
          <w:p w:rsidR="00557A6F" w:rsidRDefault="00557A6F" w:rsidP="00557A6F">
            <w:r>
              <w:t>Sum Renter og utbytte mv.</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r>
              <w:t>3 896 000 000</w:t>
            </w:r>
          </w:p>
        </w:tc>
      </w:tr>
      <w:tr w:rsidR="00557A6F" w:rsidTr="00AF5F55">
        <w:trPr>
          <w:trHeight w:val="360"/>
        </w:trPr>
        <w:tc>
          <w:tcPr>
            <w:tcW w:w="680" w:type="dxa"/>
          </w:tcPr>
          <w:p w:rsidR="00557A6F" w:rsidRDefault="00557A6F" w:rsidP="00557A6F"/>
        </w:tc>
        <w:tc>
          <w:tcPr>
            <w:tcW w:w="680" w:type="dxa"/>
          </w:tcPr>
          <w:p w:rsidR="00557A6F" w:rsidRDefault="00557A6F" w:rsidP="00557A6F"/>
        </w:tc>
        <w:tc>
          <w:tcPr>
            <w:tcW w:w="3440" w:type="dxa"/>
          </w:tcPr>
          <w:p w:rsidR="00557A6F" w:rsidRDefault="00557A6F" w:rsidP="00557A6F">
            <w:r>
              <w:t>Sum departementets inntekter</w:t>
            </w:r>
          </w:p>
        </w:tc>
        <w:tc>
          <w:tcPr>
            <w:tcW w:w="1580" w:type="dxa"/>
          </w:tcPr>
          <w:p w:rsidR="00557A6F" w:rsidRDefault="00557A6F" w:rsidP="00557A6F"/>
        </w:tc>
        <w:tc>
          <w:tcPr>
            <w:tcW w:w="1580" w:type="dxa"/>
          </w:tcPr>
          <w:p w:rsidR="00557A6F" w:rsidRDefault="00557A6F" w:rsidP="00AF5F55">
            <w:pPr>
              <w:jc w:val="right"/>
            </w:pPr>
          </w:p>
        </w:tc>
        <w:tc>
          <w:tcPr>
            <w:tcW w:w="1580" w:type="dxa"/>
          </w:tcPr>
          <w:p w:rsidR="00557A6F" w:rsidRDefault="00557A6F" w:rsidP="00AF5F55">
            <w:pPr>
              <w:jc w:val="right"/>
            </w:pPr>
            <w:r>
              <w:t>19 350 181 000</w:t>
            </w:r>
          </w:p>
        </w:tc>
      </w:tr>
    </w:tbl>
    <w:p w:rsidR="00557A6F" w:rsidRDefault="00557A6F" w:rsidP="00557A6F">
      <w:pPr>
        <w:pStyle w:val="Fullmakttit"/>
      </w:pPr>
      <w:r>
        <w:t>Fullmakter til å overskride gitte bevilgninger</w:t>
      </w:r>
    </w:p>
    <w:p w:rsidR="00557A6F" w:rsidRDefault="00557A6F" w:rsidP="00557A6F">
      <w:pPr>
        <w:pStyle w:val="a-vedtak-del"/>
      </w:pPr>
      <w:r>
        <w:t>II</w:t>
      </w:r>
    </w:p>
    <w:p w:rsidR="00557A6F" w:rsidRDefault="00557A6F" w:rsidP="00557A6F">
      <w:pPr>
        <w:pStyle w:val="a-vedtak-tekst"/>
      </w:pPr>
      <w:r>
        <w:t>Merinntektsfullmakter</w:t>
      </w:r>
    </w:p>
    <w:p w:rsidR="00557A6F" w:rsidRDefault="00557A6F" w:rsidP="00557A6F">
      <w:r>
        <w:t>Stortinget samtykker i at Kommunal- og moderniseringsdepartementet i 2020 kan:</w:t>
      </w:r>
    </w:p>
    <w:p w:rsidR="00557A6F" w:rsidRDefault="00557A6F" w:rsidP="00557A6F">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557A6F" w:rsidTr="00557A6F">
        <w:trPr>
          <w:trHeight w:val="360"/>
        </w:trPr>
        <w:tc>
          <w:tcPr>
            <w:tcW w:w="4600" w:type="dxa"/>
            <w:shd w:val="clear" w:color="auto" w:fill="FFFFFF"/>
          </w:tcPr>
          <w:p w:rsidR="00557A6F" w:rsidRDefault="00557A6F" w:rsidP="00557A6F">
            <w:r>
              <w:t>overskride bevilgningen under</w:t>
            </w:r>
          </w:p>
        </w:tc>
        <w:tc>
          <w:tcPr>
            <w:tcW w:w="4600" w:type="dxa"/>
          </w:tcPr>
          <w:p w:rsidR="00557A6F" w:rsidRDefault="00557A6F" w:rsidP="00557A6F">
            <w:r>
              <w:t>mot tilsvarende merinntekter under</w:t>
            </w:r>
          </w:p>
        </w:tc>
      </w:tr>
      <w:tr w:rsidR="00557A6F" w:rsidTr="00557A6F">
        <w:trPr>
          <w:trHeight w:val="380"/>
        </w:trPr>
        <w:tc>
          <w:tcPr>
            <w:tcW w:w="4600" w:type="dxa"/>
          </w:tcPr>
          <w:p w:rsidR="00557A6F" w:rsidRDefault="00557A6F" w:rsidP="00557A6F">
            <w:r>
              <w:t>kap. 500 post 01</w:t>
            </w:r>
          </w:p>
        </w:tc>
        <w:tc>
          <w:tcPr>
            <w:tcW w:w="4600" w:type="dxa"/>
          </w:tcPr>
          <w:p w:rsidR="00557A6F" w:rsidRDefault="00557A6F" w:rsidP="00557A6F">
            <w:r>
              <w:t>kap. 3500 post 01</w:t>
            </w:r>
          </w:p>
        </w:tc>
      </w:tr>
      <w:tr w:rsidR="00557A6F" w:rsidTr="00557A6F">
        <w:trPr>
          <w:trHeight w:val="380"/>
        </w:trPr>
        <w:tc>
          <w:tcPr>
            <w:tcW w:w="4600" w:type="dxa"/>
          </w:tcPr>
          <w:p w:rsidR="00557A6F" w:rsidRDefault="00557A6F" w:rsidP="00557A6F">
            <w:r>
              <w:t>kap. 510 post 01</w:t>
            </w:r>
          </w:p>
        </w:tc>
        <w:tc>
          <w:tcPr>
            <w:tcW w:w="4600" w:type="dxa"/>
          </w:tcPr>
          <w:p w:rsidR="00557A6F" w:rsidRDefault="00557A6F" w:rsidP="00557A6F">
            <w:r>
              <w:t>kap. 3510 postene 02 og 03</w:t>
            </w:r>
          </w:p>
        </w:tc>
      </w:tr>
      <w:tr w:rsidR="00557A6F" w:rsidTr="00557A6F">
        <w:trPr>
          <w:trHeight w:val="380"/>
        </w:trPr>
        <w:tc>
          <w:tcPr>
            <w:tcW w:w="4600" w:type="dxa"/>
          </w:tcPr>
          <w:p w:rsidR="00557A6F" w:rsidRDefault="00557A6F" w:rsidP="00557A6F">
            <w:r>
              <w:t>kap. 525 post 21</w:t>
            </w:r>
          </w:p>
        </w:tc>
        <w:tc>
          <w:tcPr>
            <w:tcW w:w="4600" w:type="dxa"/>
          </w:tcPr>
          <w:p w:rsidR="00557A6F" w:rsidRDefault="00557A6F" w:rsidP="00557A6F">
            <w:r>
              <w:t>kap. 3525 post 01</w:t>
            </w:r>
          </w:p>
        </w:tc>
      </w:tr>
      <w:tr w:rsidR="00557A6F" w:rsidTr="00557A6F">
        <w:trPr>
          <w:trHeight w:val="380"/>
        </w:trPr>
        <w:tc>
          <w:tcPr>
            <w:tcW w:w="4600" w:type="dxa"/>
          </w:tcPr>
          <w:p w:rsidR="00557A6F" w:rsidRDefault="00557A6F" w:rsidP="00557A6F">
            <w:r>
              <w:t>kap. 533 post 01</w:t>
            </w:r>
          </w:p>
        </w:tc>
        <w:tc>
          <w:tcPr>
            <w:tcW w:w="4600" w:type="dxa"/>
          </w:tcPr>
          <w:p w:rsidR="00557A6F" w:rsidRDefault="00557A6F" w:rsidP="00557A6F">
            <w:r>
              <w:t>kap. 3533 post 02</w:t>
            </w:r>
          </w:p>
        </w:tc>
      </w:tr>
      <w:tr w:rsidR="00557A6F" w:rsidTr="00557A6F">
        <w:trPr>
          <w:trHeight w:val="380"/>
        </w:trPr>
        <w:tc>
          <w:tcPr>
            <w:tcW w:w="4600" w:type="dxa"/>
          </w:tcPr>
          <w:p w:rsidR="00557A6F" w:rsidRDefault="00557A6F" w:rsidP="00557A6F">
            <w:r>
              <w:t>kap. 540 post 01</w:t>
            </w:r>
          </w:p>
        </w:tc>
        <w:tc>
          <w:tcPr>
            <w:tcW w:w="4600" w:type="dxa"/>
          </w:tcPr>
          <w:p w:rsidR="00557A6F" w:rsidRDefault="00557A6F" w:rsidP="00557A6F">
            <w:r>
              <w:t xml:space="preserve">kap. 3540 post 03 </w:t>
            </w:r>
          </w:p>
        </w:tc>
      </w:tr>
      <w:tr w:rsidR="00557A6F" w:rsidTr="00557A6F">
        <w:trPr>
          <w:trHeight w:val="380"/>
        </w:trPr>
        <w:tc>
          <w:tcPr>
            <w:tcW w:w="4600" w:type="dxa"/>
          </w:tcPr>
          <w:p w:rsidR="00557A6F" w:rsidRDefault="00557A6F" w:rsidP="00557A6F">
            <w:r>
              <w:t>kap. 540 post 21</w:t>
            </w:r>
          </w:p>
        </w:tc>
        <w:tc>
          <w:tcPr>
            <w:tcW w:w="4600" w:type="dxa"/>
          </w:tcPr>
          <w:p w:rsidR="00557A6F" w:rsidRDefault="00557A6F" w:rsidP="00557A6F">
            <w:r>
              <w:t>kap. 3540 post 03</w:t>
            </w:r>
          </w:p>
        </w:tc>
      </w:tr>
      <w:tr w:rsidR="00557A6F" w:rsidTr="00557A6F">
        <w:trPr>
          <w:trHeight w:val="380"/>
        </w:trPr>
        <w:tc>
          <w:tcPr>
            <w:tcW w:w="4600" w:type="dxa"/>
          </w:tcPr>
          <w:p w:rsidR="00557A6F" w:rsidRDefault="00557A6F" w:rsidP="00557A6F">
            <w:r>
              <w:t>kap. 540 post 22</w:t>
            </w:r>
          </w:p>
        </w:tc>
        <w:tc>
          <w:tcPr>
            <w:tcW w:w="4600" w:type="dxa"/>
          </w:tcPr>
          <w:p w:rsidR="00557A6F" w:rsidRDefault="00557A6F" w:rsidP="00557A6F">
            <w:r>
              <w:t>kap. 3540 post 05</w:t>
            </w:r>
          </w:p>
        </w:tc>
      </w:tr>
      <w:tr w:rsidR="00557A6F" w:rsidTr="00557A6F">
        <w:trPr>
          <w:trHeight w:val="380"/>
        </w:trPr>
        <w:tc>
          <w:tcPr>
            <w:tcW w:w="4600" w:type="dxa"/>
          </w:tcPr>
          <w:p w:rsidR="00557A6F" w:rsidRDefault="00557A6F" w:rsidP="00557A6F">
            <w:r>
              <w:t>kap. 540 post 23</w:t>
            </w:r>
          </w:p>
        </w:tc>
        <w:tc>
          <w:tcPr>
            <w:tcW w:w="4600" w:type="dxa"/>
          </w:tcPr>
          <w:p w:rsidR="00557A6F" w:rsidRDefault="00557A6F" w:rsidP="00557A6F">
            <w:r>
              <w:t>kap. 3540 post 06</w:t>
            </w:r>
          </w:p>
        </w:tc>
      </w:tr>
      <w:tr w:rsidR="00557A6F" w:rsidTr="00557A6F">
        <w:trPr>
          <w:trHeight w:val="380"/>
        </w:trPr>
        <w:tc>
          <w:tcPr>
            <w:tcW w:w="4600" w:type="dxa"/>
          </w:tcPr>
          <w:p w:rsidR="00557A6F" w:rsidRDefault="00557A6F" w:rsidP="00557A6F">
            <w:r>
              <w:t>kap. 540 post 28</w:t>
            </w:r>
          </w:p>
        </w:tc>
        <w:tc>
          <w:tcPr>
            <w:tcW w:w="4600" w:type="dxa"/>
          </w:tcPr>
          <w:p w:rsidR="00557A6F" w:rsidRDefault="00557A6F" w:rsidP="00557A6F">
            <w:r>
              <w:t>kap. 3540 post 07</w:t>
            </w:r>
          </w:p>
        </w:tc>
      </w:tr>
      <w:tr w:rsidR="00557A6F" w:rsidTr="00557A6F">
        <w:trPr>
          <w:trHeight w:val="380"/>
        </w:trPr>
        <w:tc>
          <w:tcPr>
            <w:tcW w:w="4600" w:type="dxa"/>
          </w:tcPr>
          <w:p w:rsidR="00557A6F" w:rsidRDefault="00557A6F" w:rsidP="00557A6F">
            <w:r>
              <w:t>kap. 554 post 01</w:t>
            </w:r>
          </w:p>
        </w:tc>
        <w:tc>
          <w:tcPr>
            <w:tcW w:w="4600" w:type="dxa"/>
          </w:tcPr>
          <w:p w:rsidR="00557A6F" w:rsidRDefault="00557A6F" w:rsidP="00557A6F">
            <w:r>
              <w:t>kap. 3554 post 01</w:t>
            </w:r>
          </w:p>
        </w:tc>
      </w:tr>
      <w:tr w:rsidR="00557A6F" w:rsidTr="00557A6F">
        <w:trPr>
          <w:trHeight w:val="380"/>
        </w:trPr>
        <w:tc>
          <w:tcPr>
            <w:tcW w:w="4600" w:type="dxa"/>
          </w:tcPr>
          <w:p w:rsidR="00557A6F" w:rsidRDefault="00557A6F" w:rsidP="00557A6F">
            <w:r>
              <w:t>kap. 563 post 01</w:t>
            </w:r>
          </w:p>
        </w:tc>
        <w:tc>
          <w:tcPr>
            <w:tcW w:w="4600" w:type="dxa"/>
          </w:tcPr>
          <w:p w:rsidR="00557A6F" w:rsidRDefault="00557A6F" w:rsidP="00557A6F">
            <w:r>
              <w:t>kap. 3563 post 03</w:t>
            </w:r>
          </w:p>
        </w:tc>
      </w:tr>
      <w:tr w:rsidR="00557A6F" w:rsidTr="00557A6F">
        <w:trPr>
          <w:trHeight w:val="380"/>
        </w:trPr>
        <w:tc>
          <w:tcPr>
            <w:tcW w:w="4600" w:type="dxa"/>
          </w:tcPr>
          <w:p w:rsidR="00557A6F" w:rsidRDefault="00557A6F" w:rsidP="00557A6F">
            <w:r>
              <w:t>kap. 563 post 21</w:t>
            </w:r>
          </w:p>
        </w:tc>
        <w:tc>
          <w:tcPr>
            <w:tcW w:w="4600" w:type="dxa"/>
          </w:tcPr>
          <w:p w:rsidR="00557A6F" w:rsidRDefault="00557A6F" w:rsidP="00557A6F">
            <w:r>
              <w:t>kap. 3563 post 02</w:t>
            </w:r>
          </w:p>
        </w:tc>
      </w:tr>
      <w:tr w:rsidR="00557A6F" w:rsidTr="00557A6F">
        <w:trPr>
          <w:trHeight w:val="380"/>
        </w:trPr>
        <w:tc>
          <w:tcPr>
            <w:tcW w:w="4600" w:type="dxa"/>
          </w:tcPr>
          <w:p w:rsidR="00557A6F" w:rsidRDefault="00557A6F" w:rsidP="00557A6F">
            <w:r>
              <w:t>kap. 585 post 01</w:t>
            </w:r>
          </w:p>
        </w:tc>
        <w:tc>
          <w:tcPr>
            <w:tcW w:w="4600" w:type="dxa"/>
          </w:tcPr>
          <w:p w:rsidR="00557A6F" w:rsidRDefault="00557A6F" w:rsidP="00557A6F">
            <w:r>
              <w:t>kap. 3585 post 01</w:t>
            </w:r>
          </w:p>
        </w:tc>
      </w:tr>
      <w:tr w:rsidR="00557A6F" w:rsidTr="00557A6F">
        <w:trPr>
          <w:trHeight w:val="380"/>
        </w:trPr>
        <w:tc>
          <w:tcPr>
            <w:tcW w:w="4600" w:type="dxa"/>
          </w:tcPr>
          <w:p w:rsidR="00557A6F" w:rsidRDefault="00557A6F" w:rsidP="00557A6F">
            <w:r>
              <w:t>kap. 587 post 01</w:t>
            </w:r>
          </w:p>
        </w:tc>
        <w:tc>
          <w:tcPr>
            <w:tcW w:w="4600" w:type="dxa"/>
          </w:tcPr>
          <w:p w:rsidR="00557A6F" w:rsidRDefault="00557A6F" w:rsidP="00557A6F">
            <w:r>
              <w:t>kap. 3587 post 04</w:t>
            </w:r>
          </w:p>
        </w:tc>
      </w:tr>
      <w:tr w:rsidR="00557A6F" w:rsidTr="00557A6F">
        <w:trPr>
          <w:trHeight w:val="380"/>
        </w:trPr>
        <w:tc>
          <w:tcPr>
            <w:tcW w:w="4600" w:type="dxa"/>
          </w:tcPr>
          <w:p w:rsidR="00557A6F" w:rsidRDefault="00557A6F" w:rsidP="00557A6F">
            <w:r>
              <w:t>kap. 595 post 01</w:t>
            </w:r>
          </w:p>
        </w:tc>
        <w:tc>
          <w:tcPr>
            <w:tcW w:w="4600" w:type="dxa"/>
          </w:tcPr>
          <w:p w:rsidR="00557A6F" w:rsidRDefault="00557A6F" w:rsidP="00557A6F">
            <w:r>
              <w:t>kap. 3595 postene 02 og 03</w:t>
            </w:r>
          </w:p>
        </w:tc>
      </w:tr>
      <w:tr w:rsidR="00557A6F" w:rsidTr="00557A6F">
        <w:trPr>
          <w:trHeight w:val="380"/>
        </w:trPr>
        <w:tc>
          <w:tcPr>
            <w:tcW w:w="4600" w:type="dxa"/>
          </w:tcPr>
          <w:p w:rsidR="00557A6F" w:rsidRDefault="00557A6F" w:rsidP="00557A6F">
            <w:r>
              <w:t>kap. 595 post 21</w:t>
            </w:r>
          </w:p>
        </w:tc>
        <w:tc>
          <w:tcPr>
            <w:tcW w:w="4600" w:type="dxa"/>
          </w:tcPr>
          <w:p w:rsidR="00557A6F" w:rsidRDefault="00557A6F" w:rsidP="00557A6F">
            <w:r>
              <w:t>kap. 3595 postene 02 og 03</w:t>
            </w:r>
          </w:p>
        </w:tc>
      </w:tr>
      <w:tr w:rsidR="00557A6F" w:rsidTr="00557A6F">
        <w:trPr>
          <w:trHeight w:val="380"/>
        </w:trPr>
        <w:tc>
          <w:tcPr>
            <w:tcW w:w="4600" w:type="dxa"/>
          </w:tcPr>
          <w:p w:rsidR="00557A6F" w:rsidRDefault="00557A6F" w:rsidP="00557A6F">
            <w:r>
              <w:t>kap. 595 post 45</w:t>
            </w:r>
          </w:p>
        </w:tc>
        <w:tc>
          <w:tcPr>
            <w:tcW w:w="4600" w:type="dxa"/>
          </w:tcPr>
          <w:p w:rsidR="00557A6F" w:rsidRDefault="00557A6F" w:rsidP="00557A6F">
            <w:r>
              <w:t>kap. 3595 post 04</w:t>
            </w:r>
          </w:p>
        </w:tc>
      </w:tr>
    </w:tbl>
    <w:p w:rsidR="00557A6F" w:rsidRDefault="00557A6F" w:rsidP="00557A6F">
      <w:pPr>
        <w:pStyle w:val="tabell-noter"/>
      </w:pPr>
      <w:r>
        <w:t xml:space="preserve">Merinntekt som gir grunnlag for overskridelse, skal også dekke merverdiavgift knyttet til overskridelsen, og berører derfor også kap. 1633, post 01 for de statlige forvaltningsorganene som inngår i nettoordningen for merverdiavgift. </w:t>
      </w:r>
    </w:p>
    <w:p w:rsidR="00557A6F" w:rsidRDefault="00557A6F" w:rsidP="00557A6F">
      <w:pPr>
        <w:pStyle w:val="tabell-noter"/>
      </w:pPr>
      <w:r>
        <w:t>Merinntekter og eventuelle mindreinntekter tas med i beregningen av overføring av ubrukt bevilgning til neste år.</w:t>
      </w:r>
    </w:p>
    <w:p w:rsidR="00557A6F" w:rsidRDefault="00557A6F" w:rsidP="00557A6F">
      <w:pPr>
        <w:pStyle w:val="a-vedtak-del"/>
      </w:pPr>
      <w:r>
        <w:lastRenderedPageBreak/>
        <w:t>III</w:t>
      </w:r>
    </w:p>
    <w:p w:rsidR="00557A6F" w:rsidRDefault="00557A6F" w:rsidP="00557A6F">
      <w:pPr>
        <w:pStyle w:val="a-vedtak-tekst"/>
      </w:pPr>
      <w:r>
        <w:t>Forskudd på rammetilskudd</w:t>
      </w:r>
    </w:p>
    <w:p w:rsidR="00557A6F" w:rsidRDefault="00557A6F" w:rsidP="00557A6F">
      <w:r>
        <w:t>Stortinget samtykker i at Kommunal- og moderniseringsdepartementet i 2020 kan utgiftsføre uten bevil</w:t>
      </w:r>
      <w:r>
        <w:t>g</w:t>
      </w:r>
      <w:r>
        <w:t>ning:</w:t>
      </w:r>
    </w:p>
    <w:p w:rsidR="00557A6F" w:rsidRDefault="00557A6F" w:rsidP="00A833AD">
      <w:pPr>
        <w:pStyle w:val="Nummerertliste"/>
        <w:numPr>
          <w:ilvl w:val="0"/>
          <w:numId w:val="22"/>
        </w:numPr>
      </w:pPr>
      <w:r>
        <w:t>inntil 350 mill. kroner på kap. 571 Rammetilskudd til kommuner, post 90 Forskudd på ramm</w:t>
      </w:r>
      <w:r>
        <w:t>e</w:t>
      </w:r>
      <w:r>
        <w:t>tilskudd som forskudd på rammetilskudd for 2021 til kommuner.</w:t>
      </w:r>
    </w:p>
    <w:p w:rsidR="00557A6F" w:rsidRDefault="00557A6F" w:rsidP="00557A6F">
      <w:pPr>
        <w:pStyle w:val="Nummerertliste"/>
      </w:pPr>
      <w:r>
        <w:t>inntil 150 mill. kroner på kap. 572 Rammetilskudd til fylkeskommuner, post 90 Forskudd på ramm</w:t>
      </w:r>
      <w:r>
        <w:t>e</w:t>
      </w:r>
      <w:r>
        <w:t>tilskudd som forskudd på rammetilskudd for 2021 til fylkeskommuner.</w:t>
      </w:r>
    </w:p>
    <w:p w:rsidR="00557A6F" w:rsidRDefault="00557A6F" w:rsidP="00557A6F">
      <w:pPr>
        <w:pStyle w:val="a-vedtak-del"/>
      </w:pPr>
      <w:r>
        <w:t>IV</w:t>
      </w:r>
    </w:p>
    <w:p w:rsidR="00557A6F" w:rsidRDefault="00557A6F" w:rsidP="00557A6F">
      <w:pPr>
        <w:pStyle w:val="a-vedtak-tekst"/>
      </w:pPr>
      <w:r>
        <w:t>Utsatt utgifts- og inntektsføring</w:t>
      </w:r>
    </w:p>
    <w:p w:rsidR="00557A6F" w:rsidRDefault="00557A6F" w:rsidP="00557A6F">
      <w:r>
        <w:t>Stortinget samtykker i at Kommunal- og moderniseringsdepartementet i 2020 kan gi Statens kar</w:t>
      </w:r>
      <w:r>
        <w:t>t</w:t>
      </w:r>
      <w:r>
        <w:t>verk fullmakt til å plassere innbetalinger fra samfinansierte prosjekter på mellomværendet med statskassen. Inntektene vil bli rapportert til statsregnskapet på det tidspunkt utgiftene i de samf</w:t>
      </w:r>
      <w:r>
        <w:t>i</w:t>
      </w:r>
      <w:r>
        <w:t>nansierte prosjektene kommer til utbetaling og rapporteres til statsregnskapet.</w:t>
      </w:r>
    </w:p>
    <w:p w:rsidR="00557A6F" w:rsidRDefault="00557A6F" w:rsidP="00557A6F">
      <w:pPr>
        <w:pStyle w:val="a-vedtak-del"/>
      </w:pPr>
      <w:r>
        <w:lastRenderedPageBreak/>
        <w:t>V</w:t>
      </w:r>
    </w:p>
    <w:p w:rsidR="00557A6F" w:rsidRDefault="00557A6F" w:rsidP="00557A6F">
      <w:pPr>
        <w:pStyle w:val="a-vedtak-tekst"/>
      </w:pPr>
      <w:r>
        <w:t>Samfinansiering</w:t>
      </w:r>
    </w:p>
    <w:p w:rsidR="00557A6F" w:rsidRDefault="00557A6F" w:rsidP="00557A6F">
      <w:r>
        <w:t>Stortinget samtykker i at Kommunal- og moderniseringsdepartementet i 2020 kan gi Statens kar</w:t>
      </w:r>
      <w:r>
        <w:t>t</w:t>
      </w:r>
      <w:r>
        <w:t>verk fullmakt til å sette i gang samfinansierte prosjekter før finansieringen i sin helhet er innbetalt til Statens kartverk, forutsatt at det er inngått en bindende avtale med betryggende sikkerhet om innbetaling mellom partene. Fullmakten begrenses oppad til 90 mill. kroner og gjelder utgifter ført på kap. 595 Statens kar</w:t>
      </w:r>
      <w:r>
        <w:t>t</w:t>
      </w:r>
      <w:r>
        <w:t>verk, post 21 Spesielle driftsutgifter mot inntekter ført på kap. 3595 Statens kartverk, post 03 Samfinansi</w:t>
      </w:r>
      <w:r>
        <w:t>e</w:t>
      </w:r>
      <w:r>
        <w:t>ring.</w:t>
      </w:r>
    </w:p>
    <w:p w:rsidR="00557A6F" w:rsidRDefault="00557A6F" w:rsidP="00557A6F">
      <w:pPr>
        <w:pStyle w:val="Fullmakttit"/>
      </w:pPr>
      <w:r>
        <w:t>Fullmakter til å pådra staten forpliktelser utover gitte bevilgninger</w:t>
      </w:r>
    </w:p>
    <w:p w:rsidR="00557A6F" w:rsidRDefault="00557A6F" w:rsidP="00557A6F">
      <w:pPr>
        <w:pStyle w:val="a-vedtak-del"/>
      </w:pPr>
      <w:r>
        <w:t>VI</w:t>
      </w:r>
    </w:p>
    <w:p w:rsidR="00557A6F" w:rsidRDefault="00557A6F" w:rsidP="00557A6F">
      <w:pPr>
        <w:pStyle w:val="a-vedtak-tekst"/>
      </w:pPr>
      <w:r>
        <w:t>Bestillingsfullmakter</w:t>
      </w:r>
    </w:p>
    <w:p w:rsidR="00557A6F" w:rsidRDefault="00557A6F" w:rsidP="00557A6F">
      <w:r>
        <w:t>Stortinget samtykker i at Kommunal- og moderniseringsdepartementet i 2020 kan:</w:t>
      </w:r>
    </w:p>
    <w:p w:rsidR="00557A6F" w:rsidRDefault="00557A6F" w:rsidP="00A833AD">
      <w:pPr>
        <w:pStyle w:val="Nummerertliste"/>
        <w:numPr>
          <w:ilvl w:val="0"/>
          <w:numId w:val="23"/>
        </w:numPr>
      </w:pPr>
      <w:r>
        <w:t>gi Statens kartverk fullmakt til å foreta bestillinger av kartgrunnlag utover gitt bevilgning under kap. 595 Statens kartverk, post 21 Spesielle driftsutgifter, men slik at rammen for nye besti</w:t>
      </w:r>
      <w:r>
        <w:t>l</w:t>
      </w:r>
      <w:r>
        <w:t>linger og gammelt ansvar ikke overstiger 120 mill. kroner.</w:t>
      </w:r>
    </w:p>
    <w:p w:rsidR="00557A6F" w:rsidRDefault="00557A6F" w:rsidP="00557A6F">
      <w:pPr>
        <w:pStyle w:val="Nummerertliste"/>
      </w:pPr>
      <w:proofErr w:type="gramStart"/>
      <w:r>
        <w:t>foreta bestillinger utover gitt bevilgning under kap. 540 Digitaliseringsdirektoratet, post 28 Altinn, men slik at ramme for nye bestillinger og gammelt ansvar ikke overskrider 50 mill. kroner.</w:t>
      </w:r>
      <w:proofErr w:type="gramEnd"/>
      <w:r>
        <w:t xml:space="preserve"> </w:t>
      </w:r>
    </w:p>
    <w:p w:rsidR="00557A6F" w:rsidRDefault="00557A6F" w:rsidP="00557A6F">
      <w:pPr>
        <w:pStyle w:val="a-vedtak-del"/>
      </w:pPr>
      <w:r>
        <w:t>VII</w:t>
      </w:r>
    </w:p>
    <w:p w:rsidR="00557A6F" w:rsidRDefault="00557A6F" w:rsidP="00557A6F">
      <w:pPr>
        <w:pStyle w:val="a-vedtak-tekst"/>
      </w:pPr>
      <w:r>
        <w:t>Tilsagnsfullmakter</w:t>
      </w:r>
    </w:p>
    <w:p w:rsidR="00557A6F" w:rsidRDefault="00557A6F" w:rsidP="00557A6F">
      <w:r>
        <w:t>Stortinget samtykker i at Kommunal- og moderniseringsdepartementet i 2020 kan gi tilsagn om tilskudd utover gitte bevilgninger, men slik at samlet ramme for nye tilsagn og gammelt ansvar ikke overstiger følgende beløp:</w:t>
      </w:r>
    </w:p>
    <w:p w:rsidR="00557A6F" w:rsidRDefault="00557A6F" w:rsidP="00557A6F">
      <w:pPr>
        <w:pStyle w:val="Tabellnavn"/>
      </w:pPr>
      <w:r>
        <w:t>04N1xt2</w:t>
      </w:r>
    </w:p>
    <w:tbl>
      <w:tblPr>
        <w:tblStyle w:val="StandardTabell"/>
        <w:tblW w:w="9100" w:type="dxa"/>
        <w:tblLayout w:type="fixed"/>
        <w:tblLook w:val="04A0" w:firstRow="1" w:lastRow="0" w:firstColumn="1" w:lastColumn="0" w:noHBand="0" w:noVBand="1"/>
      </w:tblPr>
      <w:tblGrid>
        <w:gridCol w:w="959"/>
        <w:gridCol w:w="850"/>
        <w:gridCol w:w="5387"/>
        <w:gridCol w:w="1904"/>
      </w:tblGrid>
      <w:tr w:rsidR="00557A6F" w:rsidTr="00AF5F55">
        <w:trPr>
          <w:trHeight w:val="360"/>
        </w:trPr>
        <w:tc>
          <w:tcPr>
            <w:tcW w:w="959" w:type="dxa"/>
            <w:shd w:val="clear" w:color="auto" w:fill="FFFFFF"/>
          </w:tcPr>
          <w:p w:rsidR="00557A6F" w:rsidRDefault="00557A6F" w:rsidP="00557A6F">
            <w:r>
              <w:t>Kap.</w:t>
            </w:r>
          </w:p>
        </w:tc>
        <w:tc>
          <w:tcPr>
            <w:tcW w:w="850" w:type="dxa"/>
          </w:tcPr>
          <w:p w:rsidR="00557A6F" w:rsidRDefault="00557A6F" w:rsidP="00AF5F55">
            <w:r>
              <w:t>Post</w:t>
            </w:r>
          </w:p>
        </w:tc>
        <w:tc>
          <w:tcPr>
            <w:tcW w:w="5387" w:type="dxa"/>
          </w:tcPr>
          <w:p w:rsidR="00557A6F" w:rsidRDefault="00557A6F" w:rsidP="00AF5F55">
            <w:r>
              <w:t>Betegnelse</w:t>
            </w:r>
          </w:p>
        </w:tc>
        <w:tc>
          <w:tcPr>
            <w:tcW w:w="1904" w:type="dxa"/>
          </w:tcPr>
          <w:p w:rsidR="00557A6F" w:rsidRDefault="00557A6F" w:rsidP="00557A6F">
            <w:pPr>
              <w:jc w:val="right"/>
            </w:pPr>
            <w:r>
              <w:t>Samlet ramme</w:t>
            </w:r>
          </w:p>
        </w:tc>
      </w:tr>
      <w:tr w:rsidR="00557A6F" w:rsidTr="00AF5F55">
        <w:trPr>
          <w:trHeight w:val="380"/>
        </w:trPr>
        <w:tc>
          <w:tcPr>
            <w:tcW w:w="959" w:type="dxa"/>
          </w:tcPr>
          <w:p w:rsidR="00557A6F" w:rsidRDefault="00557A6F" w:rsidP="00557A6F">
            <w:r>
              <w:t>540</w:t>
            </w:r>
          </w:p>
        </w:tc>
        <w:tc>
          <w:tcPr>
            <w:tcW w:w="850" w:type="dxa"/>
          </w:tcPr>
          <w:p w:rsidR="00557A6F" w:rsidRDefault="00557A6F" w:rsidP="00AF5F55"/>
        </w:tc>
        <w:tc>
          <w:tcPr>
            <w:tcW w:w="5387" w:type="dxa"/>
          </w:tcPr>
          <w:p w:rsidR="00557A6F" w:rsidRDefault="00557A6F" w:rsidP="00AF5F55">
            <w:r>
              <w:t>Digitaliseringsdire</w:t>
            </w:r>
            <w:r>
              <w:t>k</w:t>
            </w:r>
            <w:r>
              <w:t>toratet</w:t>
            </w:r>
          </w:p>
        </w:tc>
        <w:tc>
          <w:tcPr>
            <w:tcW w:w="1904" w:type="dxa"/>
          </w:tcPr>
          <w:p w:rsidR="00557A6F" w:rsidRDefault="00557A6F" w:rsidP="00557A6F">
            <w:pPr>
              <w:jc w:val="right"/>
            </w:pPr>
          </w:p>
        </w:tc>
      </w:tr>
      <w:tr w:rsidR="00557A6F" w:rsidTr="00AF5F55">
        <w:trPr>
          <w:trHeight w:val="380"/>
        </w:trPr>
        <w:tc>
          <w:tcPr>
            <w:tcW w:w="959" w:type="dxa"/>
          </w:tcPr>
          <w:p w:rsidR="00557A6F" w:rsidRDefault="00557A6F" w:rsidP="00557A6F"/>
        </w:tc>
        <w:tc>
          <w:tcPr>
            <w:tcW w:w="850" w:type="dxa"/>
          </w:tcPr>
          <w:p w:rsidR="00557A6F" w:rsidRDefault="00557A6F" w:rsidP="00AF5F55">
            <w:r>
              <w:t>25</w:t>
            </w:r>
          </w:p>
        </w:tc>
        <w:tc>
          <w:tcPr>
            <w:tcW w:w="5387" w:type="dxa"/>
          </w:tcPr>
          <w:p w:rsidR="00557A6F" w:rsidRDefault="00557A6F" w:rsidP="00AF5F55">
            <w:r>
              <w:t>Medfinansieringsordning for digitaliseringspr</w:t>
            </w:r>
            <w:r>
              <w:t>o</w:t>
            </w:r>
            <w:r>
              <w:t>sjekter</w:t>
            </w:r>
          </w:p>
        </w:tc>
        <w:tc>
          <w:tcPr>
            <w:tcW w:w="1904" w:type="dxa"/>
          </w:tcPr>
          <w:p w:rsidR="00557A6F" w:rsidRDefault="00557A6F" w:rsidP="00557A6F">
            <w:pPr>
              <w:jc w:val="right"/>
            </w:pPr>
            <w:r>
              <w:t>150,7 mill. kroner</w:t>
            </w:r>
          </w:p>
        </w:tc>
      </w:tr>
      <w:tr w:rsidR="00557A6F" w:rsidTr="00AF5F55">
        <w:trPr>
          <w:trHeight w:val="380"/>
        </w:trPr>
        <w:tc>
          <w:tcPr>
            <w:tcW w:w="959" w:type="dxa"/>
          </w:tcPr>
          <w:p w:rsidR="00557A6F" w:rsidRDefault="00557A6F" w:rsidP="00557A6F">
            <w:r>
              <w:t>567</w:t>
            </w:r>
          </w:p>
        </w:tc>
        <w:tc>
          <w:tcPr>
            <w:tcW w:w="850" w:type="dxa"/>
          </w:tcPr>
          <w:p w:rsidR="00557A6F" w:rsidRDefault="00557A6F" w:rsidP="00AF5F55"/>
        </w:tc>
        <w:tc>
          <w:tcPr>
            <w:tcW w:w="5387" w:type="dxa"/>
          </w:tcPr>
          <w:p w:rsidR="00557A6F" w:rsidRDefault="00557A6F" w:rsidP="00AF5F55">
            <w:r>
              <w:t>Nasjonale minoriteter</w:t>
            </w:r>
          </w:p>
        </w:tc>
        <w:tc>
          <w:tcPr>
            <w:tcW w:w="1904" w:type="dxa"/>
          </w:tcPr>
          <w:p w:rsidR="00557A6F" w:rsidRDefault="00557A6F" w:rsidP="00557A6F">
            <w:pPr>
              <w:jc w:val="right"/>
            </w:pPr>
          </w:p>
        </w:tc>
      </w:tr>
      <w:tr w:rsidR="00557A6F" w:rsidTr="00AF5F55">
        <w:trPr>
          <w:trHeight w:val="380"/>
        </w:trPr>
        <w:tc>
          <w:tcPr>
            <w:tcW w:w="959" w:type="dxa"/>
          </w:tcPr>
          <w:p w:rsidR="00557A6F" w:rsidRDefault="00557A6F" w:rsidP="00557A6F"/>
        </w:tc>
        <w:tc>
          <w:tcPr>
            <w:tcW w:w="850" w:type="dxa"/>
          </w:tcPr>
          <w:p w:rsidR="00557A6F" w:rsidRDefault="00557A6F" w:rsidP="00AF5F55">
            <w:r>
              <w:t>74</w:t>
            </w:r>
          </w:p>
        </w:tc>
        <w:tc>
          <w:tcPr>
            <w:tcW w:w="5387" w:type="dxa"/>
          </w:tcPr>
          <w:p w:rsidR="00557A6F" w:rsidRDefault="00557A6F" w:rsidP="00AF5F55">
            <w:r>
              <w:t>Kultur- og ressursse</w:t>
            </w:r>
            <w:r>
              <w:t>n</w:t>
            </w:r>
            <w:r>
              <w:t>ter for norske rom</w:t>
            </w:r>
          </w:p>
        </w:tc>
        <w:tc>
          <w:tcPr>
            <w:tcW w:w="1904" w:type="dxa"/>
          </w:tcPr>
          <w:p w:rsidR="00557A6F" w:rsidRDefault="00557A6F" w:rsidP="00557A6F">
            <w:pPr>
              <w:jc w:val="right"/>
            </w:pPr>
            <w:r>
              <w:t>4,1 mill. kroner</w:t>
            </w:r>
          </w:p>
        </w:tc>
      </w:tr>
      <w:tr w:rsidR="00557A6F" w:rsidTr="00AF5F55">
        <w:trPr>
          <w:trHeight w:val="400"/>
        </w:trPr>
        <w:tc>
          <w:tcPr>
            <w:tcW w:w="959" w:type="dxa"/>
          </w:tcPr>
          <w:p w:rsidR="00557A6F" w:rsidRDefault="00557A6F" w:rsidP="00557A6F">
            <w:r>
              <w:t>581</w:t>
            </w:r>
          </w:p>
        </w:tc>
        <w:tc>
          <w:tcPr>
            <w:tcW w:w="850" w:type="dxa"/>
          </w:tcPr>
          <w:p w:rsidR="00557A6F" w:rsidRDefault="00557A6F" w:rsidP="00AF5F55"/>
        </w:tc>
        <w:tc>
          <w:tcPr>
            <w:tcW w:w="5387" w:type="dxa"/>
          </w:tcPr>
          <w:p w:rsidR="00557A6F" w:rsidRDefault="00557A6F" w:rsidP="00AF5F55">
            <w:r>
              <w:t>Bolig- og bomiljøti</w:t>
            </w:r>
            <w:r>
              <w:t>l</w:t>
            </w:r>
            <w:r>
              <w:t>tak</w:t>
            </w:r>
          </w:p>
        </w:tc>
        <w:tc>
          <w:tcPr>
            <w:tcW w:w="1904" w:type="dxa"/>
          </w:tcPr>
          <w:p w:rsidR="00557A6F" w:rsidRDefault="00557A6F" w:rsidP="00557A6F">
            <w:pPr>
              <w:jc w:val="right"/>
            </w:pPr>
          </w:p>
        </w:tc>
      </w:tr>
      <w:tr w:rsidR="00557A6F" w:rsidTr="00AF5F55">
        <w:trPr>
          <w:trHeight w:val="380"/>
        </w:trPr>
        <w:tc>
          <w:tcPr>
            <w:tcW w:w="959" w:type="dxa"/>
          </w:tcPr>
          <w:p w:rsidR="00557A6F" w:rsidRDefault="00557A6F" w:rsidP="00557A6F"/>
        </w:tc>
        <w:tc>
          <w:tcPr>
            <w:tcW w:w="850" w:type="dxa"/>
          </w:tcPr>
          <w:p w:rsidR="00557A6F" w:rsidRDefault="00557A6F" w:rsidP="00AF5F55">
            <w:r>
              <w:t>76</w:t>
            </w:r>
          </w:p>
        </w:tc>
        <w:tc>
          <w:tcPr>
            <w:tcW w:w="5387" w:type="dxa"/>
          </w:tcPr>
          <w:p w:rsidR="00557A6F" w:rsidRDefault="00557A6F" w:rsidP="00AF5F55">
            <w:r>
              <w:t>Utleiebol</w:t>
            </w:r>
            <w:r>
              <w:t>i</w:t>
            </w:r>
            <w:r>
              <w:t>ger</w:t>
            </w:r>
          </w:p>
        </w:tc>
        <w:tc>
          <w:tcPr>
            <w:tcW w:w="1904" w:type="dxa"/>
          </w:tcPr>
          <w:p w:rsidR="00557A6F" w:rsidRDefault="00557A6F" w:rsidP="00557A6F">
            <w:pPr>
              <w:jc w:val="right"/>
            </w:pPr>
            <w:r>
              <w:t>384,8 mill. kroner</w:t>
            </w:r>
          </w:p>
        </w:tc>
      </w:tr>
      <w:tr w:rsidR="00557A6F" w:rsidTr="00AF5F55">
        <w:trPr>
          <w:trHeight w:val="380"/>
        </w:trPr>
        <w:tc>
          <w:tcPr>
            <w:tcW w:w="959" w:type="dxa"/>
          </w:tcPr>
          <w:p w:rsidR="00557A6F" w:rsidRDefault="00557A6F" w:rsidP="00557A6F"/>
        </w:tc>
        <w:tc>
          <w:tcPr>
            <w:tcW w:w="850" w:type="dxa"/>
          </w:tcPr>
          <w:p w:rsidR="00557A6F" w:rsidRDefault="00557A6F" w:rsidP="00AF5F55">
            <w:r>
              <w:t>79</w:t>
            </w:r>
          </w:p>
        </w:tc>
        <w:tc>
          <w:tcPr>
            <w:tcW w:w="5387" w:type="dxa"/>
          </w:tcPr>
          <w:p w:rsidR="00557A6F" w:rsidRDefault="00557A6F" w:rsidP="00AF5F55">
            <w:r>
              <w:t>Heis og tilstand</w:t>
            </w:r>
            <w:r>
              <w:t>s</w:t>
            </w:r>
            <w:r>
              <w:t>vurdering</w:t>
            </w:r>
          </w:p>
        </w:tc>
        <w:tc>
          <w:tcPr>
            <w:tcW w:w="1904" w:type="dxa"/>
          </w:tcPr>
          <w:p w:rsidR="00557A6F" w:rsidRDefault="00557A6F" w:rsidP="00557A6F">
            <w:pPr>
              <w:jc w:val="right"/>
            </w:pPr>
            <w:r>
              <w:t>45 mill. kroner</w:t>
            </w:r>
          </w:p>
        </w:tc>
      </w:tr>
      <w:tr w:rsidR="00557A6F" w:rsidTr="00AF5F55">
        <w:trPr>
          <w:trHeight w:val="380"/>
        </w:trPr>
        <w:tc>
          <w:tcPr>
            <w:tcW w:w="959" w:type="dxa"/>
          </w:tcPr>
          <w:p w:rsidR="00557A6F" w:rsidRDefault="00557A6F" w:rsidP="00557A6F">
            <w:r>
              <w:t>590</w:t>
            </w:r>
          </w:p>
        </w:tc>
        <w:tc>
          <w:tcPr>
            <w:tcW w:w="850" w:type="dxa"/>
          </w:tcPr>
          <w:p w:rsidR="00557A6F" w:rsidRDefault="00557A6F" w:rsidP="00AF5F55"/>
        </w:tc>
        <w:tc>
          <w:tcPr>
            <w:tcW w:w="5387" w:type="dxa"/>
          </w:tcPr>
          <w:p w:rsidR="00557A6F" w:rsidRDefault="00557A6F" w:rsidP="00AF5F55">
            <w:r>
              <w:t>Planlegging og byutvi</w:t>
            </w:r>
            <w:r>
              <w:t>k</w:t>
            </w:r>
            <w:r>
              <w:t>ling</w:t>
            </w:r>
          </w:p>
        </w:tc>
        <w:tc>
          <w:tcPr>
            <w:tcW w:w="1904" w:type="dxa"/>
          </w:tcPr>
          <w:p w:rsidR="00557A6F" w:rsidRDefault="00557A6F" w:rsidP="00557A6F">
            <w:pPr>
              <w:jc w:val="right"/>
            </w:pPr>
          </w:p>
        </w:tc>
      </w:tr>
      <w:tr w:rsidR="00557A6F" w:rsidTr="00AF5F55">
        <w:trPr>
          <w:trHeight w:val="380"/>
        </w:trPr>
        <w:tc>
          <w:tcPr>
            <w:tcW w:w="959" w:type="dxa"/>
          </w:tcPr>
          <w:p w:rsidR="00557A6F" w:rsidRDefault="00557A6F" w:rsidP="00557A6F"/>
        </w:tc>
        <w:tc>
          <w:tcPr>
            <w:tcW w:w="850" w:type="dxa"/>
          </w:tcPr>
          <w:p w:rsidR="00557A6F" w:rsidRDefault="00557A6F" w:rsidP="00AF5F55">
            <w:r>
              <w:t>72</w:t>
            </w:r>
          </w:p>
        </w:tc>
        <w:tc>
          <w:tcPr>
            <w:tcW w:w="5387" w:type="dxa"/>
          </w:tcPr>
          <w:p w:rsidR="00557A6F" w:rsidRDefault="00557A6F" w:rsidP="00AF5F55">
            <w:r>
              <w:t>Bolig- og områdeu</w:t>
            </w:r>
            <w:r>
              <w:t>t</w:t>
            </w:r>
            <w:r>
              <w:t>vikling i byer</w:t>
            </w:r>
          </w:p>
        </w:tc>
        <w:tc>
          <w:tcPr>
            <w:tcW w:w="1904" w:type="dxa"/>
          </w:tcPr>
          <w:p w:rsidR="00557A6F" w:rsidRDefault="00557A6F" w:rsidP="00557A6F">
            <w:pPr>
              <w:jc w:val="right"/>
            </w:pPr>
            <w:r>
              <w:t>22,3 mill. kroner</w:t>
            </w:r>
          </w:p>
        </w:tc>
      </w:tr>
    </w:tbl>
    <w:p w:rsidR="00557A6F" w:rsidRDefault="00557A6F" w:rsidP="00557A6F">
      <w:pPr>
        <w:pStyle w:val="Fullmakttit"/>
      </w:pPr>
      <w:r>
        <w:t>Andre fullmakter</w:t>
      </w:r>
    </w:p>
    <w:p w:rsidR="00557A6F" w:rsidRDefault="00557A6F" w:rsidP="00557A6F">
      <w:pPr>
        <w:pStyle w:val="a-vedtak-del"/>
      </w:pPr>
      <w:r>
        <w:t>VIII</w:t>
      </w:r>
    </w:p>
    <w:p w:rsidR="00557A6F" w:rsidRDefault="00557A6F" w:rsidP="00557A6F">
      <w:pPr>
        <w:pStyle w:val="a-vedtak-tekst"/>
      </w:pPr>
      <w:r>
        <w:t>Husbankens låneramme</w:t>
      </w:r>
    </w:p>
    <w:p w:rsidR="00557A6F" w:rsidRDefault="00557A6F" w:rsidP="00557A6F">
      <w:r>
        <w:t>Stortinget samtykker i at Husbanken i 2020 kan gi tilsagn om lån for 16 mrd. kroner. Lånene vil bli utb</w:t>
      </w:r>
      <w:r>
        <w:t>e</w:t>
      </w:r>
      <w:r>
        <w:t>talt i 2020 og senere år.</w:t>
      </w:r>
    </w:p>
    <w:p w:rsidR="00557A6F" w:rsidRDefault="00557A6F" w:rsidP="00557A6F">
      <w:pPr>
        <w:pStyle w:val="a-vedtak-del"/>
      </w:pPr>
      <w:r>
        <w:t>IX</w:t>
      </w:r>
    </w:p>
    <w:p w:rsidR="00557A6F" w:rsidRDefault="00557A6F" w:rsidP="00557A6F">
      <w:pPr>
        <w:pStyle w:val="a-vedtak-tekst"/>
      </w:pPr>
      <w:r>
        <w:t>Tilskudd uten krav om tilbakebetaling</w:t>
      </w:r>
    </w:p>
    <w:p w:rsidR="00557A6F" w:rsidRDefault="00557A6F" w:rsidP="00557A6F">
      <w:r>
        <w:t>Stortinget samtykker i at Kommunal- og moderniseringsdepartementet i 2020 kan:</w:t>
      </w:r>
    </w:p>
    <w:p w:rsidR="00557A6F" w:rsidRDefault="00557A6F" w:rsidP="00A833AD">
      <w:pPr>
        <w:pStyle w:val="Nummerertliste"/>
        <w:numPr>
          <w:ilvl w:val="0"/>
          <w:numId w:val="24"/>
        </w:numPr>
      </w:pPr>
      <w:proofErr w:type="gramStart"/>
      <w:r>
        <w:t>tildele midler til fylkeskommunene som tilskudd uten krav om tilbakebetaling under kap. 553 Regi</w:t>
      </w:r>
      <w:r>
        <w:t>o</w:t>
      </w:r>
      <w:r>
        <w:t>nal- og distriktsutvikling, post 61 Mobiliserende og kvalifiserende næringsutvikling, post 62 Komp</w:t>
      </w:r>
      <w:r>
        <w:t>e</w:t>
      </w:r>
      <w:r>
        <w:t>tansepiloter, post 63 Interreg og Arktis 2030 og post 65 Omstilling.</w:t>
      </w:r>
      <w:proofErr w:type="gramEnd"/>
    </w:p>
    <w:p w:rsidR="00557A6F" w:rsidRDefault="00557A6F" w:rsidP="00557A6F">
      <w:pPr>
        <w:pStyle w:val="Nummerertliste"/>
      </w:pPr>
      <w:r>
        <w:t>tildele midler til Innovasjon Norge og Forskningsrådet som tilskudd uten krav om tilbakebet</w:t>
      </w:r>
      <w:r>
        <w:t>a</w:t>
      </w:r>
      <w:r>
        <w:t>ling under kap. 553 Regional- og distriktsutvikling, post 74 Klynger og innovasjon.</w:t>
      </w:r>
    </w:p>
    <w:p w:rsidR="00557A6F" w:rsidRDefault="00557A6F" w:rsidP="00557A6F">
      <w:pPr>
        <w:pStyle w:val="a-vedtak-del"/>
      </w:pPr>
      <w:r>
        <w:t>X</w:t>
      </w:r>
    </w:p>
    <w:p w:rsidR="00557A6F" w:rsidRDefault="00557A6F" w:rsidP="00557A6F">
      <w:pPr>
        <w:pStyle w:val="a-vedtak-tekst"/>
      </w:pPr>
      <w:r>
        <w:t>Sikringsprosjekt på de kongelige eiendommer</w:t>
      </w:r>
    </w:p>
    <w:p w:rsidR="00557A6F" w:rsidRDefault="00557A6F" w:rsidP="00557A6F">
      <w:r>
        <w:t xml:space="preserve">Stortinget samtykker i at H.M. Kongen i 2020 kan pådra forpliktelser utover bevilgningen på kap. 1, post 51 for å gjennomføre sikringsprosjektet på de kongelige eiendommer. Kostnadsrammen er 606,9 mill. kroner i prisnivå per juli 2020. </w:t>
      </w:r>
    </w:p>
    <w:p w:rsidR="00557A6F" w:rsidRDefault="00557A6F" w:rsidP="00557A6F">
      <w:pPr>
        <w:pStyle w:val="a-vedtak-del"/>
      </w:pPr>
      <w:r>
        <w:t>XI</w:t>
      </w:r>
    </w:p>
    <w:p w:rsidR="00557A6F" w:rsidRDefault="00557A6F" w:rsidP="00557A6F">
      <w:pPr>
        <w:pStyle w:val="a-vedtak-tekst"/>
      </w:pPr>
      <w:r>
        <w:t>Nettobudsjettering</w:t>
      </w:r>
    </w:p>
    <w:p w:rsidR="00557A6F" w:rsidRDefault="00557A6F" w:rsidP="00557A6F">
      <w:r>
        <w:t>Stortinget samtykker i at Kommunal- og moderniseringsdepartementet i 2020 kan nettoføre som utgift</w:t>
      </w:r>
      <w:r>
        <w:t>s</w:t>
      </w:r>
      <w:r>
        <w:t xml:space="preserve">reduksjon under kap. 525 Fylkesmannsembetene, post 21 Spesielle driftsutgifter, refusjoner av utgifter til fellestjenester der Fylkesmannen samordner utgiftene. </w:t>
      </w:r>
    </w:p>
    <w:p w:rsidR="00557A6F" w:rsidRDefault="00557A6F" w:rsidP="00557A6F">
      <w:pPr>
        <w:pStyle w:val="a-vedtak-del"/>
      </w:pPr>
      <w:r>
        <w:t>XII</w:t>
      </w:r>
    </w:p>
    <w:p w:rsidR="00557A6F" w:rsidRDefault="00557A6F" w:rsidP="00557A6F">
      <w:pPr>
        <w:pStyle w:val="a-vedtak-tekst"/>
      </w:pPr>
      <w:r>
        <w:t>Overføring av udisponert beløp</w:t>
      </w:r>
    </w:p>
    <w:p w:rsidR="00557A6F" w:rsidRDefault="00557A6F" w:rsidP="00557A6F">
      <w:r>
        <w:t>Stortinget samtykker i at Kommunal- og moderniseringsdepartementet gis fullmakt til å overføre udisp</w:t>
      </w:r>
      <w:r>
        <w:t>o</w:t>
      </w:r>
      <w:r>
        <w:t>nert beløp på kap. 567 Nasjonale minoriteter, post 75 Romanifolket/taterne fra 2020 til 2021.</w:t>
      </w:r>
    </w:p>
    <w:p w:rsidR="00557A6F" w:rsidRDefault="00557A6F" w:rsidP="00557A6F">
      <w:pPr>
        <w:pStyle w:val="a-vedtak-del"/>
      </w:pPr>
      <w:r>
        <w:t>XIII</w:t>
      </w:r>
    </w:p>
    <w:p w:rsidR="00557A6F" w:rsidRDefault="00557A6F" w:rsidP="00557A6F">
      <w:pPr>
        <w:pStyle w:val="a-vedtak-tekst"/>
      </w:pPr>
      <w:r>
        <w:t>Fullmakt til postering mot mellomværendet med statskassen</w:t>
      </w:r>
    </w:p>
    <w:p w:rsidR="00557A6F" w:rsidRDefault="00557A6F" w:rsidP="00557A6F">
      <w:r>
        <w:t xml:space="preserve">Stortinget samtykker i at Kommunal- og moderniseringsdepartementet i 2020 kan: </w:t>
      </w:r>
    </w:p>
    <w:p w:rsidR="00557A6F" w:rsidRDefault="00557A6F" w:rsidP="00A833AD">
      <w:pPr>
        <w:pStyle w:val="Nummerertliste"/>
        <w:numPr>
          <w:ilvl w:val="0"/>
          <w:numId w:val="25"/>
        </w:numPr>
      </w:pPr>
      <w:r>
        <w:t>gi Husbanken fullmakt til å føre utbetalinger knyttet til utlegg i låne- og tilskuddsforvaltningen samt tilhørende refusjoner mot mellomværendet med statskassen.</w:t>
      </w:r>
    </w:p>
    <w:p w:rsidR="00557A6F" w:rsidRDefault="00557A6F" w:rsidP="00557A6F">
      <w:pPr>
        <w:pStyle w:val="Nummerertliste"/>
      </w:pPr>
      <w:r>
        <w:t>gi Nasjonal kommunikasjonsmyndighet fullmakt til å kompensere for tilfeldige inntektsvari</w:t>
      </w:r>
      <w:r>
        <w:t>a</w:t>
      </w:r>
      <w:r>
        <w:t>sjoner knyttet til gebyr- og avgiftsfinansiert virksomhet ved å overføre inntil 10 mill. kroner til eller fra reguleringsfondet, som inngår som del av virksomhetens mellomværende med stat</w:t>
      </w:r>
      <w:r>
        <w:t>s</w:t>
      </w:r>
      <w:r>
        <w:t>kassen.</w:t>
      </w:r>
    </w:p>
    <w:p w:rsidR="00557A6F" w:rsidRDefault="00557A6F" w:rsidP="00557A6F">
      <w:pPr>
        <w:pStyle w:val="Formaltit"/>
      </w:pPr>
      <w:r>
        <w:lastRenderedPageBreak/>
        <w:t>Bygge- og eiendomsfullmakter</w:t>
      </w:r>
    </w:p>
    <w:p w:rsidR="00557A6F" w:rsidRDefault="00557A6F" w:rsidP="00557A6F">
      <w:pPr>
        <w:pStyle w:val="Fullmakttit"/>
      </w:pPr>
      <w:r>
        <w:t>Fullmakter til å overskride gitte bevilgninger</w:t>
      </w:r>
    </w:p>
    <w:p w:rsidR="00557A6F" w:rsidRDefault="00557A6F" w:rsidP="00557A6F">
      <w:pPr>
        <w:pStyle w:val="a-vedtak-del"/>
      </w:pPr>
      <w:r>
        <w:t>XIV</w:t>
      </w:r>
    </w:p>
    <w:p w:rsidR="00557A6F" w:rsidRDefault="00557A6F" w:rsidP="00557A6F">
      <w:pPr>
        <w:pStyle w:val="a-vedtak-tekst"/>
      </w:pPr>
      <w:r>
        <w:t>Fullmakter til overskridelse</w:t>
      </w:r>
    </w:p>
    <w:p w:rsidR="00557A6F" w:rsidRDefault="00557A6F" w:rsidP="00557A6F">
      <w:r>
        <w:t>Stortinget samtykker i at Kommunal- og moderniseringsdepartementet i 2020 kan:</w:t>
      </w:r>
    </w:p>
    <w:p w:rsidR="00557A6F" w:rsidRDefault="00557A6F" w:rsidP="00A833AD">
      <w:pPr>
        <w:pStyle w:val="Nummerertliste"/>
        <w:numPr>
          <w:ilvl w:val="0"/>
          <w:numId w:val="26"/>
        </w:numPr>
      </w:pPr>
      <w:proofErr w:type="gramStart"/>
      <w:r>
        <w:t>overskride kap.</w:t>
      </w:r>
      <w:proofErr w:type="gramEnd"/>
      <w:r>
        <w:t xml:space="preserve"> 2445 Statsbygg, postene 30–49, med inntil 250 mill. kroner, mot dekning i regul</w:t>
      </w:r>
      <w:r>
        <w:t>e</w:t>
      </w:r>
      <w:r>
        <w:t>ringsfondet.</w:t>
      </w:r>
    </w:p>
    <w:p w:rsidR="00557A6F" w:rsidRDefault="00557A6F" w:rsidP="00557A6F">
      <w:pPr>
        <w:pStyle w:val="Nummerertliste"/>
      </w:pPr>
      <w:proofErr w:type="gramStart"/>
      <w:r>
        <w:t>overskride kap.</w:t>
      </w:r>
      <w:proofErr w:type="gramEnd"/>
      <w:r>
        <w:t xml:space="preserve"> 2445 Statsbygg, postene 30–49, med beløp som tilsvarer netto gevinst fra salg av eiendo</w:t>
      </w:r>
      <w:r>
        <w:t>m</w:t>
      </w:r>
      <w:r>
        <w:t>mer.</w:t>
      </w:r>
    </w:p>
    <w:p w:rsidR="00557A6F" w:rsidRDefault="00557A6F" w:rsidP="00557A6F">
      <w:pPr>
        <w:pStyle w:val="a-vedtak-del"/>
      </w:pPr>
      <w:r>
        <w:t>XV</w:t>
      </w:r>
    </w:p>
    <w:p w:rsidR="00557A6F" w:rsidRDefault="00557A6F" w:rsidP="00557A6F">
      <w:pPr>
        <w:pStyle w:val="a-vedtak-tekst"/>
      </w:pPr>
      <w:r>
        <w:t>Omdisponeringsfullmakter</w:t>
      </w:r>
    </w:p>
    <w:p w:rsidR="00557A6F" w:rsidRDefault="00557A6F" w:rsidP="00557A6F">
      <w:r>
        <w:t>Stortinget samtykker i at Kommunal- og moderniseringsdepartementet i 2020 kan omdisponere:</w:t>
      </w:r>
    </w:p>
    <w:p w:rsidR="00557A6F" w:rsidRDefault="00557A6F" w:rsidP="00A833AD">
      <w:pPr>
        <w:pStyle w:val="Nummerertliste"/>
        <w:numPr>
          <w:ilvl w:val="0"/>
          <w:numId w:val="27"/>
        </w:numPr>
      </w:pPr>
      <w:proofErr w:type="gramStart"/>
      <w:r>
        <w:t>under kap. 530 Byggeprosjekter utenfor husleieordningen, mellom postene 31 og 33 og me</w:t>
      </w:r>
      <w:r>
        <w:t>l</w:t>
      </w:r>
      <w:r>
        <w:t>lom postene 30 og 34.</w:t>
      </w:r>
      <w:proofErr w:type="gramEnd"/>
    </w:p>
    <w:p w:rsidR="00557A6F" w:rsidRDefault="00557A6F" w:rsidP="00557A6F">
      <w:pPr>
        <w:pStyle w:val="Nummerertliste"/>
      </w:pPr>
      <w:proofErr w:type="gramStart"/>
      <w:r>
        <w:t>under kap. 531 Eiendommer til kongelige formål, fra post 01 til 45.</w:t>
      </w:r>
      <w:proofErr w:type="gramEnd"/>
    </w:p>
    <w:p w:rsidR="00557A6F" w:rsidRDefault="00557A6F" w:rsidP="00557A6F">
      <w:pPr>
        <w:pStyle w:val="Nummerertliste"/>
      </w:pPr>
      <w:proofErr w:type="gramStart"/>
      <w:r>
        <w:t>under kap. 533 Eiendommer utenfor husleieordningen, fra post 01 til 45.</w:t>
      </w:r>
      <w:proofErr w:type="gramEnd"/>
    </w:p>
    <w:p w:rsidR="00557A6F" w:rsidRDefault="00557A6F" w:rsidP="00557A6F">
      <w:pPr>
        <w:pStyle w:val="Nummerertliste"/>
      </w:pPr>
      <w:proofErr w:type="gramStart"/>
      <w:r>
        <w:t>under kap.</w:t>
      </w:r>
      <w:proofErr w:type="gramEnd"/>
      <w:r>
        <w:t xml:space="preserve"> 2445 Statsbygg, mellom postene 30, 31, 33, 45 og 49. </w:t>
      </w:r>
    </w:p>
    <w:p w:rsidR="00557A6F" w:rsidRDefault="00557A6F" w:rsidP="00557A6F">
      <w:pPr>
        <w:pStyle w:val="Nummerertliste"/>
      </w:pPr>
      <w:proofErr w:type="gramStart"/>
      <w:r>
        <w:t>under kap.</w:t>
      </w:r>
      <w:proofErr w:type="gramEnd"/>
      <w:r>
        <w:t xml:space="preserve"> 2445 Statsbygg, mellom postene 32 og 34, samt post 49 i de tilfeller det er aktuelt å kjøpe en e</w:t>
      </w:r>
      <w:r>
        <w:t>i</w:t>
      </w:r>
      <w:r>
        <w:t>endom som ledd i gjennomføringen av brukerfinansierte byggeprosjekter.</w:t>
      </w:r>
    </w:p>
    <w:p w:rsidR="00557A6F" w:rsidRDefault="00557A6F" w:rsidP="00557A6F">
      <w:pPr>
        <w:pStyle w:val="Fullmakttit"/>
      </w:pPr>
      <w:r>
        <w:t>Fullmakter til å pådra staten forpliktelser utover gitte bevilgninger</w:t>
      </w:r>
    </w:p>
    <w:p w:rsidR="00557A6F" w:rsidRDefault="00557A6F" w:rsidP="00557A6F">
      <w:pPr>
        <w:pStyle w:val="a-vedtak-del"/>
      </w:pPr>
      <w:r>
        <w:t>XVI</w:t>
      </w:r>
    </w:p>
    <w:p w:rsidR="00557A6F" w:rsidRDefault="00557A6F" w:rsidP="00557A6F">
      <w:pPr>
        <w:pStyle w:val="a-vedtak-tekst"/>
      </w:pPr>
      <w:r>
        <w:t>Fullmakt til å pådra staten forpliktelser i investeringsprosjekter</w:t>
      </w:r>
    </w:p>
    <w:p w:rsidR="00557A6F" w:rsidRDefault="00557A6F" w:rsidP="00557A6F">
      <w:r>
        <w:t>Stortinget samtykker i at Kommunal- og moderniseringsdepartementet i 2020 kan pådra staten fo</w:t>
      </w:r>
      <w:r>
        <w:t>r</w:t>
      </w:r>
      <w:r>
        <w:t>pliktelser utover budsjettåret for å gjennomføre byggeprosjekter og andre investeringsprosjekter som er omtalt under kap. 530 Byggeprosjekter utenfor husleieordningen, kap. 531 Eiendommer til kongelige formål, kap. 532 Utvikling av Fornebuområdet, kap. 533 Eiendommer utenfor huslei</w:t>
      </w:r>
      <w:r>
        <w:t>e</w:t>
      </w:r>
      <w:r>
        <w:t>ordningen og kap. 2445 Statsbygg, innenfor de kostnadsrammene som er omtalt i Prop. 1 S (2019–2020) eller i tidligere propos</w:t>
      </w:r>
      <w:r>
        <w:t>i</w:t>
      </w:r>
      <w:r>
        <w:t>sjoner til Stortinget.</w:t>
      </w:r>
    </w:p>
    <w:p w:rsidR="00557A6F" w:rsidRDefault="00557A6F" w:rsidP="00557A6F">
      <w:pPr>
        <w:pStyle w:val="a-vedtak-del"/>
      </w:pPr>
      <w:r>
        <w:t>XVII</w:t>
      </w:r>
    </w:p>
    <w:p w:rsidR="00557A6F" w:rsidRDefault="00557A6F" w:rsidP="00557A6F">
      <w:pPr>
        <w:pStyle w:val="a-vedtak-tekst"/>
      </w:pPr>
      <w:r>
        <w:t>Fullmakter som gjelder brukerfinansierte byggeprosjekter</w:t>
      </w:r>
    </w:p>
    <w:p w:rsidR="00557A6F" w:rsidRDefault="00557A6F" w:rsidP="00557A6F">
      <w:r>
        <w:t xml:space="preserve">Stortinget samtykker i at Kommunal- og moderniseringsdepartementet i 2020 kan: </w:t>
      </w:r>
    </w:p>
    <w:p w:rsidR="00557A6F" w:rsidRDefault="00557A6F" w:rsidP="00A833AD">
      <w:pPr>
        <w:pStyle w:val="Nummerertliste"/>
        <w:numPr>
          <w:ilvl w:val="0"/>
          <w:numId w:val="28"/>
        </w:numPr>
      </w:pPr>
      <w:proofErr w:type="gramStart"/>
      <w:r>
        <w:t>sette i gang byggeprosjekter under kap.</w:t>
      </w:r>
      <w:proofErr w:type="gramEnd"/>
      <w:r>
        <w:t xml:space="preserve"> 2445 Statsbygg, post 32 Prosjektering og igangsetting av brukerfinansierte byggeprosjekter, uten at disse er omtalt med kostnadsramme overfor Sto</w:t>
      </w:r>
      <w:r>
        <w:t>r</w:t>
      </w:r>
      <w:r>
        <w:t>tinget, når leietakeren har de husleiemidlene det er behov for innenfor gjeldende budsjettra</w:t>
      </w:r>
      <w:r>
        <w:t>m</w:t>
      </w:r>
      <w:r>
        <w:t xml:space="preserve">mer. </w:t>
      </w:r>
    </w:p>
    <w:p w:rsidR="00557A6F" w:rsidRDefault="00557A6F" w:rsidP="00557A6F">
      <w:pPr>
        <w:pStyle w:val="Nummerertliste"/>
      </w:pPr>
      <w:r>
        <w:t>pådra staten forpliktelser utover budsjettåret, innenfor en samlet ramme på 1 500 mill. kroner for gamle og nye forpliktelser, ved gjennomføring av brukerfinansierte byggeprosjekter under kap. 2445 Statsbygg, post 32 Prosjektering og igangsetting av brukerfinansierte byggeprosje</w:t>
      </w:r>
      <w:r>
        <w:t>k</w:t>
      </w:r>
      <w:r>
        <w:t>ter og post 34 Videreføring av brukerfinans</w:t>
      </w:r>
      <w:r>
        <w:t>i</w:t>
      </w:r>
      <w:r>
        <w:t>erte byggeprosjekter.</w:t>
      </w:r>
    </w:p>
    <w:p w:rsidR="00557A6F" w:rsidRDefault="00557A6F" w:rsidP="00557A6F">
      <w:pPr>
        <w:pStyle w:val="Fullmakttit"/>
      </w:pPr>
      <w:r>
        <w:lastRenderedPageBreak/>
        <w:t>Andre fullmakter</w:t>
      </w:r>
    </w:p>
    <w:p w:rsidR="00557A6F" w:rsidRDefault="00557A6F" w:rsidP="00557A6F">
      <w:pPr>
        <w:pStyle w:val="a-vedtak-del"/>
      </w:pPr>
      <w:r>
        <w:t>XVIII</w:t>
      </w:r>
    </w:p>
    <w:p w:rsidR="00557A6F" w:rsidRDefault="00557A6F" w:rsidP="00557A6F">
      <w:pPr>
        <w:pStyle w:val="a-vedtak-tekst"/>
      </w:pPr>
      <w:r>
        <w:t>Diverse fullmakter</w:t>
      </w:r>
    </w:p>
    <w:p w:rsidR="00557A6F" w:rsidRDefault="00557A6F" w:rsidP="00557A6F">
      <w:r>
        <w:t>Stortinget samtykker i at Kommunal- og moderniseringsdepartementet i 2020 kan:</w:t>
      </w:r>
    </w:p>
    <w:p w:rsidR="00557A6F" w:rsidRDefault="00557A6F" w:rsidP="00A833AD">
      <w:pPr>
        <w:pStyle w:val="Nummerertliste"/>
        <w:numPr>
          <w:ilvl w:val="0"/>
          <w:numId w:val="29"/>
        </w:numPr>
      </w:pPr>
      <w:r>
        <w:t>godkjenne salg, makeskifte eller bortfeste av eiendom som forvaltes av Statsbygg eller av sta</w:t>
      </w:r>
      <w:r>
        <w:t>t</w:t>
      </w:r>
      <w:r>
        <w:t>lige virksomheter som ikke har egen salgsfullmakt, for inntil 750 mill. kroner.</w:t>
      </w:r>
    </w:p>
    <w:p w:rsidR="00557A6F" w:rsidRDefault="00557A6F" w:rsidP="00557A6F">
      <w:pPr>
        <w:pStyle w:val="Nummerertliste"/>
      </w:pPr>
      <w:r>
        <w:t>godkjenne kjøp av eiendom finansiert ved salgsinntekter, innsparte midler eller midler fra r</w:t>
      </w:r>
      <w:r>
        <w:t>e</w:t>
      </w:r>
      <w:r>
        <w:t xml:space="preserve">guleringsfondet for inntil 800 mill. kroner totalt, utover bevilgningen på kap. 2445 Statsbygg, post 49. </w:t>
      </w:r>
    </w:p>
    <w:p w:rsidR="00557A6F" w:rsidRDefault="00557A6F" w:rsidP="00557A6F">
      <w:pPr>
        <w:pStyle w:val="Nummerertliste"/>
      </w:pPr>
      <w:r>
        <w:t xml:space="preserve">korrigere Statsbyggs balanse i de tilfellene hvor prosjekterings- og investeringsmidler ført på kap. 2445 Statsbygg blir overført til andre budsjettkapitler eller prosjektene ikke blir realisert. </w:t>
      </w:r>
    </w:p>
    <w:p w:rsidR="00557A6F" w:rsidRDefault="00557A6F" w:rsidP="00557A6F">
      <w:pPr>
        <w:pStyle w:val="a-vedtak-del"/>
      </w:pPr>
      <w:r>
        <w:t>XIX</w:t>
      </w:r>
    </w:p>
    <w:p w:rsidR="00557A6F" w:rsidRDefault="00557A6F" w:rsidP="00557A6F">
      <w:pPr>
        <w:pStyle w:val="a-vedtak-tekst"/>
      </w:pPr>
      <w:r>
        <w:t>Fullmakt til postering mot mellomværendet med statskassen</w:t>
      </w:r>
    </w:p>
    <w:p w:rsidR="00557A6F" w:rsidRDefault="00557A6F" w:rsidP="00557A6F">
      <w:r>
        <w:t xml:space="preserve">Stortinget samtykker i at Kommunal- og moderniseringsdepartementet i 2020 kan gi Statsbygg fullmakt til </w:t>
      </w:r>
      <w:proofErr w:type="gramStart"/>
      <w:r>
        <w:t>å</w:t>
      </w:r>
      <w:proofErr w:type="gramEnd"/>
      <w:r>
        <w:t xml:space="preserve">: </w:t>
      </w:r>
    </w:p>
    <w:p w:rsidR="00557A6F" w:rsidRDefault="00557A6F" w:rsidP="00A833AD">
      <w:pPr>
        <w:pStyle w:val="Nummerertliste"/>
        <w:numPr>
          <w:ilvl w:val="0"/>
          <w:numId w:val="30"/>
        </w:numPr>
      </w:pPr>
      <w:proofErr w:type="gramStart"/>
      <w:r>
        <w:t>foreta posteringer til og fra reguleringsfondet som del av mellomværendet med statskassen.</w:t>
      </w:r>
      <w:proofErr w:type="gramEnd"/>
    </w:p>
    <w:p w:rsidR="00557A6F" w:rsidRDefault="00557A6F" w:rsidP="00557A6F">
      <w:pPr>
        <w:pStyle w:val="Nummerertliste"/>
      </w:pPr>
      <w:r>
        <w:t>føre inn- og utbetalinger knyttet til bruksavhengige driftskostnader og tilleggsavtaler mot me</w:t>
      </w:r>
      <w:r>
        <w:t>l</w:t>
      </w:r>
      <w:r>
        <w:t>lomværendet med statskassen.</w:t>
      </w:r>
    </w:p>
    <w:p w:rsidR="00557A6F" w:rsidRDefault="00557A6F" w:rsidP="00557A6F">
      <w:pPr>
        <w:pStyle w:val="Nummerertliste"/>
      </w:pPr>
      <w:proofErr w:type="gramStart"/>
      <w:r>
        <w:t>føre utlegg som skal viderefaktureres kunde og tilhørende innbetalinger mot mellomværendet med statska</w:t>
      </w:r>
      <w:r>
        <w:t>s</w:t>
      </w:r>
      <w:r>
        <w:t>sen.</w:t>
      </w:r>
      <w:proofErr w:type="gramEnd"/>
    </w:p>
    <w:p w:rsidR="00557A6F" w:rsidRDefault="00557A6F" w:rsidP="00557A6F">
      <w:pPr>
        <w:pStyle w:val="Nummerertliste"/>
      </w:pPr>
      <w:proofErr w:type="gramStart"/>
      <w:r>
        <w:t>føre innbetalinger knyttet til delfinansiering av investeringsprosjekter fra oppdragsgiver mot me</w:t>
      </w:r>
      <w:r>
        <w:t>l</w:t>
      </w:r>
      <w:r>
        <w:t>lomværendet med statskassen.</w:t>
      </w:r>
      <w:proofErr w:type="gramEnd"/>
      <w:r>
        <w:t xml:space="preserve"> Innbetalingene nettoføres på investeringspostene i takt med når investeringskostnadene p</w:t>
      </w:r>
      <w:r>
        <w:t>å</w:t>
      </w:r>
      <w:r>
        <w:t>løper.</w:t>
      </w:r>
    </w:p>
    <w:p w:rsidR="00557A6F" w:rsidRPr="00AF5F55" w:rsidRDefault="00AF5F55" w:rsidP="00A833AD">
      <w:pPr>
        <w:pStyle w:val="Overskrift1"/>
        <w:numPr>
          <w:ilvl w:val="0"/>
          <w:numId w:val="31"/>
        </w:numPr>
        <w:rPr>
          <w:color w:val="FF0000"/>
        </w:rPr>
      </w:pPr>
      <w:r w:rsidRPr="00AF5F55">
        <w:rPr>
          <w:color w:val="FF0000"/>
        </w:rPr>
        <w:t>[Vedleggsnummer reset]</w:t>
      </w:r>
    </w:p>
    <w:p w:rsidR="00557A6F" w:rsidRDefault="00557A6F" w:rsidP="00557A6F">
      <w:pPr>
        <w:pStyle w:val="vedlegg-nr"/>
      </w:pPr>
    </w:p>
    <w:p w:rsidR="00557A6F" w:rsidRDefault="00557A6F" w:rsidP="00557A6F">
      <w:pPr>
        <w:pStyle w:val="vedlegg-tit"/>
      </w:pPr>
      <w:r>
        <w:t xml:space="preserve">Bakgrunnsmateriale for budsjettforslaget på </w:t>
      </w:r>
      <w:r>
        <w:br/>
        <w:t>programkategori 13.50 Distrikts- og regionalpolitikk</w:t>
      </w:r>
    </w:p>
    <w:p w:rsidR="00557A6F" w:rsidRDefault="00557A6F" w:rsidP="00557A6F">
      <w:pPr>
        <w:pStyle w:val="Overskrift2"/>
      </w:pPr>
      <w:r>
        <w:t>Omtale av tiltak innenfor den brede distriktspolitikken</w:t>
      </w:r>
    </w:p>
    <w:p w:rsidR="00557A6F" w:rsidRDefault="00557A6F" w:rsidP="00557A6F">
      <w:r>
        <w:t>Omtalen skal vise statlig innsats og tiltak under andre departementers budsjetter som er viktige for å nå regional- og distriktspolitiske mål.</w:t>
      </w:r>
    </w:p>
    <w:p w:rsidR="00557A6F" w:rsidRDefault="00557A6F" w:rsidP="00557A6F">
      <w:r>
        <w:t>Mange landsdekkende ordninger er viktige for å nå de regional- og distriktspolitiske målene. Det gjelder eksempelvis veitiltak, høyere utdanning, forskning og utvikling, arbeidsmarkedstiltak og overføringer til kommunene. Disse er likevel ikke tatt med i oversikten, ettersom det er problem</w:t>
      </w:r>
      <w:r>
        <w:t>a</w:t>
      </w:r>
      <w:r>
        <w:t>tisk å skille ut regional- og distriktspolitiske deler fra helheten.</w:t>
      </w:r>
    </w:p>
    <w:p w:rsidR="00557A6F" w:rsidRDefault="00557A6F" w:rsidP="00557A6F">
      <w:r>
        <w:t>For 2020 foreslår regjeringen at det bevilges om lag 1,3 mrd. kroner over programkategori 13.50 Distrikts- og regionalpolitikk. Dette må ses i sammenheng med omfanget av den brede distriktsp</w:t>
      </w:r>
      <w:r>
        <w:t>o</w:t>
      </w:r>
      <w:r>
        <w:t>litikken, som for 2020 beløper seg til om lag 44,6 mrd. kroner. Dette er en økning på 2,1 pst. sa</w:t>
      </w:r>
      <w:r>
        <w:t>m</w:t>
      </w:r>
      <w:r>
        <w:t xml:space="preserve">menliknet med tilsvarende tiltak for 2019. </w:t>
      </w:r>
    </w:p>
    <w:p w:rsidR="00557A6F" w:rsidRDefault="00AF5F55" w:rsidP="00AF5F55">
      <w:pPr>
        <w:pStyle w:val="Figur"/>
      </w:pPr>
      <w:r>
        <w:t>[:figur:figv1-1.jpg]</w:t>
      </w:r>
    </w:p>
    <w:p w:rsidR="00557A6F" w:rsidRDefault="00557A6F" w:rsidP="00557A6F">
      <w:pPr>
        <w:pStyle w:val="figur-tittel"/>
        <w:rPr>
          <w:sz w:val="22"/>
        </w:rPr>
      </w:pPr>
      <w:r>
        <w:t>Utvikling i den brede distriktspolitikken 2003–2020</w:t>
      </w:r>
    </w:p>
    <w:p w:rsidR="00557A6F" w:rsidRDefault="00557A6F" w:rsidP="00557A6F">
      <w:r>
        <w:t>De omtalte tiltakene er delt i to kategorier:</w:t>
      </w:r>
    </w:p>
    <w:p w:rsidR="00557A6F" w:rsidRDefault="00557A6F" w:rsidP="00557A6F">
      <w:pPr>
        <w:pStyle w:val="Liste"/>
      </w:pPr>
      <w:r>
        <w:t>Kategori A: Tiltak og ordninger som har distriktspolitiske mål som begrunnelse, eller som favoriserer distriktsområder utover kompensasjon for å oppnå likeverdige tilbud.</w:t>
      </w:r>
    </w:p>
    <w:p w:rsidR="00557A6F" w:rsidRDefault="00557A6F" w:rsidP="00557A6F">
      <w:pPr>
        <w:pStyle w:val="Liste"/>
      </w:pPr>
      <w:r>
        <w:t>Kategori B: Tiltak og ordninger som skal utjevne og kompensere mellom geografiske o</w:t>
      </w:r>
      <w:r>
        <w:t>m</w:t>
      </w:r>
      <w:r>
        <w:t>råder eller som er særlig viktige for verdiskaping, sysselsetting eller bosetting i distrikt</w:t>
      </w:r>
      <w:r>
        <w:t>s</w:t>
      </w:r>
      <w:r>
        <w:t xml:space="preserve">områder. </w:t>
      </w:r>
    </w:p>
    <w:p w:rsidR="00557A6F" w:rsidRDefault="00557A6F" w:rsidP="00557A6F">
      <w:r>
        <w:t>Av målrettede distriktspolitiske tiltak (kategori A) utgjør økonomisk politikk om lag 90 pst. av innsatsen, totalt 22,9 mrd. kroner. Provenytapet av den differensierte arbeidsgiveravgiften er det største enkelttilt</w:t>
      </w:r>
      <w:r>
        <w:t>a</w:t>
      </w:r>
      <w:r>
        <w:t>ket med 16,9 mrd. kroner. Regjeringens forslag innebærer at den største veksten i 2020 vil komme i</w:t>
      </w:r>
      <w:r>
        <w:t>n</w:t>
      </w:r>
      <w:r>
        <w:t xml:space="preserve">nenfor økonomisk politikk, blant annet som følge av at tilskudd til sikring av fylkesveger innlemmes i inntektssystemet til fylkeskommunene. </w:t>
      </w:r>
    </w:p>
    <w:p w:rsidR="00557A6F" w:rsidRDefault="00557A6F" w:rsidP="00557A6F">
      <w:pPr>
        <w:pStyle w:val="Undertittel"/>
      </w:pPr>
      <w:r>
        <w:lastRenderedPageBreak/>
        <w:t>Økonomisk politikk</w:t>
      </w:r>
    </w:p>
    <w:p w:rsidR="00AF5F55" w:rsidRPr="00AF5F55" w:rsidRDefault="00AF5F55" w:rsidP="00AF5F55">
      <w:pPr>
        <w:pStyle w:val="tabell-tittel"/>
      </w:pPr>
      <w:r>
        <w:t>Økonomisk politikk</w:t>
      </w:r>
    </w:p>
    <w:p w:rsidR="00557A6F" w:rsidRDefault="00557A6F" w:rsidP="00557A6F">
      <w:pPr>
        <w:pStyle w:val="Tabellnavn"/>
      </w:pPr>
      <w:r>
        <w:t>07J2xt2</w:t>
      </w:r>
    </w:p>
    <w:tbl>
      <w:tblPr>
        <w:tblStyle w:val="StandardTabell"/>
        <w:tblW w:w="0" w:type="auto"/>
        <w:tblLayout w:type="fixed"/>
        <w:tblLook w:val="04A0" w:firstRow="1" w:lastRow="0" w:firstColumn="1" w:lastColumn="0" w:noHBand="0" w:noVBand="1"/>
      </w:tblPr>
      <w:tblGrid>
        <w:gridCol w:w="3420"/>
        <w:gridCol w:w="820"/>
        <w:gridCol w:w="540"/>
        <w:gridCol w:w="1140"/>
        <w:gridCol w:w="1200"/>
        <w:gridCol w:w="1200"/>
        <w:gridCol w:w="1200"/>
      </w:tblGrid>
      <w:tr w:rsidR="00557A6F" w:rsidTr="00AF5F55">
        <w:trPr>
          <w:trHeight w:val="360"/>
        </w:trPr>
        <w:tc>
          <w:tcPr>
            <w:tcW w:w="9520" w:type="dxa"/>
            <w:gridSpan w:val="7"/>
            <w:shd w:val="clear" w:color="auto" w:fill="FFFFFF"/>
          </w:tcPr>
          <w:p w:rsidR="00557A6F" w:rsidRDefault="00557A6F" w:rsidP="00AF5F55">
            <w:pPr>
              <w:jc w:val="right"/>
            </w:pPr>
            <w:r>
              <w:t>(i 1 000 kr)</w:t>
            </w:r>
          </w:p>
        </w:tc>
      </w:tr>
      <w:tr w:rsidR="00557A6F" w:rsidTr="00AF5F55">
        <w:trPr>
          <w:trHeight w:val="600"/>
        </w:trPr>
        <w:tc>
          <w:tcPr>
            <w:tcW w:w="3420" w:type="dxa"/>
          </w:tcPr>
          <w:p w:rsidR="00557A6F" w:rsidRDefault="00557A6F" w:rsidP="00557A6F">
            <w:r>
              <w:t>Tiltak/ordning</w:t>
            </w:r>
          </w:p>
        </w:tc>
        <w:tc>
          <w:tcPr>
            <w:tcW w:w="820" w:type="dxa"/>
          </w:tcPr>
          <w:p w:rsidR="00557A6F" w:rsidRDefault="00557A6F" w:rsidP="00AF5F55">
            <w:pPr>
              <w:jc w:val="right"/>
            </w:pPr>
            <w:r>
              <w:t>Dep.</w:t>
            </w:r>
          </w:p>
        </w:tc>
        <w:tc>
          <w:tcPr>
            <w:tcW w:w="540" w:type="dxa"/>
          </w:tcPr>
          <w:p w:rsidR="00557A6F" w:rsidRDefault="00557A6F" w:rsidP="00AF5F55">
            <w:pPr>
              <w:jc w:val="right"/>
            </w:pPr>
            <w:r>
              <w:t>Kat</w:t>
            </w:r>
          </w:p>
        </w:tc>
        <w:tc>
          <w:tcPr>
            <w:tcW w:w="1140" w:type="dxa"/>
          </w:tcPr>
          <w:p w:rsidR="00557A6F" w:rsidRDefault="00557A6F" w:rsidP="00AF5F55">
            <w:pPr>
              <w:jc w:val="right"/>
            </w:pPr>
            <w:r>
              <w:t>Kap./post</w:t>
            </w:r>
          </w:p>
        </w:tc>
        <w:tc>
          <w:tcPr>
            <w:tcW w:w="1200" w:type="dxa"/>
          </w:tcPr>
          <w:p w:rsidR="00557A6F" w:rsidRDefault="00557A6F" w:rsidP="00AF5F55">
            <w:pPr>
              <w:jc w:val="right"/>
            </w:pPr>
            <w:r>
              <w:t>Regnskap 2018</w:t>
            </w:r>
          </w:p>
        </w:tc>
        <w:tc>
          <w:tcPr>
            <w:tcW w:w="1200" w:type="dxa"/>
          </w:tcPr>
          <w:p w:rsidR="00557A6F" w:rsidRDefault="00557A6F" w:rsidP="00AF5F55">
            <w:pPr>
              <w:jc w:val="right"/>
            </w:pPr>
            <w:r>
              <w:t xml:space="preserve">Budsjett </w:t>
            </w:r>
            <w:r>
              <w:br/>
              <w:t>2019</w:t>
            </w:r>
          </w:p>
        </w:tc>
        <w:tc>
          <w:tcPr>
            <w:tcW w:w="1200" w:type="dxa"/>
          </w:tcPr>
          <w:p w:rsidR="00557A6F" w:rsidRDefault="00557A6F" w:rsidP="00AF5F55">
            <w:pPr>
              <w:jc w:val="right"/>
            </w:pPr>
            <w:r>
              <w:t xml:space="preserve">Forslag </w:t>
            </w:r>
            <w:r>
              <w:br/>
              <w:t>2020</w:t>
            </w:r>
          </w:p>
        </w:tc>
      </w:tr>
      <w:tr w:rsidR="00557A6F" w:rsidTr="00AF5F55">
        <w:trPr>
          <w:trHeight w:val="640"/>
        </w:trPr>
        <w:tc>
          <w:tcPr>
            <w:tcW w:w="3420" w:type="dxa"/>
          </w:tcPr>
          <w:p w:rsidR="00557A6F" w:rsidRDefault="00557A6F" w:rsidP="00557A6F">
            <w:r>
              <w:t xml:space="preserve">Differensiert arbeidsgiveravgift </w:t>
            </w:r>
            <w:r>
              <w:br/>
              <w:t xml:space="preserve">i privat sektor </w:t>
            </w:r>
          </w:p>
        </w:tc>
        <w:tc>
          <w:tcPr>
            <w:tcW w:w="820" w:type="dxa"/>
          </w:tcPr>
          <w:p w:rsidR="00557A6F" w:rsidRDefault="00557A6F" w:rsidP="00AF5F55">
            <w:pPr>
              <w:jc w:val="right"/>
            </w:pPr>
            <w:r>
              <w:t>FIN</w:t>
            </w:r>
          </w:p>
        </w:tc>
        <w:tc>
          <w:tcPr>
            <w:tcW w:w="540" w:type="dxa"/>
          </w:tcPr>
          <w:p w:rsidR="00557A6F" w:rsidRDefault="00557A6F" w:rsidP="00AF5F55">
            <w:pPr>
              <w:jc w:val="right"/>
            </w:pPr>
            <w:r>
              <w:t>A</w:t>
            </w:r>
          </w:p>
        </w:tc>
        <w:tc>
          <w:tcPr>
            <w:tcW w:w="1140" w:type="dxa"/>
          </w:tcPr>
          <w:p w:rsidR="00557A6F" w:rsidRDefault="00557A6F" w:rsidP="00AF5F55">
            <w:pPr>
              <w:jc w:val="right"/>
            </w:pPr>
            <w:r>
              <w:t>inntekt</w:t>
            </w:r>
            <w:r>
              <w:t>s</w:t>
            </w:r>
            <w:r>
              <w:t>tap</w:t>
            </w:r>
          </w:p>
        </w:tc>
        <w:tc>
          <w:tcPr>
            <w:tcW w:w="1200" w:type="dxa"/>
          </w:tcPr>
          <w:p w:rsidR="00557A6F" w:rsidRDefault="00557A6F" w:rsidP="00AF5F55">
            <w:pPr>
              <w:jc w:val="right"/>
            </w:pPr>
            <w:r>
              <w:t>9 300 000</w:t>
            </w:r>
          </w:p>
        </w:tc>
        <w:tc>
          <w:tcPr>
            <w:tcW w:w="1200" w:type="dxa"/>
          </w:tcPr>
          <w:p w:rsidR="00557A6F" w:rsidRDefault="00557A6F" w:rsidP="00AF5F55">
            <w:pPr>
              <w:jc w:val="right"/>
            </w:pPr>
            <w:r>
              <w:t>9 800 000</w:t>
            </w:r>
          </w:p>
        </w:tc>
        <w:tc>
          <w:tcPr>
            <w:tcW w:w="1200" w:type="dxa"/>
          </w:tcPr>
          <w:p w:rsidR="00557A6F" w:rsidRDefault="00557A6F" w:rsidP="00AF5F55">
            <w:pPr>
              <w:jc w:val="right"/>
            </w:pPr>
            <w:r>
              <w:t>10 300 000</w:t>
            </w:r>
          </w:p>
        </w:tc>
      </w:tr>
      <w:tr w:rsidR="00557A6F" w:rsidTr="00AF5F55">
        <w:trPr>
          <w:trHeight w:val="640"/>
        </w:trPr>
        <w:tc>
          <w:tcPr>
            <w:tcW w:w="3420" w:type="dxa"/>
          </w:tcPr>
          <w:p w:rsidR="00557A6F" w:rsidRDefault="00557A6F" w:rsidP="00557A6F">
            <w:r>
              <w:t xml:space="preserve">Differensiert arbeidsgiveravgift </w:t>
            </w:r>
            <w:r>
              <w:br/>
              <w:t>i offentlig sektor</w:t>
            </w:r>
          </w:p>
        </w:tc>
        <w:tc>
          <w:tcPr>
            <w:tcW w:w="820" w:type="dxa"/>
          </w:tcPr>
          <w:p w:rsidR="00557A6F" w:rsidRDefault="00557A6F" w:rsidP="00AF5F55">
            <w:pPr>
              <w:jc w:val="right"/>
            </w:pPr>
            <w:r>
              <w:t>FIN</w:t>
            </w:r>
          </w:p>
        </w:tc>
        <w:tc>
          <w:tcPr>
            <w:tcW w:w="540" w:type="dxa"/>
          </w:tcPr>
          <w:p w:rsidR="00557A6F" w:rsidRDefault="00557A6F" w:rsidP="00AF5F55">
            <w:pPr>
              <w:jc w:val="right"/>
            </w:pPr>
            <w:r>
              <w:t>A</w:t>
            </w:r>
          </w:p>
        </w:tc>
        <w:tc>
          <w:tcPr>
            <w:tcW w:w="1140" w:type="dxa"/>
          </w:tcPr>
          <w:p w:rsidR="00557A6F" w:rsidRDefault="00557A6F" w:rsidP="00AF5F55">
            <w:pPr>
              <w:jc w:val="right"/>
            </w:pPr>
            <w:r>
              <w:t>inntekt</w:t>
            </w:r>
            <w:r>
              <w:t>s</w:t>
            </w:r>
            <w:r>
              <w:t>tap</w:t>
            </w:r>
          </w:p>
        </w:tc>
        <w:tc>
          <w:tcPr>
            <w:tcW w:w="1200" w:type="dxa"/>
          </w:tcPr>
          <w:p w:rsidR="00557A6F" w:rsidRDefault="00557A6F" w:rsidP="00AF5F55">
            <w:pPr>
              <w:jc w:val="right"/>
            </w:pPr>
            <w:r>
              <w:t>6 000 000</w:t>
            </w:r>
          </w:p>
        </w:tc>
        <w:tc>
          <w:tcPr>
            <w:tcW w:w="1200" w:type="dxa"/>
          </w:tcPr>
          <w:p w:rsidR="00557A6F" w:rsidRDefault="00557A6F" w:rsidP="00AF5F55">
            <w:pPr>
              <w:jc w:val="right"/>
            </w:pPr>
            <w:r>
              <w:t>6 300 000</w:t>
            </w:r>
          </w:p>
        </w:tc>
        <w:tc>
          <w:tcPr>
            <w:tcW w:w="1200" w:type="dxa"/>
          </w:tcPr>
          <w:p w:rsidR="00557A6F" w:rsidRDefault="00557A6F" w:rsidP="00AF5F55">
            <w:pPr>
              <w:jc w:val="right"/>
            </w:pPr>
            <w:r>
              <w:t>6 600 000</w:t>
            </w:r>
          </w:p>
        </w:tc>
      </w:tr>
      <w:tr w:rsidR="00557A6F" w:rsidTr="00AF5F55">
        <w:trPr>
          <w:trHeight w:val="640"/>
        </w:trPr>
        <w:tc>
          <w:tcPr>
            <w:tcW w:w="3420" w:type="dxa"/>
          </w:tcPr>
          <w:p w:rsidR="00557A6F" w:rsidRDefault="00557A6F" w:rsidP="00557A6F">
            <w:r>
              <w:t>Innbyggertilskudd til fylkesko</w:t>
            </w:r>
            <w:r>
              <w:t>m</w:t>
            </w:r>
            <w:r>
              <w:t>munene</w:t>
            </w:r>
            <w:r>
              <w:rPr>
                <w:rStyle w:val="skrift-hevet"/>
                <w:sz w:val="21"/>
                <w:szCs w:val="21"/>
              </w:rPr>
              <w:t>1</w:t>
            </w:r>
          </w:p>
        </w:tc>
        <w:tc>
          <w:tcPr>
            <w:tcW w:w="820" w:type="dxa"/>
          </w:tcPr>
          <w:p w:rsidR="00557A6F" w:rsidRDefault="00557A6F" w:rsidP="00AF5F55">
            <w:pPr>
              <w:jc w:val="right"/>
            </w:pPr>
            <w:r>
              <w:t>KMD</w:t>
            </w:r>
          </w:p>
        </w:tc>
        <w:tc>
          <w:tcPr>
            <w:tcW w:w="540" w:type="dxa"/>
          </w:tcPr>
          <w:p w:rsidR="00557A6F" w:rsidRDefault="00557A6F" w:rsidP="00AF5F55">
            <w:pPr>
              <w:jc w:val="right"/>
            </w:pPr>
            <w:r>
              <w:t>B</w:t>
            </w:r>
          </w:p>
        </w:tc>
        <w:tc>
          <w:tcPr>
            <w:tcW w:w="1140" w:type="dxa"/>
          </w:tcPr>
          <w:p w:rsidR="00557A6F" w:rsidRDefault="00557A6F" w:rsidP="00AF5F55">
            <w:pPr>
              <w:jc w:val="right"/>
            </w:pPr>
            <w:r>
              <w:t>572/60</w:t>
            </w:r>
          </w:p>
        </w:tc>
        <w:tc>
          <w:tcPr>
            <w:tcW w:w="1200" w:type="dxa"/>
          </w:tcPr>
          <w:p w:rsidR="00557A6F" w:rsidRDefault="00557A6F" w:rsidP="00AF5F55">
            <w:pPr>
              <w:jc w:val="right"/>
            </w:pPr>
            <w:r>
              <w:t>0</w:t>
            </w:r>
          </w:p>
        </w:tc>
        <w:tc>
          <w:tcPr>
            <w:tcW w:w="1200" w:type="dxa"/>
          </w:tcPr>
          <w:p w:rsidR="00557A6F" w:rsidRDefault="00557A6F" w:rsidP="00AF5F55">
            <w:pPr>
              <w:jc w:val="right"/>
            </w:pPr>
            <w:r>
              <w:t>0</w:t>
            </w:r>
          </w:p>
        </w:tc>
        <w:tc>
          <w:tcPr>
            <w:tcW w:w="1200" w:type="dxa"/>
          </w:tcPr>
          <w:p w:rsidR="00557A6F" w:rsidRDefault="00557A6F" w:rsidP="00AF5F55">
            <w:pPr>
              <w:jc w:val="right"/>
            </w:pPr>
            <w:r>
              <w:t>796 323</w:t>
            </w:r>
          </w:p>
        </w:tc>
      </w:tr>
    </w:tbl>
    <w:p w:rsidR="00557A6F" w:rsidRDefault="00557A6F" w:rsidP="00557A6F">
      <w:pPr>
        <w:pStyle w:val="tabell-noter"/>
        <w:rPr>
          <w:rFonts w:ascii="UniMyriad Regular" w:hAnsi="UniMyriad Regular" w:cs="UniMyriad Regular"/>
          <w:sz w:val="21"/>
          <w:szCs w:val="21"/>
        </w:rPr>
      </w:pPr>
      <w:r>
        <w:rPr>
          <w:rStyle w:val="skrift-hevet"/>
          <w:sz w:val="17"/>
          <w:szCs w:val="17"/>
        </w:rPr>
        <w:t>1</w:t>
      </w:r>
      <w:r>
        <w:rPr>
          <w:rStyle w:val="skrift-hevet"/>
          <w:sz w:val="17"/>
          <w:szCs w:val="17"/>
        </w:rPr>
        <w:tab/>
      </w:r>
      <w:r>
        <w:t>Skredsikring fylkesveier</w:t>
      </w:r>
      <w:proofErr w:type="gramStart"/>
      <w:r>
        <w:t xml:space="preserve"> (kap.</w:t>
      </w:r>
      <w:proofErr w:type="gramEnd"/>
      <w:r>
        <w:t xml:space="preserve"> 1320, post 62) innlemmes i inntektssystemet til fylkeskommunene fra 2020 med særskilt fordeling.</w:t>
      </w:r>
    </w:p>
    <w:p w:rsidR="00557A6F" w:rsidRDefault="00557A6F" w:rsidP="00557A6F">
      <w:pPr>
        <w:pStyle w:val="Undertittel"/>
      </w:pPr>
      <w:r>
        <w:t>Næringspolitikk</w:t>
      </w:r>
    </w:p>
    <w:p w:rsidR="00557A6F" w:rsidRDefault="00557A6F" w:rsidP="00557A6F">
      <w:r>
        <w:t>Størstedelen av tabell 1.2 viser tilskuddsordninger til landbruket. Viktige tiltak rettet mot fisker</w:t>
      </w:r>
      <w:r>
        <w:t>i</w:t>
      </w:r>
      <w:r>
        <w:t>næringen er også tatt med.</w:t>
      </w:r>
    </w:p>
    <w:p w:rsidR="00557A6F" w:rsidRDefault="00557A6F" w:rsidP="00557A6F">
      <w:r>
        <w:t>Landbruk er tradisjonelt en av de viktigste næringene i distriktene. I de årlige jordbruksoppgjørene blir det fo</w:t>
      </w:r>
      <w:r>
        <w:t>r</w:t>
      </w:r>
      <w:r>
        <w:t>handlet om størrelsen på tilskuddene til landbruket. En del tilskudd innenfor landbruket har distriktspolitisk b</w:t>
      </w:r>
      <w:r>
        <w:t>e</w:t>
      </w:r>
      <w:r>
        <w:t>grunnelse, for eksempel pristilskuddene for melk og kjøtt og distriktstilskudd for frukt, bær, grønnsaker og pot</w:t>
      </w:r>
      <w:r>
        <w:t>e</w:t>
      </w:r>
      <w:r>
        <w:t>ter. Disse tilskuddene går derfor inn under kategori A.</w:t>
      </w:r>
    </w:p>
    <w:p w:rsidR="00AF5F55" w:rsidRDefault="00AF5F55" w:rsidP="004769CB">
      <w:pPr>
        <w:pStyle w:val="tabell-tittel"/>
      </w:pPr>
      <w:r>
        <w:t>Næringspolitikk</w:t>
      </w:r>
    </w:p>
    <w:p w:rsidR="00557A6F" w:rsidRDefault="00557A6F" w:rsidP="00557A6F">
      <w:pPr>
        <w:pStyle w:val="Tabellnavn"/>
      </w:pPr>
      <w:r>
        <w:t>07J2xt2</w:t>
      </w:r>
    </w:p>
    <w:tbl>
      <w:tblPr>
        <w:tblStyle w:val="StandardTabell"/>
        <w:tblW w:w="0" w:type="auto"/>
        <w:tblLayout w:type="fixed"/>
        <w:tblLook w:val="04A0" w:firstRow="1" w:lastRow="0" w:firstColumn="1" w:lastColumn="0" w:noHBand="0" w:noVBand="1"/>
      </w:tblPr>
      <w:tblGrid>
        <w:gridCol w:w="3620"/>
        <w:gridCol w:w="620"/>
        <w:gridCol w:w="760"/>
        <w:gridCol w:w="1100"/>
        <w:gridCol w:w="1140"/>
        <w:gridCol w:w="1140"/>
        <w:gridCol w:w="1140"/>
      </w:tblGrid>
      <w:tr w:rsidR="00557A6F" w:rsidTr="00557A6F">
        <w:trPr>
          <w:trHeight w:val="360"/>
        </w:trPr>
        <w:tc>
          <w:tcPr>
            <w:tcW w:w="9520" w:type="dxa"/>
            <w:gridSpan w:val="7"/>
          </w:tcPr>
          <w:p w:rsidR="00557A6F" w:rsidRDefault="00557A6F" w:rsidP="004769CB">
            <w:pPr>
              <w:jc w:val="right"/>
            </w:pPr>
            <w:r>
              <w:t>(i 1 000 kr)</w:t>
            </w:r>
          </w:p>
        </w:tc>
      </w:tr>
      <w:tr w:rsidR="00557A6F" w:rsidTr="00557A6F">
        <w:trPr>
          <w:trHeight w:val="600"/>
        </w:trPr>
        <w:tc>
          <w:tcPr>
            <w:tcW w:w="3620" w:type="dxa"/>
          </w:tcPr>
          <w:p w:rsidR="00557A6F" w:rsidRDefault="00557A6F" w:rsidP="00557A6F">
            <w:r>
              <w:t>Tiltak/ordning</w:t>
            </w:r>
          </w:p>
        </w:tc>
        <w:tc>
          <w:tcPr>
            <w:tcW w:w="620" w:type="dxa"/>
          </w:tcPr>
          <w:p w:rsidR="00557A6F" w:rsidRDefault="00557A6F" w:rsidP="00AF5F55">
            <w:pPr>
              <w:jc w:val="right"/>
            </w:pPr>
            <w:r>
              <w:t>Dep.</w:t>
            </w:r>
          </w:p>
        </w:tc>
        <w:tc>
          <w:tcPr>
            <w:tcW w:w="760" w:type="dxa"/>
          </w:tcPr>
          <w:p w:rsidR="00557A6F" w:rsidRDefault="00557A6F" w:rsidP="00AF5F55">
            <w:pPr>
              <w:jc w:val="right"/>
            </w:pPr>
            <w:r>
              <w:t>Kat.</w:t>
            </w:r>
          </w:p>
        </w:tc>
        <w:tc>
          <w:tcPr>
            <w:tcW w:w="1100" w:type="dxa"/>
          </w:tcPr>
          <w:p w:rsidR="00557A6F" w:rsidRDefault="00557A6F" w:rsidP="00AF5F55">
            <w:pPr>
              <w:jc w:val="right"/>
            </w:pPr>
            <w:r>
              <w:t>Kap./post</w:t>
            </w:r>
          </w:p>
        </w:tc>
        <w:tc>
          <w:tcPr>
            <w:tcW w:w="1140" w:type="dxa"/>
          </w:tcPr>
          <w:p w:rsidR="00557A6F" w:rsidRDefault="00557A6F" w:rsidP="00AF5F55">
            <w:pPr>
              <w:jc w:val="right"/>
            </w:pPr>
            <w:r>
              <w:t>Regnskap 2018</w:t>
            </w:r>
          </w:p>
        </w:tc>
        <w:tc>
          <w:tcPr>
            <w:tcW w:w="1140" w:type="dxa"/>
          </w:tcPr>
          <w:p w:rsidR="00557A6F" w:rsidRDefault="00557A6F" w:rsidP="00AF5F55">
            <w:pPr>
              <w:jc w:val="right"/>
            </w:pPr>
            <w:r>
              <w:t>Budsjett 2019</w:t>
            </w:r>
          </w:p>
        </w:tc>
        <w:tc>
          <w:tcPr>
            <w:tcW w:w="1140" w:type="dxa"/>
          </w:tcPr>
          <w:p w:rsidR="00557A6F" w:rsidRDefault="00557A6F" w:rsidP="00AF5F55">
            <w:pPr>
              <w:jc w:val="right"/>
            </w:pPr>
            <w:r>
              <w:t xml:space="preserve">Forslag </w:t>
            </w:r>
            <w:r>
              <w:br/>
              <w:t>2020</w:t>
            </w:r>
          </w:p>
        </w:tc>
      </w:tr>
      <w:tr w:rsidR="00557A6F" w:rsidTr="00557A6F">
        <w:trPr>
          <w:trHeight w:val="380"/>
        </w:trPr>
        <w:tc>
          <w:tcPr>
            <w:tcW w:w="3620" w:type="dxa"/>
          </w:tcPr>
          <w:p w:rsidR="00557A6F" w:rsidRDefault="00557A6F" w:rsidP="00557A6F">
            <w:r>
              <w:t xml:space="preserve">Pristilskudd melk </w:t>
            </w:r>
          </w:p>
        </w:tc>
        <w:tc>
          <w:tcPr>
            <w:tcW w:w="620" w:type="dxa"/>
          </w:tcPr>
          <w:p w:rsidR="00557A6F" w:rsidRDefault="00557A6F" w:rsidP="00AF5F55">
            <w:pPr>
              <w:jc w:val="right"/>
            </w:pPr>
            <w:r>
              <w:t xml:space="preserve">LMD </w:t>
            </w:r>
          </w:p>
        </w:tc>
        <w:tc>
          <w:tcPr>
            <w:tcW w:w="760" w:type="dxa"/>
          </w:tcPr>
          <w:p w:rsidR="00557A6F" w:rsidRDefault="00557A6F" w:rsidP="00AF5F55">
            <w:pPr>
              <w:jc w:val="right"/>
            </w:pPr>
            <w:r>
              <w:t xml:space="preserve">A </w:t>
            </w:r>
          </w:p>
        </w:tc>
        <w:tc>
          <w:tcPr>
            <w:tcW w:w="1100" w:type="dxa"/>
          </w:tcPr>
          <w:p w:rsidR="00557A6F" w:rsidRDefault="00557A6F" w:rsidP="00AF5F55">
            <w:pPr>
              <w:jc w:val="right"/>
            </w:pPr>
            <w:r>
              <w:t xml:space="preserve">1150/73 </w:t>
            </w:r>
          </w:p>
        </w:tc>
        <w:tc>
          <w:tcPr>
            <w:tcW w:w="1140" w:type="dxa"/>
          </w:tcPr>
          <w:p w:rsidR="00557A6F" w:rsidRDefault="00557A6F" w:rsidP="00AF5F55">
            <w:pPr>
              <w:jc w:val="right"/>
            </w:pPr>
            <w:r>
              <w:t>618 304</w:t>
            </w:r>
          </w:p>
        </w:tc>
        <w:tc>
          <w:tcPr>
            <w:tcW w:w="1140" w:type="dxa"/>
          </w:tcPr>
          <w:p w:rsidR="00557A6F" w:rsidRDefault="00557A6F" w:rsidP="00AF5F55">
            <w:pPr>
              <w:jc w:val="right"/>
            </w:pPr>
            <w:r>
              <w:t>666 000</w:t>
            </w:r>
          </w:p>
        </w:tc>
        <w:tc>
          <w:tcPr>
            <w:tcW w:w="1140" w:type="dxa"/>
          </w:tcPr>
          <w:p w:rsidR="00557A6F" w:rsidRDefault="00557A6F" w:rsidP="00AF5F55">
            <w:pPr>
              <w:jc w:val="right"/>
            </w:pPr>
            <w:r>
              <w:t>701 100</w:t>
            </w:r>
          </w:p>
        </w:tc>
      </w:tr>
      <w:tr w:rsidR="00557A6F" w:rsidTr="00557A6F">
        <w:trPr>
          <w:trHeight w:val="620"/>
        </w:trPr>
        <w:tc>
          <w:tcPr>
            <w:tcW w:w="3620" w:type="dxa"/>
          </w:tcPr>
          <w:p w:rsidR="00557A6F" w:rsidRDefault="00557A6F" w:rsidP="00557A6F">
            <w:r>
              <w:t xml:space="preserve">Distriktstilskudd for frukt, bær, </w:t>
            </w:r>
            <w:r>
              <w:br/>
              <w:t xml:space="preserve">grønnsaker og potet </w:t>
            </w:r>
          </w:p>
        </w:tc>
        <w:tc>
          <w:tcPr>
            <w:tcW w:w="620" w:type="dxa"/>
          </w:tcPr>
          <w:p w:rsidR="00557A6F" w:rsidRDefault="00557A6F" w:rsidP="00AF5F55">
            <w:pPr>
              <w:jc w:val="right"/>
            </w:pPr>
            <w:r>
              <w:t xml:space="preserve">LMD </w:t>
            </w:r>
          </w:p>
        </w:tc>
        <w:tc>
          <w:tcPr>
            <w:tcW w:w="760" w:type="dxa"/>
          </w:tcPr>
          <w:p w:rsidR="00557A6F" w:rsidRDefault="00557A6F" w:rsidP="00AF5F55">
            <w:pPr>
              <w:jc w:val="right"/>
            </w:pPr>
            <w:r>
              <w:t xml:space="preserve">A </w:t>
            </w:r>
          </w:p>
        </w:tc>
        <w:tc>
          <w:tcPr>
            <w:tcW w:w="1100" w:type="dxa"/>
          </w:tcPr>
          <w:p w:rsidR="00557A6F" w:rsidRDefault="00557A6F" w:rsidP="00AF5F55">
            <w:pPr>
              <w:jc w:val="right"/>
            </w:pPr>
            <w:r>
              <w:t xml:space="preserve">1150/73 </w:t>
            </w:r>
          </w:p>
        </w:tc>
        <w:tc>
          <w:tcPr>
            <w:tcW w:w="1140" w:type="dxa"/>
          </w:tcPr>
          <w:p w:rsidR="00557A6F" w:rsidRDefault="00557A6F" w:rsidP="00AF5F55">
            <w:pPr>
              <w:jc w:val="right"/>
            </w:pPr>
            <w:r>
              <w:t>112 847</w:t>
            </w:r>
          </w:p>
        </w:tc>
        <w:tc>
          <w:tcPr>
            <w:tcW w:w="1140" w:type="dxa"/>
          </w:tcPr>
          <w:p w:rsidR="00557A6F" w:rsidRDefault="00557A6F" w:rsidP="00AF5F55">
            <w:pPr>
              <w:jc w:val="right"/>
            </w:pPr>
            <w:r>
              <w:t>123 500</w:t>
            </w:r>
          </w:p>
        </w:tc>
        <w:tc>
          <w:tcPr>
            <w:tcW w:w="1140" w:type="dxa"/>
          </w:tcPr>
          <w:p w:rsidR="00557A6F" w:rsidRDefault="00557A6F" w:rsidP="00AF5F55">
            <w:pPr>
              <w:jc w:val="right"/>
            </w:pPr>
            <w:r>
              <w:t>152 300</w:t>
            </w:r>
          </w:p>
        </w:tc>
      </w:tr>
      <w:tr w:rsidR="00557A6F" w:rsidTr="00557A6F">
        <w:trPr>
          <w:trHeight w:val="380"/>
        </w:trPr>
        <w:tc>
          <w:tcPr>
            <w:tcW w:w="3620" w:type="dxa"/>
          </w:tcPr>
          <w:p w:rsidR="00557A6F" w:rsidRDefault="00557A6F" w:rsidP="00557A6F">
            <w:r>
              <w:t xml:space="preserve">Pristilskudd kjøtt </w:t>
            </w:r>
          </w:p>
        </w:tc>
        <w:tc>
          <w:tcPr>
            <w:tcW w:w="620" w:type="dxa"/>
          </w:tcPr>
          <w:p w:rsidR="00557A6F" w:rsidRDefault="00557A6F" w:rsidP="00AF5F55">
            <w:pPr>
              <w:jc w:val="right"/>
            </w:pPr>
            <w:r>
              <w:t xml:space="preserve">LMD </w:t>
            </w:r>
          </w:p>
        </w:tc>
        <w:tc>
          <w:tcPr>
            <w:tcW w:w="760" w:type="dxa"/>
          </w:tcPr>
          <w:p w:rsidR="00557A6F" w:rsidRDefault="00557A6F" w:rsidP="00AF5F55">
            <w:pPr>
              <w:jc w:val="right"/>
            </w:pPr>
            <w:r>
              <w:t xml:space="preserve">A </w:t>
            </w:r>
          </w:p>
        </w:tc>
        <w:tc>
          <w:tcPr>
            <w:tcW w:w="1100" w:type="dxa"/>
          </w:tcPr>
          <w:p w:rsidR="00557A6F" w:rsidRDefault="00557A6F" w:rsidP="00AF5F55">
            <w:pPr>
              <w:jc w:val="right"/>
            </w:pPr>
            <w:r>
              <w:t xml:space="preserve">1150/73 </w:t>
            </w:r>
          </w:p>
        </w:tc>
        <w:tc>
          <w:tcPr>
            <w:tcW w:w="1140" w:type="dxa"/>
          </w:tcPr>
          <w:p w:rsidR="00557A6F" w:rsidRDefault="00557A6F" w:rsidP="00AF5F55">
            <w:pPr>
              <w:jc w:val="right"/>
            </w:pPr>
            <w:r>
              <w:t>1 541 396</w:t>
            </w:r>
          </w:p>
        </w:tc>
        <w:tc>
          <w:tcPr>
            <w:tcW w:w="1140" w:type="dxa"/>
          </w:tcPr>
          <w:p w:rsidR="00557A6F" w:rsidRDefault="00557A6F" w:rsidP="00AF5F55">
            <w:pPr>
              <w:jc w:val="right"/>
            </w:pPr>
            <w:r>
              <w:t>1 452 260</w:t>
            </w:r>
          </w:p>
        </w:tc>
        <w:tc>
          <w:tcPr>
            <w:tcW w:w="1140" w:type="dxa"/>
          </w:tcPr>
          <w:p w:rsidR="00557A6F" w:rsidRDefault="00557A6F" w:rsidP="00AF5F55">
            <w:pPr>
              <w:jc w:val="right"/>
            </w:pPr>
            <w:r>
              <w:t>1 453 400</w:t>
            </w:r>
          </w:p>
        </w:tc>
      </w:tr>
      <w:tr w:rsidR="00557A6F" w:rsidTr="00557A6F">
        <w:trPr>
          <w:trHeight w:val="380"/>
        </w:trPr>
        <w:tc>
          <w:tcPr>
            <w:tcW w:w="3620" w:type="dxa"/>
          </w:tcPr>
          <w:p w:rsidR="00557A6F" w:rsidRDefault="00557A6F" w:rsidP="00557A6F">
            <w:r>
              <w:t xml:space="preserve">Distriktstilskudd egg </w:t>
            </w:r>
          </w:p>
        </w:tc>
        <w:tc>
          <w:tcPr>
            <w:tcW w:w="620" w:type="dxa"/>
          </w:tcPr>
          <w:p w:rsidR="00557A6F" w:rsidRDefault="00557A6F" w:rsidP="00AF5F55">
            <w:pPr>
              <w:jc w:val="right"/>
            </w:pPr>
            <w:r>
              <w:t xml:space="preserve">LMD </w:t>
            </w:r>
          </w:p>
        </w:tc>
        <w:tc>
          <w:tcPr>
            <w:tcW w:w="760" w:type="dxa"/>
          </w:tcPr>
          <w:p w:rsidR="00557A6F" w:rsidRDefault="00557A6F" w:rsidP="00AF5F55">
            <w:pPr>
              <w:jc w:val="right"/>
            </w:pPr>
            <w:r>
              <w:t xml:space="preserve">A </w:t>
            </w:r>
          </w:p>
        </w:tc>
        <w:tc>
          <w:tcPr>
            <w:tcW w:w="1100" w:type="dxa"/>
          </w:tcPr>
          <w:p w:rsidR="00557A6F" w:rsidRDefault="00557A6F" w:rsidP="00AF5F55">
            <w:pPr>
              <w:jc w:val="right"/>
            </w:pPr>
            <w:r>
              <w:t xml:space="preserve">1150/73 </w:t>
            </w:r>
          </w:p>
        </w:tc>
        <w:tc>
          <w:tcPr>
            <w:tcW w:w="1140" w:type="dxa"/>
          </w:tcPr>
          <w:p w:rsidR="00557A6F" w:rsidRDefault="00557A6F" w:rsidP="00AF5F55">
            <w:pPr>
              <w:jc w:val="right"/>
            </w:pPr>
            <w:r>
              <w:t>3 652</w:t>
            </w:r>
          </w:p>
        </w:tc>
        <w:tc>
          <w:tcPr>
            <w:tcW w:w="1140" w:type="dxa"/>
          </w:tcPr>
          <w:p w:rsidR="00557A6F" w:rsidRDefault="00557A6F" w:rsidP="00AF5F55">
            <w:pPr>
              <w:jc w:val="right"/>
            </w:pPr>
            <w:r>
              <w:t>3 335</w:t>
            </w:r>
          </w:p>
        </w:tc>
        <w:tc>
          <w:tcPr>
            <w:tcW w:w="1140" w:type="dxa"/>
          </w:tcPr>
          <w:p w:rsidR="00557A6F" w:rsidRDefault="00557A6F" w:rsidP="00AF5F55">
            <w:pPr>
              <w:jc w:val="right"/>
            </w:pPr>
            <w:r>
              <w:t>3 500</w:t>
            </w:r>
          </w:p>
        </w:tc>
      </w:tr>
      <w:tr w:rsidR="00557A6F" w:rsidTr="00557A6F">
        <w:trPr>
          <w:trHeight w:val="620"/>
        </w:trPr>
        <w:tc>
          <w:tcPr>
            <w:tcW w:w="3620" w:type="dxa"/>
          </w:tcPr>
          <w:p w:rsidR="00557A6F" w:rsidRDefault="00557A6F" w:rsidP="00557A6F">
            <w:r>
              <w:t xml:space="preserve">Driftstilskudd melkeproduksjon </w:t>
            </w:r>
            <w:r>
              <w:br/>
              <w:t xml:space="preserve">og kjøttfeproduksjon </w:t>
            </w:r>
          </w:p>
        </w:tc>
        <w:tc>
          <w:tcPr>
            <w:tcW w:w="620" w:type="dxa"/>
          </w:tcPr>
          <w:p w:rsidR="00557A6F" w:rsidRDefault="00557A6F" w:rsidP="00AF5F55">
            <w:pPr>
              <w:jc w:val="right"/>
            </w:pPr>
            <w:r>
              <w:t xml:space="preserve">LMD </w:t>
            </w:r>
          </w:p>
        </w:tc>
        <w:tc>
          <w:tcPr>
            <w:tcW w:w="760" w:type="dxa"/>
          </w:tcPr>
          <w:p w:rsidR="00557A6F" w:rsidRDefault="00557A6F" w:rsidP="00AF5F55">
            <w:pPr>
              <w:jc w:val="right"/>
            </w:pPr>
            <w:r>
              <w:t xml:space="preserve">B </w:t>
            </w:r>
          </w:p>
        </w:tc>
        <w:tc>
          <w:tcPr>
            <w:tcW w:w="1100" w:type="dxa"/>
          </w:tcPr>
          <w:p w:rsidR="00557A6F" w:rsidRDefault="00557A6F" w:rsidP="00AF5F55">
            <w:pPr>
              <w:jc w:val="right"/>
            </w:pPr>
            <w:r>
              <w:t xml:space="preserve">1150/74 </w:t>
            </w:r>
          </w:p>
        </w:tc>
        <w:tc>
          <w:tcPr>
            <w:tcW w:w="1140" w:type="dxa"/>
          </w:tcPr>
          <w:p w:rsidR="00557A6F" w:rsidRDefault="00557A6F" w:rsidP="00AF5F55">
            <w:pPr>
              <w:jc w:val="right"/>
            </w:pPr>
            <w:r>
              <w:t>1 579 092</w:t>
            </w:r>
          </w:p>
        </w:tc>
        <w:tc>
          <w:tcPr>
            <w:tcW w:w="1140" w:type="dxa"/>
          </w:tcPr>
          <w:p w:rsidR="00557A6F" w:rsidRDefault="00557A6F" w:rsidP="00AF5F55">
            <w:pPr>
              <w:jc w:val="right"/>
            </w:pPr>
            <w:r>
              <w:t>1 601 600</w:t>
            </w:r>
          </w:p>
        </w:tc>
        <w:tc>
          <w:tcPr>
            <w:tcW w:w="1140" w:type="dxa"/>
          </w:tcPr>
          <w:p w:rsidR="00557A6F" w:rsidRDefault="00557A6F" w:rsidP="00AF5F55">
            <w:pPr>
              <w:jc w:val="right"/>
            </w:pPr>
            <w:r>
              <w:t>1 678 900</w:t>
            </w:r>
          </w:p>
        </w:tc>
      </w:tr>
      <w:tr w:rsidR="00557A6F" w:rsidTr="00557A6F">
        <w:trPr>
          <w:trHeight w:val="380"/>
        </w:trPr>
        <w:tc>
          <w:tcPr>
            <w:tcW w:w="3620" w:type="dxa"/>
          </w:tcPr>
          <w:p w:rsidR="00557A6F" w:rsidRDefault="00557A6F" w:rsidP="00557A6F">
            <w:r>
              <w:t xml:space="preserve">Tilskudd til husdyr </w:t>
            </w:r>
          </w:p>
        </w:tc>
        <w:tc>
          <w:tcPr>
            <w:tcW w:w="620" w:type="dxa"/>
          </w:tcPr>
          <w:p w:rsidR="00557A6F" w:rsidRDefault="00557A6F" w:rsidP="00AF5F55">
            <w:pPr>
              <w:jc w:val="right"/>
            </w:pPr>
            <w:r>
              <w:t xml:space="preserve">LMD </w:t>
            </w:r>
          </w:p>
        </w:tc>
        <w:tc>
          <w:tcPr>
            <w:tcW w:w="760" w:type="dxa"/>
          </w:tcPr>
          <w:p w:rsidR="00557A6F" w:rsidRDefault="00557A6F" w:rsidP="00AF5F55">
            <w:pPr>
              <w:jc w:val="right"/>
            </w:pPr>
            <w:r>
              <w:t xml:space="preserve">B </w:t>
            </w:r>
          </w:p>
        </w:tc>
        <w:tc>
          <w:tcPr>
            <w:tcW w:w="1100" w:type="dxa"/>
          </w:tcPr>
          <w:p w:rsidR="00557A6F" w:rsidRDefault="00557A6F" w:rsidP="00AF5F55">
            <w:pPr>
              <w:jc w:val="right"/>
            </w:pPr>
            <w:r>
              <w:t xml:space="preserve">1150/74 </w:t>
            </w:r>
          </w:p>
        </w:tc>
        <w:tc>
          <w:tcPr>
            <w:tcW w:w="1140" w:type="dxa"/>
          </w:tcPr>
          <w:p w:rsidR="00557A6F" w:rsidRDefault="00557A6F" w:rsidP="00AF5F55">
            <w:pPr>
              <w:jc w:val="right"/>
            </w:pPr>
            <w:r>
              <w:t>2 528 531</w:t>
            </w:r>
          </w:p>
        </w:tc>
        <w:tc>
          <w:tcPr>
            <w:tcW w:w="1140" w:type="dxa"/>
          </w:tcPr>
          <w:p w:rsidR="00557A6F" w:rsidRDefault="00557A6F" w:rsidP="00AF5F55">
            <w:pPr>
              <w:jc w:val="right"/>
            </w:pPr>
            <w:r>
              <w:t>2 442 800</w:t>
            </w:r>
          </w:p>
        </w:tc>
        <w:tc>
          <w:tcPr>
            <w:tcW w:w="1140" w:type="dxa"/>
          </w:tcPr>
          <w:p w:rsidR="00557A6F" w:rsidRDefault="00557A6F" w:rsidP="00AF5F55">
            <w:pPr>
              <w:jc w:val="right"/>
            </w:pPr>
            <w:r>
              <w:t>2 552 385</w:t>
            </w:r>
          </w:p>
        </w:tc>
      </w:tr>
      <w:tr w:rsidR="00557A6F" w:rsidTr="00557A6F">
        <w:trPr>
          <w:trHeight w:val="380"/>
        </w:trPr>
        <w:tc>
          <w:tcPr>
            <w:tcW w:w="3620" w:type="dxa"/>
          </w:tcPr>
          <w:p w:rsidR="00557A6F" w:rsidRDefault="00557A6F" w:rsidP="00557A6F">
            <w:r>
              <w:t xml:space="preserve">Tilskudd til norsk ull </w:t>
            </w:r>
          </w:p>
        </w:tc>
        <w:tc>
          <w:tcPr>
            <w:tcW w:w="620" w:type="dxa"/>
          </w:tcPr>
          <w:p w:rsidR="00557A6F" w:rsidRDefault="00557A6F" w:rsidP="00AF5F55">
            <w:pPr>
              <w:jc w:val="right"/>
            </w:pPr>
            <w:r>
              <w:t xml:space="preserve">LMD </w:t>
            </w:r>
          </w:p>
        </w:tc>
        <w:tc>
          <w:tcPr>
            <w:tcW w:w="760" w:type="dxa"/>
          </w:tcPr>
          <w:p w:rsidR="00557A6F" w:rsidRDefault="00557A6F" w:rsidP="00AF5F55">
            <w:pPr>
              <w:jc w:val="right"/>
            </w:pPr>
            <w:r>
              <w:t xml:space="preserve">B </w:t>
            </w:r>
          </w:p>
        </w:tc>
        <w:tc>
          <w:tcPr>
            <w:tcW w:w="1100" w:type="dxa"/>
          </w:tcPr>
          <w:p w:rsidR="00557A6F" w:rsidRDefault="00557A6F" w:rsidP="00AF5F55">
            <w:pPr>
              <w:jc w:val="right"/>
            </w:pPr>
            <w:r>
              <w:t xml:space="preserve">1150/73 </w:t>
            </w:r>
          </w:p>
        </w:tc>
        <w:tc>
          <w:tcPr>
            <w:tcW w:w="1140" w:type="dxa"/>
          </w:tcPr>
          <w:p w:rsidR="00557A6F" w:rsidRDefault="00557A6F" w:rsidP="00AF5F55">
            <w:pPr>
              <w:jc w:val="right"/>
            </w:pPr>
            <w:r>
              <w:t>122 933</w:t>
            </w:r>
          </w:p>
        </w:tc>
        <w:tc>
          <w:tcPr>
            <w:tcW w:w="1140" w:type="dxa"/>
          </w:tcPr>
          <w:p w:rsidR="00557A6F" w:rsidRDefault="00557A6F" w:rsidP="00AF5F55">
            <w:pPr>
              <w:jc w:val="right"/>
            </w:pPr>
            <w:r>
              <w:t>134 000</w:t>
            </w:r>
          </w:p>
        </w:tc>
        <w:tc>
          <w:tcPr>
            <w:tcW w:w="1140" w:type="dxa"/>
          </w:tcPr>
          <w:p w:rsidR="00557A6F" w:rsidRDefault="00557A6F" w:rsidP="00AF5F55">
            <w:pPr>
              <w:jc w:val="right"/>
            </w:pPr>
            <w:r>
              <w:t>124 000</w:t>
            </w:r>
          </w:p>
        </w:tc>
      </w:tr>
      <w:tr w:rsidR="00557A6F" w:rsidTr="00557A6F">
        <w:trPr>
          <w:trHeight w:val="380"/>
        </w:trPr>
        <w:tc>
          <w:tcPr>
            <w:tcW w:w="3620" w:type="dxa"/>
          </w:tcPr>
          <w:p w:rsidR="00557A6F" w:rsidRDefault="00557A6F" w:rsidP="00557A6F">
            <w:r>
              <w:lastRenderedPageBreak/>
              <w:t xml:space="preserve">Tilskudd til areal og kulturlandskap </w:t>
            </w:r>
          </w:p>
        </w:tc>
        <w:tc>
          <w:tcPr>
            <w:tcW w:w="620" w:type="dxa"/>
          </w:tcPr>
          <w:p w:rsidR="00557A6F" w:rsidRDefault="00557A6F" w:rsidP="00AF5F55">
            <w:pPr>
              <w:jc w:val="right"/>
            </w:pPr>
            <w:r>
              <w:t xml:space="preserve">LMD </w:t>
            </w:r>
          </w:p>
        </w:tc>
        <w:tc>
          <w:tcPr>
            <w:tcW w:w="760" w:type="dxa"/>
          </w:tcPr>
          <w:p w:rsidR="00557A6F" w:rsidRDefault="00557A6F" w:rsidP="00AF5F55">
            <w:pPr>
              <w:jc w:val="right"/>
            </w:pPr>
            <w:r>
              <w:t xml:space="preserve">B </w:t>
            </w:r>
          </w:p>
        </w:tc>
        <w:tc>
          <w:tcPr>
            <w:tcW w:w="1100" w:type="dxa"/>
          </w:tcPr>
          <w:p w:rsidR="00557A6F" w:rsidRDefault="00557A6F" w:rsidP="00AF5F55">
            <w:pPr>
              <w:jc w:val="right"/>
            </w:pPr>
            <w:r>
              <w:t xml:space="preserve">1150/74 </w:t>
            </w:r>
          </w:p>
        </w:tc>
        <w:tc>
          <w:tcPr>
            <w:tcW w:w="1140" w:type="dxa"/>
          </w:tcPr>
          <w:p w:rsidR="00557A6F" w:rsidRDefault="00557A6F" w:rsidP="00AF5F55">
            <w:pPr>
              <w:jc w:val="right"/>
            </w:pPr>
            <w:r>
              <w:t>3 066 496</w:t>
            </w:r>
          </w:p>
        </w:tc>
        <w:tc>
          <w:tcPr>
            <w:tcW w:w="1140" w:type="dxa"/>
          </w:tcPr>
          <w:p w:rsidR="00557A6F" w:rsidRDefault="00557A6F" w:rsidP="00AF5F55">
            <w:pPr>
              <w:jc w:val="right"/>
            </w:pPr>
            <w:r>
              <w:t>3 447 500</w:t>
            </w:r>
          </w:p>
        </w:tc>
        <w:tc>
          <w:tcPr>
            <w:tcW w:w="1140" w:type="dxa"/>
          </w:tcPr>
          <w:p w:rsidR="00557A6F" w:rsidRDefault="00557A6F" w:rsidP="00AF5F55">
            <w:pPr>
              <w:jc w:val="right"/>
            </w:pPr>
            <w:r>
              <w:t>3 552 200</w:t>
            </w:r>
          </w:p>
        </w:tc>
      </w:tr>
      <w:tr w:rsidR="00557A6F" w:rsidTr="00557A6F">
        <w:trPr>
          <w:trHeight w:val="380"/>
        </w:trPr>
        <w:tc>
          <w:tcPr>
            <w:tcW w:w="3620" w:type="dxa"/>
          </w:tcPr>
          <w:p w:rsidR="00557A6F" w:rsidRDefault="00557A6F" w:rsidP="00557A6F">
            <w:r>
              <w:t xml:space="preserve">Frakttilskudd </w:t>
            </w:r>
          </w:p>
        </w:tc>
        <w:tc>
          <w:tcPr>
            <w:tcW w:w="620" w:type="dxa"/>
          </w:tcPr>
          <w:p w:rsidR="00557A6F" w:rsidRDefault="00557A6F" w:rsidP="00AF5F55">
            <w:pPr>
              <w:jc w:val="right"/>
            </w:pPr>
            <w:r>
              <w:t xml:space="preserve">LMD </w:t>
            </w:r>
          </w:p>
        </w:tc>
        <w:tc>
          <w:tcPr>
            <w:tcW w:w="760" w:type="dxa"/>
          </w:tcPr>
          <w:p w:rsidR="00557A6F" w:rsidRDefault="00557A6F" w:rsidP="00AF5F55">
            <w:pPr>
              <w:jc w:val="right"/>
            </w:pPr>
            <w:r>
              <w:t xml:space="preserve">B </w:t>
            </w:r>
          </w:p>
        </w:tc>
        <w:tc>
          <w:tcPr>
            <w:tcW w:w="1100" w:type="dxa"/>
          </w:tcPr>
          <w:p w:rsidR="00557A6F" w:rsidRDefault="00557A6F" w:rsidP="00AF5F55">
            <w:pPr>
              <w:jc w:val="right"/>
            </w:pPr>
            <w:r>
              <w:t xml:space="preserve">1150/73 </w:t>
            </w:r>
          </w:p>
        </w:tc>
        <w:tc>
          <w:tcPr>
            <w:tcW w:w="1140" w:type="dxa"/>
          </w:tcPr>
          <w:p w:rsidR="00557A6F" w:rsidRDefault="00557A6F" w:rsidP="00AF5F55">
            <w:pPr>
              <w:jc w:val="right"/>
            </w:pPr>
            <w:r>
              <w:t>352 492</w:t>
            </w:r>
          </w:p>
        </w:tc>
        <w:tc>
          <w:tcPr>
            <w:tcW w:w="1140" w:type="dxa"/>
          </w:tcPr>
          <w:p w:rsidR="00557A6F" w:rsidRDefault="00557A6F" w:rsidP="00AF5F55">
            <w:pPr>
              <w:jc w:val="right"/>
            </w:pPr>
            <w:r>
              <w:t>361 450</w:t>
            </w:r>
          </w:p>
        </w:tc>
        <w:tc>
          <w:tcPr>
            <w:tcW w:w="1140" w:type="dxa"/>
          </w:tcPr>
          <w:p w:rsidR="00557A6F" w:rsidRDefault="00557A6F" w:rsidP="00AF5F55">
            <w:pPr>
              <w:jc w:val="right"/>
            </w:pPr>
            <w:r>
              <w:t>385 700</w:t>
            </w:r>
          </w:p>
        </w:tc>
      </w:tr>
      <w:tr w:rsidR="00557A6F" w:rsidTr="00557A6F">
        <w:trPr>
          <w:trHeight w:val="620"/>
        </w:trPr>
        <w:tc>
          <w:tcPr>
            <w:tcW w:w="3620" w:type="dxa"/>
          </w:tcPr>
          <w:p w:rsidR="00557A6F" w:rsidRDefault="00557A6F" w:rsidP="00557A6F">
            <w:r>
              <w:t xml:space="preserve">Fradrag i positiv næringsinntekt </w:t>
            </w:r>
            <w:r>
              <w:br/>
              <w:t>for jordbruk</w:t>
            </w:r>
          </w:p>
        </w:tc>
        <w:tc>
          <w:tcPr>
            <w:tcW w:w="620" w:type="dxa"/>
          </w:tcPr>
          <w:p w:rsidR="00557A6F" w:rsidRDefault="00557A6F" w:rsidP="00AF5F55">
            <w:pPr>
              <w:jc w:val="right"/>
            </w:pPr>
            <w:r>
              <w:t>FIN</w:t>
            </w:r>
          </w:p>
        </w:tc>
        <w:tc>
          <w:tcPr>
            <w:tcW w:w="760" w:type="dxa"/>
          </w:tcPr>
          <w:p w:rsidR="00557A6F" w:rsidRDefault="00557A6F" w:rsidP="00AF5F55">
            <w:pPr>
              <w:jc w:val="right"/>
            </w:pPr>
            <w:r>
              <w:t>B</w:t>
            </w:r>
          </w:p>
        </w:tc>
        <w:tc>
          <w:tcPr>
            <w:tcW w:w="1100" w:type="dxa"/>
          </w:tcPr>
          <w:p w:rsidR="00557A6F" w:rsidRDefault="00557A6F" w:rsidP="00AF5F55">
            <w:pPr>
              <w:jc w:val="right"/>
            </w:pPr>
            <w:r>
              <w:t>inntekt</w:t>
            </w:r>
            <w:r>
              <w:t>s</w:t>
            </w:r>
            <w:r>
              <w:t>tap</w:t>
            </w:r>
          </w:p>
        </w:tc>
        <w:tc>
          <w:tcPr>
            <w:tcW w:w="1140" w:type="dxa"/>
          </w:tcPr>
          <w:p w:rsidR="00557A6F" w:rsidRDefault="00557A6F" w:rsidP="00AF5F55">
            <w:pPr>
              <w:jc w:val="right"/>
            </w:pPr>
            <w:r>
              <w:t>725 000</w:t>
            </w:r>
          </w:p>
        </w:tc>
        <w:tc>
          <w:tcPr>
            <w:tcW w:w="1140" w:type="dxa"/>
          </w:tcPr>
          <w:p w:rsidR="00557A6F" w:rsidRDefault="00557A6F" w:rsidP="00AF5F55">
            <w:pPr>
              <w:jc w:val="right"/>
            </w:pPr>
            <w:r>
              <w:t>700 000</w:t>
            </w:r>
          </w:p>
        </w:tc>
        <w:tc>
          <w:tcPr>
            <w:tcW w:w="1140" w:type="dxa"/>
          </w:tcPr>
          <w:p w:rsidR="00557A6F" w:rsidRDefault="00557A6F" w:rsidP="00AF5F55">
            <w:pPr>
              <w:jc w:val="right"/>
            </w:pPr>
            <w:r>
              <w:t>780 000</w:t>
            </w:r>
          </w:p>
        </w:tc>
      </w:tr>
      <w:tr w:rsidR="00557A6F" w:rsidTr="00557A6F">
        <w:trPr>
          <w:trHeight w:val="380"/>
        </w:trPr>
        <w:tc>
          <w:tcPr>
            <w:tcW w:w="3620" w:type="dxa"/>
          </w:tcPr>
          <w:p w:rsidR="00557A6F" w:rsidRDefault="00557A6F" w:rsidP="00557A6F">
            <w:r>
              <w:t xml:space="preserve">Reindriftsavtalen </w:t>
            </w:r>
          </w:p>
        </w:tc>
        <w:tc>
          <w:tcPr>
            <w:tcW w:w="620" w:type="dxa"/>
          </w:tcPr>
          <w:p w:rsidR="00557A6F" w:rsidRDefault="00557A6F" w:rsidP="00AF5F55">
            <w:pPr>
              <w:jc w:val="right"/>
            </w:pPr>
            <w:r>
              <w:t xml:space="preserve">LMD </w:t>
            </w:r>
          </w:p>
        </w:tc>
        <w:tc>
          <w:tcPr>
            <w:tcW w:w="760" w:type="dxa"/>
          </w:tcPr>
          <w:p w:rsidR="00557A6F" w:rsidRDefault="00557A6F" w:rsidP="00AF5F55">
            <w:pPr>
              <w:jc w:val="right"/>
            </w:pPr>
            <w:r>
              <w:t xml:space="preserve">B </w:t>
            </w:r>
          </w:p>
        </w:tc>
        <w:tc>
          <w:tcPr>
            <w:tcW w:w="1100" w:type="dxa"/>
          </w:tcPr>
          <w:p w:rsidR="00557A6F" w:rsidRDefault="00557A6F" w:rsidP="00AF5F55">
            <w:pPr>
              <w:jc w:val="right"/>
            </w:pPr>
            <w:r>
              <w:t>1151</w:t>
            </w:r>
          </w:p>
        </w:tc>
        <w:tc>
          <w:tcPr>
            <w:tcW w:w="1140" w:type="dxa"/>
          </w:tcPr>
          <w:p w:rsidR="00557A6F" w:rsidRDefault="00557A6F" w:rsidP="00AF5F55">
            <w:pPr>
              <w:jc w:val="right"/>
            </w:pPr>
            <w:r>
              <w:t>116 537</w:t>
            </w:r>
          </w:p>
        </w:tc>
        <w:tc>
          <w:tcPr>
            <w:tcW w:w="1140" w:type="dxa"/>
          </w:tcPr>
          <w:p w:rsidR="00557A6F" w:rsidRDefault="00557A6F" w:rsidP="00AF5F55">
            <w:pPr>
              <w:jc w:val="right"/>
            </w:pPr>
            <w:r>
              <w:t>123 100</w:t>
            </w:r>
          </w:p>
        </w:tc>
        <w:tc>
          <w:tcPr>
            <w:tcW w:w="1140" w:type="dxa"/>
          </w:tcPr>
          <w:p w:rsidR="00557A6F" w:rsidRDefault="00557A6F" w:rsidP="00AF5F55">
            <w:pPr>
              <w:jc w:val="right"/>
            </w:pPr>
            <w:r>
              <w:t>136 100</w:t>
            </w:r>
          </w:p>
        </w:tc>
      </w:tr>
      <w:tr w:rsidR="00557A6F" w:rsidTr="00557A6F">
        <w:trPr>
          <w:trHeight w:val="620"/>
        </w:trPr>
        <w:tc>
          <w:tcPr>
            <w:tcW w:w="3620" w:type="dxa"/>
          </w:tcPr>
          <w:p w:rsidR="00557A6F" w:rsidRDefault="00557A6F" w:rsidP="00557A6F">
            <w:r>
              <w:t xml:space="preserve">Fradrag i positiv næringsinntekt </w:t>
            </w:r>
            <w:r>
              <w:br/>
              <w:t>for reindrift</w:t>
            </w:r>
          </w:p>
        </w:tc>
        <w:tc>
          <w:tcPr>
            <w:tcW w:w="620" w:type="dxa"/>
          </w:tcPr>
          <w:p w:rsidR="00557A6F" w:rsidRDefault="00557A6F" w:rsidP="00AF5F55">
            <w:pPr>
              <w:jc w:val="right"/>
            </w:pPr>
            <w:r>
              <w:t>FIN</w:t>
            </w:r>
          </w:p>
        </w:tc>
        <w:tc>
          <w:tcPr>
            <w:tcW w:w="760" w:type="dxa"/>
          </w:tcPr>
          <w:p w:rsidR="00557A6F" w:rsidRDefault="00557A6F" w:rsidP="00AF5F55">
            <w:pPr>
              <w:jc w:val="right"/>
            </w:pPr>
            <w:r>
              <w:t>B</w:t>
            </w:r>
          </w:p>
        </w:tc>
        <w:tc>
          <w:tcPr>
            <w:tcW w:w="1100" w:type="dxa"/>
          </w:tcPr>
          <w:p w:rsidR="00557A6F" w:rsidRDefault="00557A6F" w:rsidP="00AF5F55">
            <w:pPr>
              <w:jc w:val="right"/>
            </w:pPr>
            <w:r>
              <w:t>inntekt</w:t>
            </w:r>
            <w:r>
              <w:t>s</w:t>
            </w:r>
            <w:r>
              <w:t>tap</w:t>
            </w:r>
          </w:p>
        </w:tc>
        <w:tc>
          <w:tcPr>
            <w:tcW w:w="1140" w:type="dxa"/>
          </w:tcPr>
          <w:p w:rsidR="00557A6F" w:rsidRDefault="00557A6F" w:rsidP="00AF5F55">
            <w:pPr>
              <w:jc w:val="right"/>
            </w:pPr>
            <w:r>
              <w:t>11 100</w:t>
            </w:r>
          </w:p>
        </w:tc>
        <w:tc>
          <w:tcPr>
            <w:tcW w:w="1140" w:type="dxa"/>
          </w:tcPr>
          <w:p w:rsidR="00557A6F" w:rsidRDefault="00557A6F" w:rsidP="00AF5F55">
            <w:pPr>
              <w:jc w:val="right"/>
            </w:pPr>
            <w:r>
              <w:t>11 000</w:t>
            </w:r>
          </w:p>
        </w:tc>
        <w:tc>
          <w:tcPr>
            <w:tcW w:w="1140" w:type="dxa"/>
          </w:tcPr>
          <w:p w:rsidR="00557A6F" w:rsidRDefault="00557A6F" w:rsidP="00AF5F55">
            <w:pPr>
              <w:jc w:val="right"/>
            </w:pPr>
            <w:r>
              <w:t>11 000</w:t>
            </w:r>
          </w:p>
        </w:tc>
      </w:tr>
      <w:tr w:rsidR="00557A6F" w:rsidTr="00557A6F">
        <w:trPr>
          <w:trHeight w:val="380"/>
        </w:trPr>
        <w:tc>
          <w:tcPr>
            <w:tcW w:w="3620" w:type="dxa"/>
          </w:tcPr>
          <w:p w:rsidR="00557A6F" w:rsidRDefault="00557A6F" w:rsidP="00557A6F">
            <w:r>
              <w:t>Miljøtiltak</w:t>
            </w:r>
          </w:p>
        </w:tc>
        <w:tc>
          <w:tcPr>
            <w:tcW w:w="620" w:type="dxa"/>
          </w:tcPr>
          <w:p w:rsidR="00557A6F" w:rsidRDefault="00557A6F" w:rsidP="00AF5F55">
            <w:pPr>
              <w:jc w:val="right"/>
            </w:pPr>
            <w:r>
              <w:t xml:space="preserve">LMD </w:t>
            </w:r>
          </w:p>
        </w:tc>
        <w:tc>
          <w:tcPr>
            <w:tcW w:w="760" w:type="dxa"/>
          </w:tcPr>
          <w:p w:rsidR="00557A6F" w:rsidRDefault="00557A6F" w:rsidP="00AF5F55">
            <w:pPr>
              <w:jc w:val="right"/>
            </w:pPr>
            <w:r>
              <w:t xml:space="preserve">B </w:t>
            </w:r>
          </w:p>
        </w:tc>
        <w:tc>
          <w:tcPr>
            <w:tcW w:w="1100" w:type="dxa"/>
          </w:tcPr>
          <w:p w:rsidR="00557A6F" w:rsidRDefault="00557A6F" w:rsidP="00AF5F55">
            <w:pPr>
              <w:jc w:val="right"/>
            </w:pPr>
            <w:r>
              <w:t xml:space="preserve">1150/50 </w:t>
            </w:r>
          </w:p>
        </w:tc>
        <w:tc>
          <w:tcPr>
            <w:tcW w:w="1140" w:type="dxa"/>
          </w:tcPr>
          <w:p w:rsidR="00557A6F" w:rsidRDefault="00557A6F" w:rsidP="00AF5F55">
            <w:pPr>
              <w:jc w:val="right"/>
            </w:pPr>
            <w:r>
              <w:t>140 100</w:t>
            </w:r>
          </w:p>
        </w:tc>
        <w:tc>
          <w:tcPr>
            <w:tcW w:w="1140" w:type="dxa"/>
          </w:tcPr>
          <w:p w:rsidR="00557A6F" w:rsidRDefault="00557A6F" w:rsidP="00AF5F55">
            <w:pPr>
              <w:jc w:val="right"/>
            </w:pPr>
            <w:r>
              <w:t>115 000</w:t>
            </w:r>
          </w:p>
        </w:tc>
        <w:tc>
          <w:tcPr>
            <w:tcW w:w="1140" w:type="dxa"/>
          </w:tcPr>
          <w:p w:rsidR="00557A6F" w:rsidRDefault="00557A6F" w:rsidP="00AF5F55">
            <w:pPr>
              <w:jc w:val="right"/>
            </w:pPr>
            <w:r>
              <w:t>127 000</w:t>
            </w:r>
          </w:p>
        </w:tc>
      </w:tr>
      <w:tr w:rsidR="00557A6F" w:rsidTr="00557A6F">
        <w:trPr>
          <w:trHeight w:val="380"/>
        </w:trPr>
        <w:tc>
          <w:tcPr>
            <w:tcW w:w="3620" w:type="dxa"/>
          </w:tcPr>
          <w:p w:rsidR="00557A6F" w:rsidRDefault="00557A6F" w:rsidP="00557A6F">
            <w:r>
              <w:t>Drenering</w:t>
            </w:r>
          </w:p>
        </w:tc>
        <w:tc>
          <w:tcPr>
            <w:tcW w:w="620" w:type="dxa"/>
          </w:tcPr>
          <w:p w:rsidR="00557A6F" w:rsidRDefault="00557A6F" w:rsidP="00AF5F55">
            <w:pPr>
              <w:jc w:val="right"/>
            </w:pPr>
            <w:r>
              <w:t>LMD</w:t>
            </w:r>
          </w:p>
        </w:tc>
        <w:tc>
          <w:tcPr>
            <w:tcW w:w="760" w:type="dxa"/>
          </w:tcPr>
          <w:p w:rsidR="00557A6F" w:rsidRDefault="00557A6F" w:rsidP="00AF5F55">
            <w:pPr>
              <w:jc w:val="right"/>
            </w:pPr>
            <w:r>
              <w:t>B</w:t>
            </w:r>
          </w:p>
        </w:tc>
        <w:tc>
          <w:tcPr>
            <w:tcW w:w="1100" w:type="dxa"/>
          </w:tcPr>
          <w:p w:rsidR="00557A6F" w:rsidRDefault="00557A6F" w:rsidP="00AF5F55">
            <w:pPr>
              <w:jc w:val="right"/>
            </w:pPr>
            <w:r>
              <w:t>1150/50</w:t>
            </w:r>
          </w:p>
        </w:tc>
        <w:tc>
          <w:tcPr>
            <w:tcW w:w="1140" w:type="dxa"/>
          </w:tcPr>
          <w:p w:rsidR="00557A6F" w:rsidRDefault="00557A6F" w:rsidP="00AF5F55">
            <w:pPr>
              <w:jc w:val="right"/>
            </w:pPr>
            <w:r>
              <w:t>103 000</w:t>
            </w:r>
          </w:p>
        </w:tc>
        <w:tc>
          <w:tcPr>
            <w:tcW w:w="1140" w:type="dxa"/>
          </w:tcPr>
          <w:p w:rsidR="00557A6F" w:rsidRDefault="00557A6F" w:rsidP="00AF5F55">
            <w:pPr>
              <w:jc w:val="right"/>
            </w:pPr>
            <w:r>
              <w:t>58 000</w:t>
            </w:r>
          </w:p>
        </w:tc>
        <w:tc>
          <w:tcPr>
            <w:tcW w:w="1140" w:type="dxa"/>
          </w:tcPr>
          <w:p w:rsidR="00557A6F" w:rsidRDefault="00557A6F" w:rsidP="00AF5F55">
            <w:pPr>
              <w:jc w:val="right"/>
            </w:pPr>
            <w:r>
              <w:t>68 000</w:t>
            </w:r>
          </w:p>
        </w:tc>
      </w:tr>
      <w:tr w:rsidR="00557A6F" w:rsidTr="00557A6F">
        <w:trPr>
          <w:trHeight w:val="380"/>
        </w:trPr>
        <w:tc>
          <w:tcPr>
            <w:tcW w:w="3620" w:type="dxa"/>
          </w:tcPr>
          <w:p w:rsidR="00557A6F" w:rsidRDefault="00557A6F" w:rsidP="00557A6F">
            <w:r>
              <w:t xml:space="preserve">Tilskudd til dyreavl m.m. </w:t>
            </w:r>
          </w:p>
        </w:tc>
        <w:tc>
          <w:tcPr>
            <w:tcW w:w="620" w:type="dxa"/>
          </w:tcPr>
          <w:p w:rsidR="00557A6F" w:rsidRDefault="00557A6F" w:rsidP="00AF5F55">
            <w:pPr>
              <w:jc w:val="right"/>
            </w:pPr>
            <w:r>
              <w:t xml:space="preserve">LMD </w:t>
            </w:r>
          </w:p>
        </w:tc>
        <w:tc>
          <w:tcPr>
            <w:tcW w:w="760" w:type="dxa"/>
          </w:tcPr>
          <w:p w:rsidR="00557A6F" w:rsidRDefault="00557A6F" w:rsidP="00AF5F55">
            <w:pPr>
              <w:jc w:val="right"/>
            </w:pPr>
            <w:r>
              <w:t xml:space="preserve">B </w:t>
            </w:r>
          </w:p>
        </w:tc>
        <w:tc>
          <w:tcPr>
            <w:tcW w:w="1100" w:type="dxa"/>
          </w:tcPr>
          <w:p w:rsidR="00557A6F" w:rsidRDefault="00557A6F" w:rsidP="00AF5F55">
            <w:pPr>
              <w:jc w:val="right"/>
            </w:pPr>
            <w:r>
              <w:t xml:space="preserve">1150/77 </w:t>
            </w:r>
          </w:p>
        </w:tc>
        <w:tc>
          <w:tcPr>
            <w:tcW w:w="1140" w:type="dxa"/>
          </w:tcPr>
          <w:p w:rsidR="00557A6F" w:rsidRDefault="00557A6F" w:rsidP="00AF5F55">
            <w:pPr>
              <w:jc w:val="right"/>
            </w:pPr>
            <w:r>
              <w:t>81 868</w:t>
            </w:r>
          </w:p>
        </w:tc>
        <w:tc>
          <w:tcPr>
            <w:tcW w:w="1140" w:type="dxa"/>
          </w:tcPr>
          <w:p w:rsidR="00557A6F" w:rsidRDefault="00557A6F" w:rsidP="00AF5F55">
            <w:pPr>
              <w:jc w:val="right"/>
            </w:pPr>
            <w:r>
              <w:t>88 700</w:t>
            </w:r>
          </w:p>
        </w:tc>
        <w:tc>
          <w:tcPr>
            <w:tcW w:w="1140" w:type="dxa"/>
          </w:tcPr>
          <w:p w:rsidR="00557A6F" w:rsidRDefault="00557A6F" w:rsidP="00AF5F55">
            <w:pPr>
              <w:jc w:val="right"/>
            </w:pPr>
            <w:r>
              <w:t>92 600</w:t>
            </w:r>
          </w:p>
        </w:tc>
      </w:tr>
      <w:tr w:rsidR="00557A6F" w:rsidTr="00557A6F">
        <w:trPr>
          <w:trHeight w:val="380"/>
        </w:trPr>
        <w:tc>
          <w:tcPr>
            <w:tcW w:w="3620" w:type="dxa"/>
          </w:tcPr>
          <w:p w:rsidR="00557A6F" w:rsidRDefault="00557A6F" w:rsidP="00557A6F">
            <w:r>
              <w:t xml:space="preserve">Tilskudd til regionale miljøprogram </w:t>
            </w:r>
          </w:p>
        </w:tc>
        <w:tc>
          <w:tcPr>
            <w:tcW w:w="620" w:type="dxa"/>
          </w:tcPr>
          <w:p w:rsidR="00557A6F" w:rsidRDefault="00557A6F" w:rsidP="00AF5F55">
            <w:pPr>
              <w:jc w:val="right"/>
            </w:pPr>
            <w:r>
              <w:t xml:space="preserve">LMD </w:t>
            </w:r>
          </w:p>
        </w:tc>
        <w:tc>
          <w:tcPr>
            <w:tcW w:w="760" w:type="dxa"/>
          </w:tcPr>
          <w:p w:rsidR="00557A6F" w:rsidRDefault="00557A6F" w:rsidP="00AF5F55">
            <w:pPr>
              <w:jc w:val="right"/>
            </w:pPr>
            <w:r>
              <w:t xml:space="preserve">B </w:t>
            </w:r>
          </w:p>
        </w:tc>
        <w:tc>
          <w:tcPr>
            <w:tcW w:w="1100" w:type="dxa"/>
          </w:tcPr>
          <w:p w:rsidR="00557A6F" w:rsidRDefault="00557A6F" w:rsidP="00AF5F55">
            <w:pPr>
              <w:jc w:val="right"/>
            </w:pPr>
            <w:r>
              <w:t xml:space="preserve">1150/74 </w:t>
            </w:r>
          </w:p>
        </w:tc>
        <w:tc>
          <w:tcPr>
            <w:tcW w:w="1140" w:type="dxa"/>
          </w:tcPr>
          <w:p w:rsidR="00557A6F" w:rsidRDefault="00557A6F" w:rsidP="00AF5F55">
            <w:pPr>
              <w:jc w:val="right"/>
            </w:pPr>
            <w:r>
              <w:t>431 982</w:t>
            </w:r>
          </w:p>
        </w:tc>
        <w:tc>
          <w:tcPr>
            <w:tcW w:w="1140" w:type="dxa"/>
          </w:tcPr>
          <w:p w:rsidR="00557A6F" w:rsidRDefault="00557A6F" w:rsidP="00AF5F55">
            <w:pPr>
              <w:jc w:val="right"/>
            </w:pPr>
            <w:r>
              <w:t>493 159</w:t>
            </w:r>
          </w:p>
        </w:tc>
        <w:tc>
          <w:tcPr>
            <w:tcW w:w="1140" w:type="dxa"/>
          </w:tcPr>
          <w:p w:rsidR="00557A6F" w:rsidRDefault="00557A6F" w:rsidP="00AF5F55">
            <w:pPr>
              <w:jc w:val="right"/>
            </w:pPr>
            <w:r>
              <w:t>528 159</w:t>
            </w:r>
          </w:p>
        </w:tc>
      </w:tr>
      <w:tr w:rsidR="00557A6F" w:rsidTr="00557A6F">
        <w:trPr>
          <w:trHeight w:val="620"/>
        </w:trPr>
        <w:tc>
          <w:tcPr>
            <w:tcW w:w="3620" w:type="dxa"/>
          </w:tcPr>
          <w:p w:rsidR="00557A6F" w:rsidRDefault="00557A6F" w:rsidP="00557A6F">
            <w:r>
              <w:t xml:space="preserve">Bedriftsretta midlar til investering </w:t>
            </w:r>
            <w:r>
              <w:br/>
              <w:t xml:space="preserve">og utvikling </w:t>
            </w:r>
          </w:p>
        </w:tc>
        <w:tc>
          <w:tcPr>
            <w:tcW w:w="620" w:type="dxa"/>
          </w:tcPr>
          <w:p w:rsidR="00557A6F" w:rsidRDefault="00557A6F" w:rsidP="00AF5F55">
            <w:pPr>
              <w:jc w:val="right"/>
            </w:pPr>
            <w:r>
              <w:t xml:space="preserve">LMD </w:t>
            </w:r>
          </w:p>
        </w:tc>
        <w:tc>
          <w:tcPr>
            <w:tcW w:w="760" w:type="dxa"/>
          </w:tcPr>
          <w:p w:rsidR="00557A6F" w:rsidRDefault="00557A6F" w:rsidP="00AF5F55">
            <w:pPr>
              <w:jc w:val="right"/>
            </w:pPr>
            <w:r>
              <w:t xml:space="preserve">B </w:t>
            </w:r>
          </w:p>
        </w:tc>
        <w:tc>
          <w:tcPr>
            <w:tcW w:w="1100" w:type="dxa"/>
          </w:tcPr>
          <w:p w:rsidR="00557A6F" w:rsidRDefault="00557A6F" w:rsidP="00AF5F55">
            <w:pPr>
              <w:jc w:val="right"/>
            </w:pPr>
            <w:r>
              <w:t xml:space="preserve">1150/50 </w:t>
            </w:r>
          </w:p>
        </w:tc>
        <w:tc>
          <w:tcPr>
            <w:tcW w:w="1140" w:type="dxa"/>
          </w:tcPr>
          <w:p w:rsidR="00557A6F" w:rsidRDefault="00557A6F" w:rsidP="00AF5F55">
            <w:pPr>
              <w:jc w:val="right"/>
            </w:pPr>
            <w:r>
              <w:t>643 657</w:t>
            </w:r>
          </w:p>
        </w:tc>
        <w:tc>
          <w:tcPr>
            <w:tcW w:w="1140" w:type="dxa"/>
          </w:tcPr>
          <w:p w:rsidR="00557A6F" w:rsidRDefault="00557A6F" w:rsidP="00AF5F55">
            <w:pPr>
              <w:jc w:val="right"/>
            </w:pPr>
            <w:r>
              <w:t>634 500</w:t>
            </w:r>
          </w:p>
        </w:tc>
        <w:tc>
          <w:tcPr>
            <w:tcW w:w="1140" w:type="dxa"/>
          </w:tcPr>
          <w:p w:rsidR="00557A6F" w:rsidRDefault="00557A6F" w:rsidP="00AF5F55">
            <w:pPr>
              <w:jc w:val="right"/>
            </w:pPr>
            <w:r>
              <w:t>634 500</w:t>
            </w:r>
          </w:p>
        </w:tc>
      </w:tr>
      <w:tr w:rsidR="00557A6F" w:rsidTr="00557A6F">
        <w:trPr>
          <w:trHeight w:val="380"/>
        </w:trPr>
        <w:tc>
          <w:tcPr>
            <w:tcW w:w="3620" w:type="dxa"/>
          </w:tcPr>
          <w:p w:rsidR="00557A6F" w:rsidRDefault="00557A6F" w:rsidP="00557A6F">
            <w:r>
              <w:t>Utgreiings- og tilretteleggingsmi</w:t>
            </w:r>
            <w:r>
              <w:t>d</w:t>
            </w:r>
            <w:r>
              <w:t>ler</w:t>
            </w:r>
          </w:p>
        </w:tc>
        <w:tc>
          <w:tcPr>
            <w:tcW w:w="620" w:type="dxa"/>
          </w:tcPr>
          <w:p w:rsidR="00557A6F" w:rsidRDefault="00557A6F" w:rsidP="00AF5F55">
            <w:pPr>
              <w:jc w:val="right"/>
            </w:pPr>
            <w:r>
              <w:t xml:space="preserve">LMD </w:t>
            </w:r>
          </w:p>
        </w:tc>
        <w:tc>
          <w:tcPr>
            <w:tcW w:w="760" w:type="dxa"/>
          </w:tcPr>
          <w:p w:rsidR="00557A6F" w:rsidRDefault="00557A6F" w:rsidP="00AF5F55">
            <w:pPr>
              <w:jc w:val="right"/>
            </w:pPr>
            <w:r>
              <w:t xml:space="preserve">B </w:t>
            </w:r>
          </w:p>
        </w:tc>
        <w:tc>
          <w:tcPr>
            <w:tcW w:w="1100" w:type="dxa"/>
          </w:tcPr>
          <w:p w:rsidR="00557A6F" w:rsidRDefault="00557A6F" w:rsidP="00AF5F55">
            <w:pPr>
              <w:jc w:val="right"/>
            </w:pPr>
            <w:r>
              <w:t xml:space="preserve">1150/50 </w:t>
            </w:r>
          </w:p>
        </w:tc>
        <w:tc>
          <w:tcPr>
            <w:tcW w:w="1140" w:type="dxa"/>
          </w:tcPr>
          <w:p w:rsidR="00557A6F" w:rsidRDefault="00557A6F" w:rsidP="00AF5F55">
            <w:pPr>
              <w:jc w:val="right"/>
            </w:pPr>
            <w:r>
              <w:t>52 719</w:t>
            </w:r>
          </w:p>
        </w:tc>
        <w:tc>
          <w:tcPr>
            <w:tcW w:w="1140" w:type="dxa"/>
          </w:tcPr>
          <w:p w:rsidR="00557A6F" w:rsidRDefault="00557A6F" w:rsidP="00AF5F55">
            <w:pPr>
              <w:jc w:val="right"/>
            </w:pPr>
            <w:r>
              <w:t>48 000</w:t>
            </w:r>
          </w:p>
        </w:tc>
        <w:tc>
          <w:tcPr>
            <w:tcW w:w="1140" w:type="dxa"/>
          </w:tcPr>
          <w:p w:rsidR="00557A6F" w:rsidRDefault="00557A6F" w:rsidP="00AF5F55">
            <w:pPr>
              <w:jc w:val="right"/>
            </w:pPr>
            <w:r>
              <w:t>48 000</w:t>
            </w:r>
          </w:p>
        </w:tc>
      </w:tr>
      <w:tr w:rsidR="00557A6F" w:rsidTr="00557A6F">
        <w:trPr>
          <w:trHeight w:val="620"/>
        </w:trPr>
        <w:tc>
          <w:tcPr>
            <w:tcW w:w="3620" w:type="dxa"/>
          </w:tcPr>
          <w:p w:rsidR="00557A6F" w:rsidRDefault="00557A6F" w:rsidP="00557A6F">
            <w:r>
              <w:t>Skattefritak for investering i landbr</w:t>
            </w:r>
            <w:r>
              <w:t>u</w:t>
            </w:r>
            <w:r>
              <w:t>ket (IBU-midler) under LMD</w:t>
            </w:r>
          </w:p>
        </w:tc>
        <w:tc>
          <w:tcPr>
            <w:tcW w:w="620" w:type="dxa"/>
          </w:tcPr>
          <w:p w:rsidR="00557A6F" w:rsidRDefault="00557A6F" w:rsidP="00AF5F55">
            <w:pPr>
              <w:jc w:val="right"/>
            </w:pPr>
            <w:r>
              <w:t>FIN</w:t>
            </w:r>
          </w:p>
        </w:tc>
        <w:tc>
          <w:tcPr>
            <w:tcW w:w="760" w:type="dxa"/>
          </w:tcPr>
          <w:p w:rsidR="00557A6F" w:rsidRDefault="00557A6F" w:rsidP="00AF5F55">
            <w:pPr>
              <w:jc w:val="right"/>
            </w:pPr>
            <w:r>
              <w:t>A</w:t>
            </w:r>
          </w:p>
        </w:tc>
        <w:tc>
          <w:tcPr>
            <w:tcW w:w="1100" w:type="dxa"/>
          </w:tcPr>
          <w:p w:rsidR="00557A6F" w:rsidRDefault="00557A6F" w:rsidP="00AF5F55">
            <w:pPr>
              <w:jc w:val="right"/>
            </w:pPr>
            <w:r>
              <w:t>inntekt</w:t>
            </w:r>
            <w:r>
              <w:t>s</w:t>
            </w:r>
            <w:r>
              <w:t>tap</w:t>
            </w:r>
          </w:p>
        </w:tc>
        <w:tc>
          <w:tcPr>
            <w:tcW w:w="1140" w:type="dxa"/>
          </w:tcPr>
          <w:p w:rsidR="00557A6F" w:rsidRDefault="00557A6F" w:rsidP="00AF5F55">
            <w:pPr>
              <w:jc w:val="right"/>
            </w:pPr>
            <w:r>
              <w:t>75 000</w:t>
            </w:r>
          </w:p>
        </w:tc>
        <w:tc>
          <w:tcPr>
            <w:tcW w:w="1140" w:type="dxa"/>
          </w:tcPr>
          <w:p w:rsidR="00557A6F" w:rsidRDefault="00557A6F" w:rsidP="00AF5F55">
            <w:pPr>
              <w:jc w:val="right"/>
            </w:pPr>
            <w:r>
              <w:t>85 000</w:t>
            </w:r>
          </w:p>
        </w:tc>
        <w:tc>
          <w:tcPr>
            <w:tcW w:w="1140" w:type="dxa"/>
          </w:tcPr>
          <w:p w:rsidR="00557A6F" w:rsidRDefault="00557A6F" w:rsidP="00AF5F55">
            <w:pPr>
              <w:jc w:val="right"/>
            </w:pPr>
            <w:r>
              <w:t>85 000</w:t>
            </w:r>
          </w:p>
        </w:tc>
      </w:tr>
      <w:tr w:rsidR="00557A6F" w:rsidTr="00557A6F">
        <w:trPr>
          <w:trHeight w:val="620"/>
        </w:trPr>
        <w:tc>
          <w:tcPr>
            <w:tcW w:w="3620" w:type="dxa"/>
          </w:tcPr>
          <w:p w:rsidR="00557A6F" w:rsidRDefault="00557A6F" w:rsidP="00557A6F">
            <w:r>
              <w:t xml:space="preserve">Skattefritak for distriktsrettet </w:t>
            </w:r>
            <w:r>
              <w:br/>
              <w:t>investeringsstøtte</w:t>
            </w:r>
          </w:p>
        </w:tc>
        <w:tc>
          <w:tcPr>
            <w:tcW w:w="620" w:type="dxa"/>
          </w:tcPr>
          <w:p w:rsidR="00557A6F" w:rsidRDefault="00557A6F" w:rsidP="00AF5F55">
            <w:pPr>
              <w:jc w:val="right"/>
            </w:pPr>
            <w:r>
              <w:t>FIN</w:t>
            </w:r>
          </w:p>
        </w:tc>
        <w:tc>
          <w:tcPr>
            <w:tcW w:w="760" w:type="dxa"/>
          </w:tcPr>
          <w:p w:rsidR="00557A6F" w:rsidRDefault="00557A6F" w:rsidP="00AF5F55">
            <w:pPr>
              <w:jc w:val="right"/>
            </w:pPr>
            <w:r>
              <w:t>A</w:t>
            </w:r>
          </w:p>
        </w:tc>
        <w:tc>
          <w:tcPr>
            <w:tcW w:w="1100" w:type="dxa"/>
          </w:tcPr>
          <w:p w:rsidR="00557A6F" w:rsidRDefault="00557A6F" w:rsidP="00AF5F55">
            <w:pPr>
              <w:jc w:val="right"/>
            </w:pPr>
            <w:r>
              <w:t>inntekt</w:t>
            </w:r>
            <w:r>
              <w:t>s</w:t>
            </w:r>
            <w:r>
              <w:t>tap</w:t>
            </w:r>
          </w:p>
        </w:tc>
        <w:tc>
          <w:tcPr>
            <w:tcW w:w="1140" w:type="dxa"/>
          </w:tcPr>
          <w:p w:rsidR="00557A6F" w:rsidRDefault="00557A6F" w:rsidP="00AF5F55">
            <w:pPr>
              <w:jc w:val="right"/>
            </w:pPr>
            <w:r>
              <w:t>28 000</w:t>
            </w:r>
          </w:p>
        </w:tc>
        <w:tc>
          <w:tcPr>
            <w:tcW w:w="1140" w:type="dxa"/>
          </w:tcPr>
          <w:p w:rsidR="00557A6F" w:rsidRDefault="00557A6F" w:rsidP="00AF5F55">
            <w:pPr>
              <w:jc w:val="right"/>
            </w:pPr>
            <w:r>
              <w:t>24 000</w:t>
            </w:r>
          </w:p>
        </w:tc>
        <w:tc>
          <w:tcPr>
            <w:tcW w:w="1140" w:type="dxa"/>
          </w:tcPr>
          <w:p w:rsidR="00557A6F" w:rsidRDefault="00557A6F" w:rsidP="00AF5F55">
            <w:pPr>
              <w:jc w:val="right"/>
            </w:pPr>
            <w:r>
              <w:t>24 000</w:t>
            </w:r>
          </w:p>
        </w:tc>
      </w:tr>
      <w:tr w:rsidR="00557A6F" w:rsidTr="00557A6F">
        <w:trPr>
          <w:trHeight w:val="620"/>
        </w:trPr>
        <w:tc>
          <w:tcPr>
            <w:tcW w:w="3620" w:type="dxa"/>
          </w:tcPr>
          <w:p w:rsidR="00557A6F" w:rsidRDefault="00557A6F" w:rsidP="00557A6F">
            <w:r>
              <w:t xml:space="preserve">Forhøyet avskrivningssats for </w:t>
            </w:r>
            <w:r>
              <w:br/>
              <w:t>husdyrbygg</w:t>
            </w:r>
          </w:p>
        </w:tc>
        <w:tc>
          <w:tcPr>
            <w:tcW w:w="620" w:type="dxa"/>
          </w:tcPr>
          <w:p w:rsidR="00557A6F" w:rsidRDefault="00557A6F" w:rsidP="00AF5F55">
            <w:pPr>
              <w:jc w:val="right"/>
            </w:pPr>
            <w:r>
              <w:t>FIN</w:t>
            </w:r>
          </w:p>
        </w:tc>
        <w:tc>
          <w:tcPr>
            <w:tcW w:w="760" w:type="dxa"/>
          </w:tcPr>
          <w:p w:rsidR="00557A6F" w:rsidRDefault="00557A6F" w:rsidP="00AF5F55">
            <w:pPr>
              <w:jc w:val="right"/>
            </w:pPr>
            <w:r>
              <w:t>B</w:t>
            </w:r>
          </w:p>
        </w:tc>
        <w:tc>
          <w:tcPr>
            <w:tcW w:w="1100" w:type="dxa"/>
          </w:tcPr>
          <w:p w:rsidR="00557A6F" w:rsidRDefault="00557A6F" w:rsidP="00AF5F55">
            <w:pPr>
              <w:jc w:val="right"/>
            </w:pPr>
            <w:r>
              <w:t>inntekt</w:t>
            </w:r>
            <w:r>
              <w:t>s</w:t>
            </w:r>
            <w:r>
              <w:t>tap</w:t>
            </w:r>
          </w:p>
        </w:tc>
        <w:tc>
          <w:tcPr>
            <w:tcW w:w="1140" w:type="dxa"/>
          </w:tcPr>
          <w:p w:rsidR="00557A6F" w:rsidRDefault="00557A6F" w:rsidP="00AF5F55">
            <w:pPr>
              <w:jc w:val="right"/>
            </w:pPr>
            <w:r>
              <w:t>50 000</w:t>
            </w:r>
          </w:p>
        </w:tc>
        <w:tc>
          <w:tcPr>
            <w:tcW w:w="1140" w:type="dxa"/>
          </w:tcPr>
          <w:p w:rsidR="00557A6F" w:rsidRDefault="00557A6F" w:rsidP="00AF5F55">
            <w:pPr>
              <w:jc w:val="right"/>
            </w:pPr>
            <w:r>
              <w:t>50 000</w:t>
            </w:r>
          </w:p>
        </w:tc>
        <w:tc>
          <w:tcPr>
            <w:tcW w:w="1140" w:type="dxa"/>
          </w:tcPr>
          <w:p w:rsidR="00557A6F" w:rsidRDefault="00557A6F" w:rsidP="00AF5F55">
            <w:pPr>
              <w:jc w:val="right"/>
            </w:pPr>
            <w:r>
              <w:t>50 000</w:t>
            </w:r>
          </w:p>
        </w:tc>
      </w:tr>
      <w:tr w:rsidR="00557A6F" w:rsidTr="00557A6F">
        <w:trPr>
          <w:trHeight w:val="380"/>
        </w:trPr>
        <w:tc>
          <w:tcPr>
            <w:tcW w:w="3620" w:type="dxa"/>
          </w:tcPr>
          <w:p w:rsidR="00557A6F" w:rsidRDefault="00557A6F" w:rsidP="00557A6F">
            <w:r>
              <w:t>Skogfondsordningen</w:t>
            </w:r>
          </w:p>
        </w:tc>
        <w:tc>
          <w:tcPr>
            <w:tcW w:w="620" w:type="dxa"/>
          </w:tcPr>
          <w:p w:rsidR="00557A6F" w:rsidRDefault="00557A6F" w:rsidP="00AF5F55">
            <w:pPr>
              <w:jc w:val="right"/>
            </w:pPr>
            <w:r>
              <w:t>FIN</w:t>
            </w:r>
          </w:p>
        </w:tc>
        <w:tc>
          <w:tcPr>
            <w:tcW w:w="760" w:type="dxa"/>
          </w:tcPr>
          <w:p w:rsidR="00557A6F" w:rsidRDefault="00557A6F" w:rsidP="00AF5F55">
            <w:pPr>
              <w:jc w:val="right"/>
            </w:pPr>
            <w:r>
              <w:t>B</w:t>
            </w:r>
          </w:p>
        </w:tc>
        <w:tc>
          <w:tcPr>
            <w:tcW w:w="1100" w:type="dxa"/>
          </w:tcPr>
          <w:p w:rsidR="00557A6F" w:rsidRDefault="00557A6F" w:rsidP="00AF5F55">
            <w:pPr>
              <w:jc w:val="right"/>
            </w:pPr>
            <w:r>
              <w:t>inntekt</w:t>
            </w:r>
            <w:r>
              <w:t>s</w:t>
            </w:r>
            <w:r>
              <w:t>tap</w:t>
            </w:r>
          </w:p>
        </w:tc>
        <w:tc>
          <w:tcPr>
            <w:tcW w:w="1140" w:type="dxa"/>
          </w:tcPr>
          <w:p w:rsidR="00557A6F" w:rsidRDefault="00557A6F" w:rsidP="00AF5F55">
            <w:pPr>
              <w:jc w:val="right"/>
            </w:pPr>
            <w:r>
              <w:t>125 000</w:t>
            </w:r>
          </w:p>
        </w:tc>
        <w:tc>
          <w:tcPr>
            <w:tcW w:w="1140" w:type="dxa"/>
          </w:tcPr>
          <w:p w:rsidR="00557A6F" w:rsidRDefault="00557A6F" w:rsidP="00AF5F55">
            <w:pPr>
              <w:jc w:val="right"/>
            </w:pPr>
            <w:r>
              <w:t>130 000</w:t>
            </w:r>
          </w:p>
        </w:tc>
        <w:tc>
          <w:tcPr>
            <w:tcW w:w="1140" w:type="dxa"/>
          </w:tcPr>
          <w:p w:rsidR="00557A6F" w:rsidRDefault="00557A6F" w:rsidP="00AF5F55">
            <w:pPr>
              <w:jc w:val="right"/>
            </w:pPr>
            <w:r>
              <w:t>130 000</w:t>
            </w:r>
          </w:p>
        </w:tc>
      </w:tr>
      <w:tr w:rsidR="00557A6F" w:rsidTr="00557A6F">
        <w:trPr>
          <w:trHeight w:val="620"/>
        </w:trPr>
        <w:tc>
          <w:tcPr>
            <w:tcW w:w="3620" w:type="dxa"/>
          </w:tcPr>
          <w:p w:rsidR="00557A6F" w:rsidRDefault="00557A6F" w:rsidP="00557A6F">
            <w:r>
              <w:t>Direkte utgiftsføring av skogsveii</w:t>
            </w:r>
            <w:r>
              <w:t>n</w:t>
            </w:r>
            <w:r>
              <w:t>vesteringer</w:t>
            </w:r>
          </w:p>
        </w:tc>
        <w:tc>
          <w:tcPr>
            <w:tcW w:w="620" w:type="dxa"/>
          </w:tcPr>
          <w:p w:rsidR="00557A6F" w:rsidRDefault="00557A6F" w:rsidP="00AF5F55">
            <w:pPr>
              <w:jc w:val="right"/>
            </w:pPr>
            <w:r>
              <w:t>FIN</w:t>
            </w:r>
          </w:p>
        </w:tc>
        <w:tc>
          <w:tcPr>
            <w:tcW w:w="760" w:type="dxa"/>
          </w:tcPr>
          <w:p w:rsidR="00557A6F" w:rsidRDefault="00557A6F" w:rsidP="00AF5F55">
            <w:pPr>
              <w:jc w:val="right"/>
            </w:pPr>
            <w:r>
              <w:t>B</w:t>
            </w:r>
          </w:p>
        </w:tc>
        <w:tc>
          <w:tcPr>
            <w:tcW w:w="1100" w:type="dxa"/>
          </w:tcPr>
          <w:p w:rsidR="00557A6F" w:rsidRDefault="00557A6F" w:rsidP="00AF5F55">
            <w:pPr>
              <w:jc w:val="right"/>
            </w:pPr>
            <w:r>
              <w:t>inntekt</w:t>
            </w:r>
            <w:r>
              <w:t>s</w:t>
            </w:r>
            <w:r>
              <w:t>tap</w:t>
            </w:r>
          </w:p>
        </w:tc>
        <w:tc>
          <w:tcPr>
            <w:tcW w:w="1140" w:type="dxa"/>
          </w:tcPr>
          <w:p w:rsidR="00557A6F" w:rsidRDefault="00557A6F" w:rsidP="00AF5F55">
            <w:pPr>
              <w:jc w:val="right"/>
            </w:pPr>
            <w:r>
              <w:t>35 000</w:t>
            </w:r>
          </w:p>
        </w:tc>
        <w:tc>
          <w:tcPr>
            <w:tcW w:w="1140" w:type="dxa"/>
          </w:tcPr>
          <w:p w:rsidR="00557A6F" w:rsidRDefault="00557A6F" w:rsidP="00AF5F55">
            <w:pPr>
              <w:jc w:val="right"/>
            </w:pPr>
            <w:r>
              <w:t>40 000</w:t>
            </w:r>
          </w:p>
        </w:tc>
        <w:tc>
          <w:tcPr>
            <w:tcW w:w="1140" w:type="dxa"/>
          </w:tcPr>
          <w:p w:rsidR="00557A6F" w:rsidRDefault="00557A6F" w:rsidP="00AF5F55">
            <w:pPr>
              <w:jc w:val="right"/>
            </w:pPr>
            <w:r>
              <w:t>40 000</w:t>
            </w:r>
          </w:p>
        </w:tc>
      </w:tr>
      <w:tr w:rsidR="00557A6F" w:rsidTr="00557A6F">
        <w:trPr>
          <w:trHeight w:val="380"/>
        </w:trPr>
        <w:tc>
          <w:tcPr>
            <w:tcW w:w="3620" w:type="dxa"/>
          </w:tcPr>
          <w:p w:rsidR="00557A6F" w:rsidRDefault="00557A6F" w:rsidP="00557A6F">
            <w:r>
              <w:t>Lav skogfaktor i formuesskatten</w:t>
            </w:r>
          </w:p>
        </w:tc>
        <w:tc>
          <w:tcPr>
            <w:tcW w:w="620" w:type="dxa"/>
          </w:tcPr>
          <w:p w:rsidR="00557A6F" w:rsidRDefault="00557A6F" w:rsidP="00AF5F55">
            <w:pPr>
              <w:jc w:val="right"/>
            </w:pPr>
            <w:r>
              <w:t>FIN</w:t>
            </w:r>
          </w:p>
        </w:tc>
        <w:tc>
          <w:tcPr>
            <w:tcW w:w="760" w:type="dxa"/>
          </w:tcPr>
          <w:p w:rsidR="00557A6F" w:rsidRDefault="00557A6F" w:rsidP="00AF5F55">
            <w:pPr>
              <w:jc w:val="right"/>
            </w:pPr>
            <w:r>
              <w:t>B</w:t>
            </w:r>
          </w:p>
        </w:tc>
        <w:tc>
          <w:tcPr>
            <w:tcW w:w="1100" w:type="dxa"/>
          </w:tcPr>
          <w:p w:rsidR="00557A6F" w:rsidRDefault="00557A6F" w:rsidP="00AF5F55">
            <w:pPr>
              <w:jc w:val="right"/>
            </w:pPr>
            <w:r>
              <w:t>inntekt</w:t>
            </w:r>
            <w:r>
              <w:t>s</w:t>
            </w:r>
            <w:r>
              <w:t>tap</w:t>
            </w:r>
          </w:p>
        </w:tc>
        <w:tc>
          <w:tcPr>
            <w:tcW w:w="1140" w:type="dxa"/>
          </w:tcPr>
          <w:p w:rsidR="00557A6F" w:rsidRDefault="00557A6F" w:rsidP="00AF5F55">
            <w:pPr>
              <w:jc w:val="right"/>
            </w:pPr>
            <w:r>
              <w:t>5 000</w:t>
            </w:r>
          </w:p>
        </w:tc>
        <w:tc>
          <w:tcPr>
            <w:tcW w:w="1140" w:type="dxa"/>
          </w:tcPr>
          <w:p w:rsidR="00557A6F" w:rsidRDefault="00557A6F" w:rsidP="00AF5F55">
            <w:pPr>
              <w:jc w:val="right"/>
            </w:pPr>
            <w:r>
              <w:t>5 000</w:t>
            </w:r>
          </w:p>
        </w:tc>
        <w:tc>
          <w:tcPr>
            <w:tcW w:w="1140" w:type="dxa"/>
          </w:tcPr>
          <w:p w:rsidR="00557A6F" w:rsidRDefault="00557A6F" w:rsidP="00AF5F55">
            <w:pPr>
              <w:jc w:val="right"/>
            </w:pPr>
            <w:r>
              <w:t>5 000</w:t>
            </w:r>
          </w:p>
        </w:tc>
      </w:tr>
      <w:tr w:rsidR="00557A6F" w:rsidTr="00557A6F">
        <w:trPr>
          <w:trHeight w:val="380"/>
        </w:trPr>
        <w:tc>
          <w:tcPr>
            <w:tcW w:w="3620" w:type="dxa"/>
          </w:tcPr>
          <w:p w:rsidR="00557A6F" w:rsidRDefault="00557A6F" w:rsidP="00557A6F">
            <w:r>
              <w:t xml:space="preserve">Rentestøtte </w:t>
            </w:r>
          </w:p>
        </w:tc>
        <w:tc>
          <w:tcPr>
            <w:tcW w:w="620" w:type="dxa"/>
          </w:tcPr>
          <w:p w:rsidR="00557A6F" w:rsidRDefault="00557A6F" w:rsidP="00AF5F55">
            <w:pPr>
              <w:jc w:val="right"/>
            </w:pPr>
            <w:r>
              <w:t xml:space="preserve">LMD </w:t>
            </w:r>
          </w:p>
        </w:tc>
        <w:tc>
          <w:tcPr>
            <w:tcW w:w="760" w:type="dxa"/>
          </w:tcPr>
          <w:p w:rsidR="00557A6F" w:rsidRDefault="00557A6F" w:rsidP="00AF5F55">
            <w:pPr>
              <w:jc w:val="right"/>
            </w:pPr>
            <w:r>
              <w:t xml:space="preserve">B </w:t>
            </w:r>
          </w:p>
        </w:tc>
        <w:tc>
          <w:tcPr>
            <w:tcW w:w="1100" w:type="dxa"/>
          </w:tcPr>
          <w:p w:rsidR="00557A6F" w:rsidRDefault="00557A6F" w:rsidP="00AF5F55">
            <w:pPr>
              <w:jc w:val="right"/>
            </w:pPr>
            <w:r>
              <w:t xml:space="preserve">1150/50 </w:t>
            </w:r>
          </w:p>
        </w:tc>
        <w:tc>
          <w:tcPr>
            <w:tcW w:w="1140" w:type="dxa"/>
          </w:tcPr>
          <w:p w:rsidR="00557A6F" w:rsidRDefault="00557A6F" w:rsidP="00AF5F55">
            <w:pPr>
              <w:jc w:val="right"/>
            </w:pPr>
            <w:r>
              <w:t>30 185</w:t>
            </w:r>
          </w:p>
        </w:tc>
        <w:tc>
          <w:tcPr>
            <w:tcW w:w="1140" w:type="dxa"/>
          </w:tcPr>
          <w:p w:rsidR="00557A6F" w:rsidRDefault="00557A6F" w:rsidP="00AF5F55">
            <w:pPr>
              <w:jc w:val="right"/>
            </w:pPr>
            <w:r>
              <w:t>40 000</w:t>
            </w:r>
          </w:p>
        </w:tc>
        <w:tc>
          <w:tcPr>
            <w:tcW w:w="1140" w:type="dxa"/>
          </w:tcPr>
          <w:p w:rsidR="00557A6F" w:rsidRDefault="00557A6F" w:rsidP="00AF5F55">
            <w:pPr>
              <w:jc w:val="right"/>
            </w:pPr>
            <w:r>
              <w:t>31 000</w:t>
            </w:r>
          </w:p>
        </w:tc>
      </w:tr>
      <w:tr w:rsidR="00557A6F" w:rsidTr="00557A6F">
        <w:trPr>
          <w:trHeight w:val="880"/>
        </w:trPr>
        <w:tc>
          <w:tcPr>
            <w:tcW w:w="3620" w:type="dxa"/>
          </w:tcPr>
          <w:p w:rsidR="00557A6F" w:rsidRDefault="00557A6F" w:rsidP="00557A6F">
            <w:r>
              <w:t xml:space="preserve">Verdiskapningsprogrammet for </w:t>
            </w:r>
            <w:r>
              <w:br/>
              <w:t>fornybar energi og teknologiutvi</w:t>
            </w:r>
            <w:r>
              <w:t>k</w:t>
            </w:r>
            <w:r>
              <w:t xml:space="preserve">ling i landbruket </w:t>
            </w:r>
          </w:p>
        </w:tc>
        <w:tc>
          <w:tcPr>
            <w:tcW w:w="620" w:type="dxa"/>
          </w:tcPr>
          <w:p w:rsidR="00557A6F" w:rsidRDefault="00557A6F" w:rsidP="00AF5F55">
            <w:pPr>
              <w:jc w:val="right"/>
            </w:pPr>
            <w:r>
              <w:t xml:space="preserve">LMD </w:t>
            </w:r>
          </w:p>
        </w:tc>
        <w:tc>
          <w:tcPr>
            <w:tcW w:w="760" w:type="dxa"/>
          </w:tcPr>
          <w:p w:rsidR="00557A6F" w:rsidRDefault="00557A6F" w:rsidP="00AF5F55">
            <w:pPr>
              <w:jc w:val="right"/>
            </w:pPr>
            <w:r>
              <w:t xml:space="preserve">B </w:t>
            </w:r>
          </w:p>
        </w:tc>
        <w:tc>
          <w:tcPr>
            <w:tcW w:w="1100" w:type="dxa"/>
          </w:tcPr>
          <w:p w:rsidR="00557A6F" w:rsidRDefault="00557A6F" w:rsidP="00AF5F55">
            <w:pPr>
              <w:jc w:val="right"/>
            </w:pPr>
            <w:r>
              <w:t xml:space="preserve">1150/50 </w:t>
            </w:r>
          </w:p>
        </w:tc>
        <w:tc>
          <w:tcPr>
            <w:tcW w:w="1140" w:type="dxa"/>
          </w:tcPr>
          <w:p w:rsidR="00557A6F" w:rsidRDefault="00557A6F" w:rsidP="00AF5F55">
            <w:pPr>
              <w:jc w:val="right"/>
            </w:pPr>
            <w:r>
              <w:t>63 000</w:t>
            </w:r>
          </w:p>
        </w:tc>
        <w:tc>
          <w:tcPr>
            <w:tcW w:w="1140" w:type="dxa"/>
          </w:tcPr>
          <w:p w:rsidR="00557A6F" w:rsidRDefault="00557A6F" w:rsidP="00AF5F55">
            <w:pPr>
              <w:jc w:val="right"/>
            </w:pPr>
            <w:r>
              <w:t>77 000</w:t>
            </w:r>
          </w:p>
        </w:tc>
        <w:tc>
          <w:tcPr>
            <w:tcW w:w="1140" w:type="dxa"/>
          </w:tcPr>
          <w:p w:rsidR="00557A6F" w:rsidRDefault="00557A6F" w:rsidP="00AF5F55">
            <w:pPr>
              <w:jc w:val="right"/>
            </w:pPr>
            <w:r>
              <w:t>87 000</w:t>
            </w:r>
          </w:p>
        </w:tc>
      </w:tr>
      <w:tr w:rsidR="00557A6F" w:rsidTr="00557A6F">
        <w:trPr>
          <w:trHeight w:val="380"/>
        </w:trPr>
        <w:tc>
          <w:tcPr>
            <w:tcW w:w="3620" w:type="dxa"/>
          </w:tcPr>
          <w:p w:rsidR="00557A6F" w:rsidRDefault="00557A6F" w:rsidP="00557A6F">
            <w:r>
              <w:t xml:space="preserve">Skogbruk </w:t>
            </w:r>
          </w:p>
        </w:tc>
        <w:tc>
          <w:tcPr>
            <w:tcW w:w="620" w:type="dxa"/>
          </w:tcPr>
          <w:p w:rsidR="00557A6F" w:rsidRDefault="00557A6F" w:rsidP="00AF5F55">
            <w:pPr>
              <w:jc w:val="right"/>
            </w:pPr>
            <w:r>
              <w:t xml:space="preserve">LMD </w:t>
            </w:r>
          </w:p>
        </w:tc>
        <w:tc>
          <w:tcPr>
            <w:tcW w:w="760" w:type="dxa"/>
          </w:tcPr>
          <w:p w:rsidR="00557A6F" w:rsidRDefault="00557A6F" w:rsidP="00AF5F55">
            <w:pPr>
              <w:jc w:val="right"/>
            </w:pPr>
            <w:r>
              <w:t xml:space="preserve">B </w:t>
            </w:r>
          </w:p>
        </w:tc>
        <w:tc>
          <w:tcPr>
            <w:tcW w:w="1100" w:type="dxa"/>
          </w:tcPr>
          <w:p w:rsidR="00557A6F" w:rsidRDefault="00557A6F" w:rsidP="00AF5F55">
            <w:pPr>
              <w:jc w:val="right"/>
            </w:pPr>
            <w:r>
              <w:t xml:space="preserve">1150/50 </w:t>
            </w:r>
          </w:p>
        </w:tc>
        <w:tc>
          <w:tcPr>
            <w:tcW w:w="1140" w:type="dxa"/>
          </w:tcPr>
          <w:p w:rsidR="00557A6F" w:rsidRDefault="00557A6F" w:rsidP="00AF5F55">
            <w:pPr>
              <w:jc w:val="right"/>
            </w:pPr>
            <w:r>
              <w:t>218 000</w:t>
            </w:r>
          </w:p>
        </w:tc>
        <w:tc>
          <w:tcPr>
            <w:tcW w:w="1140" w:type="dxa"/>
          </w:tcPr>
          <w:p w:rsidR="00557A6F" w:rsidRDefault="00557A6F" w:rsidP="00AF5F55">
            <w:pPr>
              <w:jc w:val="right"/>
            </w:pPr>
            <w:r>
              <w:t>242 000</w:t>
            </w:r>
          </w:p>
        </w:tc>
        <w:tc>
          <w:tcPr>
            <w:tcW w:w="1140" w:type="dxa"/>
          </w:tcPr>
          <w:p w:rsidR="00557A6F" w:rsidRDefault="00557A6F" w:rsidP="00AF5F55">
            <w:pPr>
              <w:jc w:val="right"/>
            </w:pPr>
            <w:r>
              <w:t>257 000</w:t>
            </w:r>
          </w:p>
        </w:tc>
      </w:tr>
      <w:tr w:rsidR="00557A6F" w:rsidTr="00557A6F">
        <w:trPr>
          <w:trHeight w:val="620"/>
        </w:trPr>
        <w:tc>
          <w:tcPr>
            <w:tcW w:w="3620" w:type="dxa"/>
          </w:tcPr>
          <w:p w:rsidR="00557A6F" w:rsidRDefault="00557A6F" w:rsidP="00557A6F">
            <w:r>
              <w:t>Administrasjonsstøtte for distriktsre</w:t>
            </w:r>
            <w:r>
              <w:t>t</w:t>
            </w:r>
            <w:r>
              <w:t>tede såkornfond</w:t>
            </w:r>
          </w:p>
        </w:tc>
        <w:tc>
          <w:tcPr>
            <w:tcW w:w="620" w:type="dxa"/>
          </w:tcPr>
          <w:p w:rsidR="00557A6F" w:rsidRDefault="00557A6F" w:rsidP="00AF5F55">
            <w:pPr>
              <w:jc w:val="right"/>
            </w:pPr>
            <w:r>
              <w:t>NFD</w:t>
            </w:r>
          </w:p>
        </w:tc>
        <w:tc>
          <w:tcPr>
            <w:tcW w:w="760" w:type="dxa"/>
          </w:tcPr>
          <w:p w:rsidR="00557A6F" w:rsidRDefault="00557A6F" w:rsidP="00AF5F55">
            <w:pPr>
              <w:jc w:val="right"/>
            </w:pPr>
            <w:r>
              <w:t>B</w:t>
            </w:r>
          </w:p>
        </w:tc>
        <w:tc>
          <w:tcPr>
            <w:tcW w:w="1100" w:type="dxa"/>
          </w:tcPr>
          <w:p w:rsidR="00557A6F" w:rsidRDefault="00557A6F" w:rsidP="00AF5F55">
            <w:pPr>
              <w:jc w:val="right"/>
            </w:pPr>
            <w:r>
              <w:t>2421/78</w:t>
            </w:r>
          </w:p>
        </w:tc>
        <w:tc>
          <w:tcPr>
            <w:tcW w:w="1140" w:type="dxa"/>
          </w:tcPr>
          <w:p w:rsidR="00557A6F" w:rsidRDefault="00557A6F" w:rsidP="00AF5F55">
            <w:pPr>
              <w:jc w:val="right"/>
            </w:pPr>
            <w:r>
              <w:t>3 400</w:t>
            </w:r>
          </w:p>
        </w:tc>
        <w:tc>
          <w:tcPr>
            <w:tcW w:w="1140" w:type="dxa"/>
          </w:tcPr>
          <w:p w:rsidR="00557A6F" w:rsidRDefault="00557A6F" w:rsidP="00AF5F55">
            <w:pPr>
              <w:jc w:val="right"/>
            </w:pPr>
            <w:r>
              <w:t>3 399</w:t>
            </w:r>
          </w:p>
        </w:tc>
        <w:tc>
          <w:tcPr>
            <w:tcW w:w="1140" w:type="dxa"/>
          </w:tcPr>
          <w:p w:rsidR="00557A6F" w:rsidRDefault="00557A6F" w:rsidP="00AF5F55">
            <w:pPr>
              <w:jc w:val="right"/>
            </w:pPr>
            <w:r>
              <w:t>3 400</w:t>
            </w:r>
          </w:p>
        </w:tc>
      </w:tr>
      <w:tr w:rsidR="00557A6F" w:rsidTr="00557A6F">
        <w:trPr>
          <w:trHeight w:val="620"/>
        </w:trPr>
        <w:tc>
          <w:tcPr>
            <w:tcW w:w="3620" w:type="dxa"/>
          </w:tcPr>
          <w:p w:rsidR="00557A6F" w:rsidRDefault="00557A6F" w:rsidP="00557A6F">
            <w:r>
              <w:lastRenderedPageBreak/>
              <w:t>Tilskudd til kommuner og fylke</w:t>
            </w:r>
            <w:r>
              <w:t>s</w:t>
            </w:r>
            <w:r>
              <w:t>kommuner</w:t>
            </w:r>
            <w:r>
              <w:rPr>
                <w:rStyle w:val="skrift-hevet"/>
                <w:sz w:val="21"/>
                <w:szCs w:val="21"/>
              </w:rPr>
              <w:t>1</w:t>
            </w:r>
          </w:p>
        </w:tc>
        <w:tc>
          <w:tcPr>
            <w:tcW w:w="620" w:type="dxa"/>
          </w:tcPr>
          <w:p w:rsidR="00557A6F" w:rsidRDefault="00557A6F" w:rsidP="00AF5F55">
            <w:pPr>
              <w:jc w:val="right"/>
            </w:pPr>
            <w:r>
              <w:t>NFD</w:t>
            </w:r>
          </w:p>
        </w:tc>
        <w:tc>
          <w:tcPr>
            <w:tcW w:w="760" w:type="dxa"/>
          </w:tcPr>
          <w:p w:rsidR="00557A6F" w:rsidRDefault="00557A6F" w:rsidP="00AF5F55">
            <w:pPr>
              <w:jc w:val="right"/>
            </w:pPr>
            <w:r>
              <w:t>B</w:t>
            </w:r>
          </w:p>
        </w:tc>
        <w:tc>
          <w:tcPr>
            <w:tcW w:w="1100" w:type="dxa"/>
          </w:tcPr>
          <w:p w:rsidR="00557A6F" w:rsidRDefault="00557A6F" w:rsidP="00AF5F55">
            <w:pPr>
              <w:jc w:val="right"/>
            </w:pPr>
            <w:r>
              <w:t>919/60</w:t>
            </w:r>
          </w:p>
        </w:tc>
        <w:tc>
          <w:tcPr>
            <w:tcW w:w="1140" w:type="dxa"/>
          </w:tcPr>
          <w:p w:rsidR="00557A6F" w:rsidRDefault="00557A6F" w:rsidP="00AF5F55">
            <w:pPr>
              <w:jc w:val="right"/>
            </w:pPr>
            <w:r>
              <w:t>2 797 469</w:t>
            </w:r>
          </w:p>
        </w:tc>
        <w:tc>
          <w:tcPr>
            <w:tcW w:w="1140" w:type="dxa"/>
          </w:tcPr>
          <w:p w:rsidR="00557A6F" w:rsidRDefault="00557A6F" w:rsidP="00AF5F55">
            <w:pPr>
              <w:jc w:val="right"/>
            </w:pPr>
            <w:r>
              <w:t>544 146</w:t>
            </w:r>
          </w:p>
        </w:tc>
        <w:tc>
          <w:tcPr>
            <w:tcW w:w="1140" w:type="dxa"/>
          </w:tcPr>
          <w:p w:rsidR="00557A6F" w:rsidRDefault="00557A6F" w:rsidP="00AF5F55">
            <w:pPr>
              <w:jc w:val="right"/>
            </w:pPr>
            <w:r>
              <w:t>0</w:t>
            </w:r>
          </w:p>
        </w:tc>
      </w:tr>
      <w:tr w:rsidR="00557A6F" w:rsidTr="00557A6F">
        <w:trPr>
          <w:trHeight w:val="380"/>
        </w:trPr>
        <w:tc>
          <w:tcPr>
            <w:tcW w:w="3620" w:type="dxa"/>
          </w:tcPr>
          <w:p w:rsidR="00557A6F" w:rsidRDefault="00557A6F" w:rsidP="00557A6F">
            <w:r>
              <w:t>Tilskudd til næringstiltak i fiskeri</w:t>
            </w:r>
            <w:r>
              <w:t>e</w:t>
            </w:r>
            <w:r>
              <w:t>ne</w:t>
            </w:r>
            <w:r>
              <w:rPr>
                <w:rStyle w:val="skrift-hevet"/>
                <w:spacing w:val="-2"/>
                <w:sz w:val="21"/>
                <w:szCs w:val="21"/>
              </w:rPr>
              <w:t>2</w:t>
            </w:r>
          </w:p>
        </w:tc>
        <w:tc>
          <w:tcPr>
            <w:tcW w:w="620" w:type="dxa"/>
          </w:tcPr>
          <w:p w:rsidR="00557A6F" w:rsidRDefault="00557A6F" w:rsidP="00AF5F55">
            <w:pPr>
              <w:jc w:val="right"/>
            </w:pPr>
            <w:r>
              <w:t>NFD</w:t>
            </w:r>
          </w:p>
        </w:tc>
        <w:tc>
          <w:tcPr>
            <w:tcW w:w="760" w:type="dxa"/>
          </w:tcPr>
          <w:p w:rsidR="00557A6F" w:rsidRDefault="00557A6F" w:rsidP="00AF5F55">
            <w:pPr>
              <w:jc w:val="right"/>
            </w:pPr>
            <w:r>
              <w:t>A</w:t>
            </w:r>
          </w:p>
        </w:tc>
        <w:tc>
          <w:tcPr>
            <w:tcW w:w="1100" w:type="dxa"/>
          </w:tcPr>
          <w:p w:rsidR="00557A6F" w:rsidRDefault="00557A6F" w:rsidP="00AF5F55">
            <w:pPr>
              <w:jc w:val="right"/>
            </w:pPr>
            <w:r>
              <w:t>919/75</w:t>
            </w:r>
          </w:p>
        </w:tc>
        <w:tc>
          <w:tcPr>
            <w:tcW w:w="1140" w:type="dxa"/>
          </w:tcPr>
          <w:p w:rsidR="00557A6F" w:rsidRDefault="00557A6F" w:rsidP="00AF5F55">
            <w:pPr>
              <w:jc w:val="right"/>
            </w:pPr>
            <w:r>
              <w:t>29 407</w:t>
            </w:r>
          </w:p>
        </w:tc>
        <w:tc>
          <w:tcPr>
            <w:tcW w:w="1140" w:type="dxa"/>
          </w:tcPr>
          <w:p w:rsidR="00557A6F" w:rsidRDefault="00557A6F" w:rsidP="00AF5F55">
            <w:pPr>
              <w:jc w:val="right"/>
            </w:pPr>
            <w:r>
              <w:t>16 800</w:t>
            </w:r>
          </w:p>
        </w:tc>
        <w:tc>
          <w:tcPr>
            <w:tcW w:w="1140" w:type="dxa"/>
          </w:tcPr>
          <w:p w:rsidR="00557A6F" w:rsidRDefault="00557A6F" w:rsidP="00AF5F55">
            <w:pPr>
              <w:jc w:val="right"/>
            </w:pPr>
            <w:r>
              <w:t>3 000</w:t>
            </w:r>
          </w:p>
        </w:tc>
      </w:tr>
      <w:tr w:rsidR="00557A6F" w:rsidTr="00557A6F">
        <w:trPr>
          <w:trHeight w:val="380"/>
        </w:trPr>
        <w:tc>
          <w:tcPr>
            <w:tcW w:w="3620" w:type="dxa"/>
          </w:tcPr>
          <w:p w:rsidR="00557A6F" w:rsidRDefault="00557A6F" w:rsidP="00557A6F">
            <w:r>
              <w:t>Tilskudd til regional næringsutvi</w:t>
            </w:r>
            <w:r>
              <w:t>k</w:t>
            </w:r>
            <w:r>
              <w:t>ling</w:t>
            </w:r>
            <w:r>
              <w:rPr>
                <w:rStyle w:val="skrift-hevet"/>
                <w:spacing w:val="-2"/>
                <w:sz w:val="21"/>
                <w:szCs w:val="21"/>
              </w:rPr>
              <w:t>3</w:t>
            </w:r>
          </w:p>
        </w:tc>
        <w:tc>
          <w:tcPr>
            <w:tcW w:w="620" w:type="dxa"/>
          </w:tcPr>
          <w:p w:rsidR="00557A6F" w:rsidRDefault="00557A6F" w:rsidP="00AF5F55">
            <w:pPr>
              <w:jc w:val="right"/>
            </w:pPr>
            <w:r>
              <w:t xml:space="preserve">NFD </w:t>
            </w:r>
          </w:p>
        </w:tc>
        <w:tc>
          <w:tcPr>
            <w:tcW w:w="760" w:type="dxa"/>
          </w:tcPr>
          <w:p w:rsidR="00557A6F" w:rsidRDefault="00557A6F" w:rsidP="00AF5F55">
            <w:pPr>
              <w:jc w:val="right"/>
            </w:pPr>
            <w:r>
              <w:t xml:space="preserve">A </w:t>
            </w:r>
          </w:p>
        </w:tc>
        <w:tc>
          <w:tcPr>
            <w:tcW w:w="1100" w:type="dxa"/>
          </w:tcPr>
          <w:p w:rsidR="00557A6F" w:rsidRDefault="00557A6F" w:rsidP="00AF5F55">
            <w:pPr>
              <w:jc w:val="right"/>
            </w:pPr>
            <w:r>
              <w:t xml:space="preserve">900/60 </w:t>
            </w:r>
          </w:p>
        </w:tc>
        <w:tc>
          <w:tcPr>
            <w:tcW w:w="1140" w:type="dxa"/>
          </w:tcPr>
          <w:p w:rsidR="00557A6F" w:rsidRDefault="00557A6F" w:rsidP="00AF5F55">
            <w:pPr>
              <w:jc w:val="right"/>
            </w:pPr>
            <w:r>
              <w:t>15 000</w:t>
            </w:r>
          </w:p>
        </w:tc>
        <w:tc>
          <w:tcPr>
            <w:tcW w:w="1140" w:type="dxa"/>
          </w:tcPr>
          <w:p w:rsidR="00557A6F" w:rsidRDefault="00557A6F" w:rsidP="00AF5F55">
            <w:pPr>
              <w:jc w:val="right"/>
            </w:pPr>
            <w:r>
              <w:t>0</w:t>
            </w:r>
          </w:p>
        </w:tc>
        <w:tc>
          <w:tcPr>
            <w:tcW w:w="1140" w:type="dxa"/>
          </w:tcPr>
          <w:p w:rsidR="00557A6F" w:rsidRDefault="00557A6F" w:rsidP="00AF5F55">
            <w:pPr>
              <w:jc w:val="right"/>
            </w:pPr>
            <w:r>
              <w:t>0</w:t>
            </w:r>
          </w:p>
        </w:tc>
      </w:tr>
      <w:tr w:rsidR="00557A6F" w:rsidTr="00557A6F">
        <w:trPr>
          <w:trHeight w:val="380"/>
        </w:trPr>
        <w:tc>
          <w:tcPr>
            <w:tcW w:w="3620" w:type="dxa"/>
          </w:tcPr>
          <w:p w:rsidR="00557A6F" w:rsidRDefault="00557A6F" w:rsidP="00557A6F">
            <w:r>
              <w:t>Særfradrag for fiskere</w:t>
            </w:r>
          </w:p>
        </w:tc>
        <w:tc>
          <w:tcPr>
            <w:tcW w:w="620" w:type="dxa"/>
          </w:tcPr>
          <w:p w:rsidR="00557A6F" w:rsidRDefault="00557A6F" w:rsidP="00AF5F55">
            <w:pPr>
              <w:jc w:val="right"/>
            </w:pPr>
            <w:r>
              <w:t>FIN</w:t>
            </w:r>
          </w:p>
        </w:tc>
        <w:tc>
          <w:tcPr>
            <w:tcW w:w="760" w:type="dxa"/>
          </w:tcPr>
          <w:p w:rsidR="00557A6F" w:rsidRDefault="00557A6F" w:rsidP="00AF5F55">
            <w:pPr>
              <w:jc w:val="right"/>
            </w:pPr>
            <w:r>
              <w:t>B</w:t>
            </w:r>
          </w:p>
        </w:tc>
        <w:tc>
          <w:tcPr>
            <w:tcW w:w="1100" w:type="dxa"/>
          </w:tcPr>
          <w:p w:rsidR="00557A6F" w:rsidRDefault="00557A6F" w:rsidP="00AF5F55">
            <w:pPr>
              <w:jc w:val="right"/>
            </w:pPr>
            <w:r>
              <w:t>inntekt</w:t>
            </w:r>
            <w:r>
              <w:t>s</w:t>
            </w:r>
            <w:r>
              <w:t>tap</w:t>
            </w:r>
          </w:p>
        </w:tc>
        <w:tc>
          <w:tcPr>
            <w:tcW w:w="1140" w:type="dxa"/>
          </w:tcPr>
          <w:p w:rsidR="00557A6F" w:rsidRDefault="00557A6F" w:rsidP="00AF5F55">
            <w:pPr>
              <w:jc w:val="right"/>
            </w:pPr>
            <w:r>
              <w:t>230 000</w:t>
            </w:r>
          </w:p>
        </w:tc>
        <w:tc>
          <w:tcPr>
            <w:tcW w:w="1140" w:type="dxa"/>
          </w:tcPr>
          <w:p w:rsidR="00557A6F" w:rsidRDefault="00557A6F" w:rsidP="00AF5F55">
            <w:pPr>
              <w:jc w:val="right"/>
            </w:pPr>
            <w:r>
              <w:t>220 000</w:t>
            </w:r>
          </w:p>
        </w:tc>
        <w:tc>
          <w:tcPr>
            <w:tcW w:w="1140" w:type="dxa"/>
          </w:tcPr>
          <w:p w:rsidR="00557A6F" w:rsidRDefault="00557A6F" w:rsidP="00AF5F55">
            <w:pPr>
              <w:jc w:val="right"/>
            </w:pPr>
            <w:r>
              <w:t>220 000</w:t>
            </w:r>
          </w:p>
        </w:tc>
      </w:tr>
    </w:tbl>
    <w:p w:rsidR="00557A6F" w:rsidRDefault="00557A6F" w:rsidP="00557A6F">
      <w:pPr>
        <w:pStyle w:val="tabell-noter"/>
        <w:rPr>
          <w:rStyle w:val="skrift-hevet"/>
          <w:sz w:val="24"/>
          <w:szCs w:val="24"/>
        </w:rPr>
      </w:pPr>
      <w:r>
        <w:rPr>
          <w:rStyle w:val="skrift-hevet"/>
          <w:sz w:val="17"/>
          <w:szCs w:val="17"/>
        </w:rPr>
        <w:t>1</w:t>
      </w:r>
      <w:r>
        <w:rPr>
          <w:rStyle w:val="skrift-hevet"/>
          <w:sz w:val="17"/>
          <w:szCs w:val="17"/>
        </w:rPr>
        <w:tab/>
      </w:r>
      <w:r>
        <w:t xml:space="preserve">Kommunenes og fylkeskommunenes andel av vederlag for tildelte oppdrettstillatelser. </w:t>
      </w:r>
    </w:p>
    <w:p w:rsidR="00557A6F" w:rsidRDefault="00557A6F" w:rsidP="00557A6F">
      <w:pPr>
        <w:pStyle w:val="tabell-noter"/>
        <w:rPr>
          <w:rStyle w:val="skrift-hevet"/>
          <w:sz w:val="24"/>
          <w:szCs w:val="24"/>
        </w:rPr>
      </w:pPr>
      <w:r>
        <w:rPr>
          <w:rStyle w:val="skrift-hevet"/>
          <w:sz w:val="17"/>
          <w:szCs w:val="17"/>
        </w:rPr>
        <w:t>2</w:t>
      </w:r>
      <w:r>
        <w:rPr>
          <w:rStyle w:val="skrift-hevet"/>
          <w:sz w:val="17"/>
          <w:szCs w:val="17"/>
        </w:rPr>
        <w:tab/>
      </w:r>
      <w:r>
        <w:t xml:space="preserve">Fordeling på føringstilskudd, garantilott og tilskudd til selfangst ikke fastsatt for 2020. </w:t>
      </w:r>
    </w:p>
    <w:p w:rsidR="00557A6F" w:rsidRDefault="00557A6F" w:rsidP="00557A6F">
      <w:pPr>
        <w:pStyle w:val="tabell-noter"/>
        <w:rPr>
          <w:rFonts w:ascii="UniMyriad Regular" w:hAnsi="UniMyriad Regular" w:cs="UniMyriad Regular"/>
          <w:sz w:val="21"/>
          <w:szCs w:val="21"/>
        </w:rPr>
      </w:pPr>
      <w:r>
        <w:rPr>
          <w:rStyle w:val="skrift-hevet"/>
          <w:sz w:val="17"/>
          <w:szCs w:val="17"/>
        </w:rPr>
        <w:t>3</w:t>
      </w:r>
      <w:r>
        <w:rPr>
          <w:rStyle w:val="skrift-hevet"/>
          <w:sz w:val="17"/>
          <w:szCs w:val="17"/>
        </w:rPr>
        <w:tab/>
      </w:r>
      <w:r>
        <w:t>Tidligere Artic Race. Overført fra NFD kap. 900, post 60 til KUD kap. 315, post 86 i 2019.</w:t>
      </w:r>
    </w:p>
    <w:p w:rsidR="00557A6F" w:rsidRDefault="00557A6F" w:rsidP="00557A6F">
      <w:pPr>
        <w:pStyle w:val="Undertittel"/>
      </w:pPr>
      <w:r>
        <w:t>Infrastruktur</w:t>
      </w:r>
    </w:p>
    <w:p w:rsidR="00557A6F" w:rsidRDefault="00557A6F" w:rsidP="00557A6F">
      <w:r>
        <w:t>Tabell 1.3 viser flere tiltak som skal medvirke til å redusere ekstrakostnader som følge av a</w:t>
      </w:r>
      <w:r>
        <w:t>v</w:t>
      </w:r>
      <w:r>
        <w:t>standsulemper. I tillegg til tiltakene omtalt i tabellen er samferdselsbudsjettet generelt, særlig riksveibevilgningene, et vesentlig virkemiddel for å redusere distriktenes avstandsulemper.</w:t>
      </w:r>
    </w:p>
    <w:p w:rsidR="00AF5F55" w:rsidRDefault="00AF5F55" w:rsidP="00AF5F55">
      <w:pPr>
        <w:pStyle w:val="tabell-tittel"/>
      </w:pPr>
      <w:r>
        <w:t>Infrastruktur</w:t>
      </w:r>
    </w:p>
    <w:p w:rsidR="00557A6F" w:rsidRDefault="00557A6F" w:rsidP="00557A6F">
      <w:pPr>
        <w:pStyle w:val="Tabellnavn"/>
      </w:pPr>
      <w:r>
        <w:t>07J2xt2</w:t>
      </w:r>
    </w:p>
    <w:tbl>
      <w:tblPr>
        <w:tblStyle w:val="StandardTabell"/>
        <w:tblW w:w="0" w:type="auto"/>
        <w:tblLayout w:type="fixed"/>
        <w:tblLook w:val="04A0" w:firstRow="1" w:lastRow="0" w:firstColumn="1" w:lastColumn="0" w:noHBand="0" w:noVBand="1"/>
      </w:tblPr>
      <w:tblGrid>
        <w:gridCol w:w="3660"/>
        <w:gridCol w:w="660"/>
        <w:gridCol w:w="620"/>
        <w:gridCol w:w="1140"/>
        <w:gridCol w:w="1140"/>
        <w:gridCol w:w="1140"/>
        <w:gridCol w:w="1140"/>
      </w:tblGrid>
      <w:tr w:rsidR="00557A6F" w:rsidTr="00AF5F55">
        <w:trPr>
          <w:trHeight w:val="340"/>
        </w:trPr>
        <w:tc>
          <w:tcPr>
            <w:tcW w:w="9500" w:type="dxa"/>
            <w:gridSpan w:val="7"/>
            <w:shd w:val="clear" w:color="auto" w:fill="FFFFFF"/>
          </w:tcPr>
          <w:p w:rsidR="00557A6F" w:rsidRDefault="00557A6F" w:rsidP="00AF5F55">
            <w:pPr>
              <w:jc w:val="right"/>
            </w:pPr>
            <w:r>
              <w:t>(i 1 000 kr)</w:t>
            </w:r>
          </w:p>
        </w:tc>
      </w:tr>
      <w:tr w:rsidR="00557A6F" w:rsidTr="00AF5F55">
        <w:trPr>
          <w:trHeight w:val="600"/>
        </w:trPr>
        <w:tc>
          <w:tcPr>
            <w:tcW w:w="3660" w:type="dxa"/>
          </w:tcPr>
          <w:p w:rsidR="00557A6F" w:rsidRDefault="00557A6F" w:rsidP="00557A6F">
            <w:r>
              <w:t>Tiltak/ordning</w:t>
            </w:r>
          </w:p>
        </w:tc>
        <w:tc>
          <w:tcPr>
            <w:tcW w:w="660" w:type="dxa"/>
          </w:tcPr>
          <w:p w:rsidR="00557A6F" w:rsidRDefault="00557A6F" w:rsidP="00AF5F55">
            <w:pPr>
              <w:jc w:val="right"/>
            </w:pPr>
            <w:r>
              <w:t>Dep.</w:t>
            </w:r>
          </w:p>
        </w:tc>
        <w:tc>
          <w:tcPr>
            <w:tcW w:w="620" w:type="dxa"/>
          </w:tcPr>
          <w:p w:rsidR="00557A6F" w:rsidRDefault="00557A6F" w:rsidP="00AF5F55">
            <w:pPr>
              <w:jc w:val="right"/>
            </w:pPr>
            <w:r>
              <w:t>Kat.</w:t>
            </w:r>
          </w:p>
        </w:tc>
        <w:tc>
          <w:tcPr>
            <w:tcW w:w="1140" w:type="dxa"/>
          </w:tcPr>
          <w:p w:rsidR="00557A6F" w:rsidRDefault="00557A6F" w:rsidP="00AF5F55">
            <w:pPr>
              <w:jc w:val="right"/>
            </w:pPr>
            <w:r>
              <w:t>Kap./post</w:t>
            </w:r>
          </w:p>
        </w:tc>
        <w:tc>
          <w:tcPr>
            <w:tcW w:w="1140" w:type="dxa"/>
          </w:tcPr>
          <w:p w:rsidR="00557A6F" w:rsidRDefault="00557A6F" w:rsidP="00AF5F55">
            <w:pPr>
              <w:jc w:val="right"/>
            </w:pPr>
            <w:r>
              <w:t>Regnskap 2018</w:t>
            </w:r>
          </w:p>
        </w:tc>
        <w:tc>
          <w:tcPr>
            <w:tcW w:w="1140" w:type="dxa"/>
          </w:tcPr>
          <w:p w:rsidR="00557A6F" w:rsidRDefault="00557A6F" w:rsidP="00AF5F55">
            <w:pPr>
              <w:jc w:val="right"/>
            </w:pPr>
            <w:r>
              <w:t>Budsjett 2019</w:t>
            </w:r>
          </w:p>
        </w:tc>
        <w:tc>
          <w:tcPr>
            <w:tcW w:w="1140" w:type="dxa"/>
          </w:tcPr>
          <w:p w:rsidR="00557A6F" w:rsidRDefault="00557A6F" w:rsidP="00AF5F55">
            <w:pPr>
              <w:jc w:val="right"/>
            </w:pPr>
            <w:r>
              <w:t xml:space="preserve">Forslag </w:t>
            </w:r>
            <w:r>
              <w:br/>
              <w:t>2020</w:t>
            </w:r>
          </w:p>
        </w:tc>
      </w:tr>
      <w:tr w:rsidR="00557A6F" w:rsidTr="00AF5F55">
        <w:trPr>
          <w:trHeight w:val="360"/>
        </w:trPr>
        <w:tc>
          <w:tcPr>
            <w:tcW w:w="3660" w:type="dxa"/>
          </w:tcPr>
          <w:p w:rsidR="00557A6F" w:rsidRDefault="00557A6F" w:rsidP="00557A6F">
            <w:r>
              <w:t>Kjøp av innenlandske flyruter</w:t>
            </w:r>
          </w:p>
        </w:tc>
        <w:tc>
          <w:tcPr>
            <w:tcW w:w="660" w:type="dxa"/>
          </w:tcPr>
          <w:p w:rsidR="00557A6F" w:rsidRDefault="00557A6F" w:rsidP="00AF5F55">
            <w:pPr>
              <w:jc w:val="right"/>
            </w:pPr>
            <w:r>
              <w:t>SD</w:t>
            </w:r>
          </w:p>
        </w:tc>
        <w:tc>
          <w:tcPr>
            <w:tcW w:w="620" w:type="dxa"/>
          </w:tcPr>
          <w:p w:rsidR="00557A6F" w:rsidRDefault="00557A6F" w:rsidP="00AF5F55">
            <w:pPr>
              <w:jc w:val="right"/>
            </w:pPr>
            <w:r>
              <w:t>B</w:t>
            </w:r>
          </w:p>
        </w:tc>
        <w:tc>
          <w:tcPr>
            <w:tcW w:w="1140" w:type="dxa"/>
          </w:tcPr>
          <w:p w:rsidR="00557A6F" w:rsidRDefault="00557A6F" w:rsidP="00AF5F55">
            <w:pPr>
              <w:jc w:val="right"/>
            </w:pPr>
            <w:r>
              <w:t>1310/70</w:t>
            </w:r>
          </w:p>
        </w:tc>
        <w:tc>
          <w:tcPr>
            <w:tcW w:w="1140" w:type="dxa"/>
          </w:tcPr>
          <w:p w:rsidR="00557A6F" w:rsidRDefault="00557A6F" w:rsidP="00AF5F55">
            <w:pPr>
              <w:jc w:val="right"/>
            </w:pPr>
            <w:r>
              <w:t>635 702</w:t>
            </w:r>
          </w:p>
        </w:tc>
        <w:tc>
          <w:tcPr>
            <w:tcW w:w="1140" w:type="dxa"/>
          </w:tcPr>
          <w:p w:rsidR="00557A6F" w:rsidRDefault="00557A6F" w:rsidP="00AF5F55">
            <w:pPr>
              <w:jc w:val="right"/>
            </w:pPr>
            <w:r>
              <w:t>717 400</w:t>
            </w:r>
          </w:p>
        </w:tc>
        <w:tc>
          <w:tcPr>
            <w:tcW w:w="1140" w:type="dxa"/>
          </w:tcPr>
          <w:p w:rsidR="00557A6F" w:rsidRDefault="00557A6F" w:rsidP="00AF5F55">
            <w:pPr>
              <w:jc w:val="right"/>
            </w:pPr>
            <w:r>
              <w:t>718 100</w:t>
            </w:r>
          </w:p>
        </w:tc>
      </w:tr>
      <w:tr w:rsidR="00557A6F" w:rsidTr="00AF5F55">
        <w:trPr>
          <w:trHeight w:val="620"/>
        </w:trPr>
        <w:tc>
          <w:tcPr>
            <w:tcW w:w="3660" w:type="dxa"/>
          </w:tcPr>
          <w:p w:rsidR="00557A6F" w:rsidRDefault="00557A6F" w:rsidP="00557A6F">
            <w:r>
              <w:t>Rentekompensasjon for transportti</w:t>
            </w:r>
            <w:r>
              <w:t>l</w:t>
            </w:r>
            <w:r>
              <w:t>tak i fylkene</w:t>
            </w:r>
          </w:p>
        </w:tc>
        <w:tc>
          <w:tcPr>
            <w:tcW w:w="660" w:type="dxa"/>
          </w:tcPr>
          <w:p w:rsidR="00557A6F" w:rsidRDefault="00557A6F" w:rsidP="00AF5F55">
            <w:pPr>
              <w:jc w:val="right"/>
            </w:pPr>
            <w:r>
              <w:t>SD</w:t>
            </w:r>
          </w:p>
        </w:tc>
        <w:tc>
          <w:tcPr>
            <w:tcW w:w="620" w:type="dxa"/>
          </w:tcPr>
          <w:p w:rsidR="00557A6F" w:rsidRDefault="00557A6F" w:rsidP="00AF5F55">
            <w:pPr>
              <w:jc w:val="right"/>
            </w:pPr>
            <w:r>
              <w:t>B</w:t>
            </w:r>
          </w:p>
        </w:tc>
        <w:tc>
          <w:tcPr>
            <w:tcW w:w="1140" w:type="dxa"/>
          </w:tcPr>
          <w:p w:rsidR="00557A6F" w:rsidRDefault="00557A6F" w:rsidP="00AF5F55">
            <w:pPr>
              <w:jc w:val="right"/>
            </w:pPr>
            <w:r>
              <w:t>1320/61</w:t>
            </w:r>
          </w:p>
        </w:tc>
        <w:tc>
          <w:tcPr>
            <w:tcW w:w="1140" w:type="dxa"/>
          </w:tcPr>
          <w:p w:rsidR="00557A6F" w:rsidRDefault="00557A6F" w:rsidP="00AF5F55">
            <w:pPr>
              <w:jc w:val="right"/>
            </w:pPr>
            <w:r>
              <w:t>272 500</w:t>
            </w:r>
          </w:p>
        </w:tc>
        <w:tc>
          <w:tcPr>
            <w:tcW w:w="1140" w:type="dxa"/>
          </w:tcPr>
          <w:p w:rsidR="00557A6F" w:rsidRDefault="00557A6F" w:rsidP="00AF5F55">
            <w:pPr>
              <w:jc w:val="right"/>
            </w:pPr>
            <w:r>
              <w:t>264 500</w:t>
            </w:r>
          </w:p>
        </w:tc>
        <w:tc>
          <w:tcPr>
            <w:tcW w:w="1140" w:type="dxa"/>
          </w:tcPr>
          <w:p w:rsidR="00557A6F" w:rsidRDefault="00557A6F" w:rsidP="00AF5F55">
            <w:pPr>
              <w:jc w:val="right"/>
            </w:pPr>
            <w:r>
              <w:t>254 300</w:t>
            </w:r>
          </w:p>
        </w:tc>
      </w:tr>
      <w:tr w:rsidR="00557A6F" w:rsidTr="00AF5F55">
        <w:trPr>
          <w:trHeight w:val="360"/>
        </w:trPr>
        <w:tc>
          <w:tcPr>
            <w:tcW w:w="3660" w:type="dxa"/>
          </w:tcPr>
          <w:p w:rsidR="00557A6F" w:rsidRDefault="00557A6F" w:rsidP="00557A6F">
            <w:r>
              <w:t>Skredsikring fylkesveger</w:t>
            </w:r>
            <w:r>
              <w:rPr>
                <w:rStyle w:val="skrift-hevet"/>
                <w:sz w:val="21"/>
                <w:szCs w:val="21"/>
              </w:rPr>
              <w:t>1</w:t>
            </w:r>
          </w:p>
        </w:tc>
        <w:tc>
          <w:tcPr>
            <w:tcW w:w="660" w:type="dxa"/>
          </w:tcPr>
          <w:p w:rsidR="00557A6F" w:rsidRDefault="00557A6F" w:rsidP="00AF5F55">
            <w:pPr>
              <w:jc w:val="right"/>
            </w:pPr>
            <w:r>
              <w:t>SD</w:t>
            </w:r>
          </w:p>
        </w:tc>
        <w:tc>
          <w:tcPr>
            <w:tcW w:w="620" w:type="dxa"/>
          </w:tcPr>
          <w:p w:rsidR="00557A6F" w:rsidRDefault="00557A6F" w:rsidP="00AF5F55">
            <w:pPr>
              <w:jc w:val="right"/>
            </w:pPr>
            <w:r>
              <w:t>B</w:t>
            </w:r>
          </w:p>
        </w:tc>
        <w:tc>
          <w:tcPr>
            <w:tcW w:w="1140" w:type="dxa"/>
          </w:tcPr>
          <w:p w:rsidR="00557A6F" w:rsidRDefault="00557A6F" w:rsidP="00AF5F55">
            <w:pPr>
              <w:jc w:val="right"/>
            </w:pPr>
            <w:r>
              <w:t>1320/62</w:t>
            </w:r>
          </w:p>
        </w:tc>
        <w:tc>
          <w:tcPr>
            <w:tcW w:w="1140" w:type="dxa"/>
          </w:tcPr>
          <w:p w:rsidR="00557A6F" w:rsidRDefault="00557A6F" w:rsidP="00AF5F55">
            <w:pPr>
              <w:jc w:val="right"/>
            </w:pPr>
            <w:r>
              <w:t>673 858</w:t>
            </w:r>
          </w:p>
        </w:tc>
        <w:tc>
          <w:tcPr>
            <w:tcW w:w="1140" w:type="dxa"/>
          </w:tcPr>
          <w:p w:rsidR="00557A6F" w:rsidRDefault="00557A6F" w:rsidP="00AF5F55">
            <w:pPr>
              <w:jc w:val="right"/>
            </w:pPr>
            <w:r>
              <w:t>776 900</w:t>
            </w:r>
          </w:p>
        </w:tc>
        <w:tc>
          <w:tcPr>
            <w:tcW w:w="1140" w:type="dxa"/>
          </w:tcPr>
          <w:p w:rsidR="00557A6F" w:rsidRDefault="00557A6F" w:rsidP="00AF5F55">
            <w:pPr>
              <w:jc w:val="right"/>
            </w:pPr>
          </w:p>
        </w:tc>
      </w:tr>
      <w:tr w:rsidR="00557A6F" w:rsidTr="00AF5F55">
        <w:trPr>
          <w:trHeight w:val="360"/>
        </w:trPr>
        <w:tc>
          <w:tcPr>
            <w:tcW w:w="3660" w:type="dxa"/>
          </w:tcPr>
          <w:p w:rsidR="00557A6F" w:rsidRDefault="00557A6F" w:rsidP="00557A6F">
            <w:r>
              <w:t>Tilskudd til fylkesveier</w:t>
            </w:r>
          </w:p>
        </w:tc>
        <w:tc>
          <w:tcPr>
            <w:tcW w:w="660" w:type="dxa"/>
          </w:tcPr>
          <w:p w:rsidR="00557A6F" w:rsidRDefault="00557A6F" w:rsidP="00AF5F55">
            <w:pPr>
              <w:jc w:val="right"/>
            </w:pPr>
            <w:r>
              <w:t>SD</w:t>
            </w:r>
          </w:p>
        </w:tc>
        <w:tc>
          <w:tcPr>
            <w:tcW w:w="620" w:type="dxa"/>
          </w:tcPr>
          <w:p w:rsidR="00557A6F" w:rsidRDefault="00557A6F" w:rsidP="00AF5F55">
            <w:pPr>
              <w:jc w:val="right"/>
            </w:pPr>
            <w:r>
              <w:t>B</w:t>
            </w:r>
          </w:p>
        </w:tc>
        <w:tc>
          <w:tcPr>
            <w:tcW w:w="1140" w:type="dxa"/>
          </w:tcPr>
          <w:p w:rsidR="00557A6F" w:rsidRDefault="00557A6F" w:rsidP="00AF5F55">
            <w:pPr>
              <w:jc w:val="right"/>
            </w:pPr>
            <w:r>
              <w:t>1320/65</w:t>
            </w:r>
          </w:p>
        </w:tc>
        <w:tc>
          <w:tcPr>
            <w:tcW w:w="1140" w:type="dxa"/>
          </w:tcPr>
          <w:p w:rsidR="00557A6F" w:rsidRDefault="00557A6F" w:rsidP="00AF5F55">
            <w:pPr>
              <w:jc w:val="right"/>
            </w:pPr>
          </w:p>
        </w:tc>
        <w:tc>
          <w:tcPr>
            <w:tcW w:w="1140" w:type="dxa"/>
          </w:tcPr>
          <w:p w:rsidR="00557A6F" w:rsidRDefault="00557A6F" w:rsidP="00AF5F55">
            <w:pPr>
              <w:jc w:val="right"/>
            </w:pPr>
          </w:p>
        </w:tc>
        <w:tc>
          <w:tcPr>
            <w:tcW w:w="1140" w:type="dxa"/>
          </w:tcPr>
          <w:p w:rsidR="00557A6F" w:rsidRDefault="00557A6F" w:rsidP="00AF5F55">
            <w:pPr>
              <w:jc w:val="right"/>
            </w:pPr>
            <w:r>
              <w:t>100 000</w:t>
            </w:r>
          </w:p>
        </w:tc>
      </w:tr>
      <w:tr w:rsidR="00557A6F" w:rsidTr="00AF5F55">
        <w:trPr>
          <w:trHeight w:val="880"/>
        </w:trPr>
        <w:tc>
          <w:tcPr>
            <w:tcW w:w="3660" w:type="dxa"/>
          </w:tcPr>
          <w:p w:rsidR="00557A6F" w:rsidRDefault="00557A6F" w:rsidP="00557A6F">
            <w:r>
              <w:t xml:space="preserve">Kjøp av sjøtransporttjenester på </w:t>
            </w:r>
            <w:r>
              <w:br/>
              <w:t>strekningen Bergen–Kirkenes (sikrer daglig helårig transporttilbud)</w:t>
            </w:r>
          </w:p>
        </w:tc>
        <w:tc>
          <w:tcPr>
            <w:tcW w:w="660" w:type="dxa"/>
          </w:tcPr>
          <w:p w:rsidR="00557A6F" w:rsidRDefault="00557A6F" w:rsidP="00AF5F55">
            <w:pPr>
              <w:jc w:val="right"/>
            </w:pPr>
            <w:r>
              <w:t>SD</w:t>
            </w:r>
          </w:p>
        </w:tc>
        <w:tc>
          <w:tcPr>
            <w:tcW w:w="620" w:type="dxa"/>
          </w:tcPr>
          <w:p w:rsidR="00557A6F" w:rsidRDefault="00557A6F" w:rsidP="00AF5F55">
            <w:pPr>
              <w:jc w:val="right"/>
            </w:pPr>
            <w:r>
              <w:t>B</w:t>
            </w:r>
          </w:p>
        </w:tc>
        <w:tc>
          <w:tcPr>
            <w:tcW w:w="1140" w:type="dxa"/>
          </w:tcPr>
          <w:p w:rsidR="00557A6F" w:rsidRDefault="00557A6F" w:rsidP="00AF5F55">
            <w:pPr>
              <w:jc w:val="right"/>
            </w:pPr>
            <w:r>
              <w:t>1330/70</w:t>
            </w:r>
          </w:p>
        </w:tc>
        <w:tc>
          <w:tcPr>
            <w:tcW w:w="1140" w:type="dxa"/>
          </w:tcPr>
          <w:p w:rsidR="00557A6F" w:rsidRDefault="00557A6F" w:rsidP="00AF5F55">
            <w:pPr>
              <w:jc w:val="right"/>
            </w:pPr>
            <w:r>
              <w:t>693 982</w:t>
            </w:r>
          </w:p>
        </w:tc>
        <w:tc>
          <w:tcPr>
            <w:tcW w:w="1140" w:type="dxa"/>
          </w:tcPr>
          <w:p w:rsidR="00557A6F" w:rsidRDefault="00557A6F" w:rsidP="00AF5F55">
            <w:pPr>
              <w:jc w:val="right"/>
            </w:pPr>
            <w:r>
              <w:t>725 100</w:t>
            </w:r>
          </w:p>
        </w:tc>
        <w:tc>
          <w:tcPr>
            <w:tcW w:w="1140" w:type="dxa"/>
          </w:tcPr>
          <w:p w:rsidR="00557A6F" w:rsidRDefault="00557A6F" w:rsidP="00AF5F55">
            <w:pPr>
              <w:jc w:val="right"/>
            </w:pPr>
            <w:r>
              <w:t>856 100</w:t>
            </w:r>
          </w:p>
        </w:tc>
      </w:tr>
      <w:tr w:rsidR="00557A6F" w:rsidTr="00AF5F55">
        <w:trPr>
          <w:trHeight w:val="360"/>
        </w:trPr>
        <w:tc>
          <w:tcPr>
            <w:tcW w:w="3660" w:type="dxa"/>
          </w:tcPr>
          <w:p w:rsidR="00557A6F" w:rsidRDefault="00557A6F" w:rsidP="00557A6F">
            <w:r>
              <w:t>Kjøp av post- og banktjenester</w:t>
            </w:r>
          </w:p>
        </w:tc>
        <w:tc>
          <w:tcPr>
            <w:tcW w:w="660" w:type="dxa"/>
          </w:tcPr>
          <w:p w:rsidR="00557A6F" w:rsidRDefault="00557A6F" w:rsidP="00AF5F55">
            <w:pPr>
              <w:jc w:val="right"/>
            </w:pPr>
            <w:r>
              <w:t>SD</w:t>
            </w:r>
          </w:p>
        </w:tc>
        <w:tc>
          <w:tcPr>
            <w:tcW w:w="620" w:type="dxa"/>
          </w:tcPr>
          <w:p w:rsidR="00557A6F" w:rsidRDefault="00557A6F" w:rsidP="00AF5F55">
            <w:pPr>
              <w:jc w:val="right"/>
            </w:pPr>
            <w:r>
              <w:t>B</w:t>
            </w:r>
          </w:p>
        </w:tc>
        <w:tc>
          <w:tcPr>
            <w:tcW w:w="1140" w:type="dxa"/>
          </w:tcPr>
          <w:p w:rsidR="00557A6F" w:rsidRDefault="00557A6F" w:rsidP="00AF5F55">
            <w:pPr>
              <w:jc w:val="right"/>
            </w:pPr>
            <w:r>
              <w:t>1370/70</w:t>
            </w:r>
          </w:p>
        </w:tc>
        <w:tc>
          <w:tcPr>
            <w:tcW w:w="1140" w:type="dxa"/>
          </w:tcPr>
          <w:p w:rsidR="00557A6F" w:rsidRDefault="00557A6F" w:rsidP="00AF5F55">
            <w:pPr>
              <w:jc w:val="right"/>
            </w:pPr>
            <w:r>
              <w:t>619 121</w:t>
            </w:r>
          </w:p>
        </w:tc>
        <w:tc>
          <w:tcPr>
            <w:tcW w:w="1140" w:type="dxa"/>
          </w:tcPr>
          <w:p w:rsidR="00557A6F" w:rsidRDefault="00557A6F" w:rsidP="00AF5F55">
            <w:pPr>
              <w:jc w:val="right"/>
            </w:pPr>
            <w:r>
              <w:t>617 400</w:t>
            </w:r>
          </w:p>
        </w:tc>
        <w:tc>
          <w:tcPr>
            <w:tcW w:w="1140" w:type="dxa"/>
          </w:tcPr>
          <w:p w:rsidR="00557A6F" w:rsidRDefault="00557A6F" w:rsidP="00AF5F55">
            <w:pPr>
              <w:jc w:val="right"/>
            </w:pPr>
            <w:r>
              <w:t>617 400</w:t>
            </w:r>
          </w:p>
        </w:tc>
      </w:tr>
      <w:tr w:rsidR="00557A6F" w:rsidTr="00AF5F55">
        <w:trPr>
          <w:trHeight w:val="360"/>
        </w:trPr>
        <w:tc>
          <w:tcPr>
            <w:tcW w:w="3660" w:type="dxa"/>
          </w:tcPr>
          <w:p w:rsidR="00557A6F" w:rsidRDefault="00557A6F" w:rsidP="00557A6F">
            <w:r>
              <w:t>Tilskudd til bredbåndsutbygging</w:t>
            </w:r>
            <w:r>
              <w:rPr>
                <w:rStyle w:val="skrift-hevet"/>
                <w:sz w:val="21"/>
                <w:szCs w:val="21"/>
              </w:rPr>
              <w:t>2</w:t>
            </w:r>
          </w:p>
        </w:tc>
        <w:tc>
          <w:tcPr>
            <w:tcW w:w="660" w:type="dxa"/>
          </w:tcPr>
          <w:p w:rsidR="00557A6F" w:rsidRDefault="00557A6F" w:rsidP="00AF5F55">
            <w:pPr>
              <w:jc w:val="right"/>
            </w:pPr>
            <w:r>
              <w:t>KMD</w:t>
            </w:r>
          </w:p>
        </w:tc>
        <w:tc>
          <w:tcPr>
            <w:tcW w:w="620" w:type="dxa"/>
          </w:tcPr>
          <w:p w:rsidR="00557A6F" w:rsidRDefault="00557A6F" w:rsidP="00AF5F55">
            <w:pPr>
              <w:jc w:val="right"/>
            </w:pPr>
            <w:r>
              <w:t>B</w:t>
            </w:r>
          </w:p>
        </w:tc>
        <w:tc>
          <w:tcPr>
            <w:tcW w:w="1140" w:type="dxa"/>
          </w:tcPr>
          <w:p w:rsidR="00557A6F" w:rsidRDefault="00557A6F" w:rsidP="00AF5F55">
            <w:pPr>
              <w:jc w:val="right"/>
            </w:pPr>
            <w:r>
              <w:t>541/60</w:t>
            </w:r>
          </w:p>
        </w:tc>
        <w:tc>
          <w:tcPr>
            <w:tcW w:w="1140" w:type="dxa"/>
          </w:tcPr>
          <w:p w:rsidR="00557A6F" w:rsidRDefault="00557A6F" w:rsidP="00AF5F55">
            <w:pPr>
              <w:jc w:val="right"/>
            </w:pPr>
            <w:r>
              <w:t>149 700</w:t>
            </w:r>
          </w:p>
        </w:tc>
        <w:tc>
          <w:tcPr>
            <w:tcW w:w="1140" w:type="dxa"/>
          </w:tcPr>
          <w:p w:rsidR="00557A6F" w:rsidRDefault="00557A6F" w:rsidP="00AF5F55">
            <w:pPr>
              <w:jc w:val="right"/>
            </w:pPr>
            <w:r>
              <w:t>199 800</w:t>
            </w:r>
          </w:p>
        </w:tc>
        <w:tc>
          <w:tcPr>
            <w:tcW w:w="1140" w:type="dxa"/>
          </w:tcPr>
          <w:p w:rsidR="00557A6F" w:rsidRDefault="00557A6F" w:rsidP="00AF5F55">
            <w:pPr>
              <w:jc w:val="right"/>
            </w:pPr>
            <w:r>
              <w:t>256 142</w:t>
            </w:r>
          </w:p>
        </w:tc>
      </w:tr>
      <w:tr w:rsidR="00557A6F" w:rsidTr="00AF5F55">
        <w:trPr>
          <w:trHeight w:val="360"/>
        </w:trPr>
        <w:tc>
          <w:tcPr>
            <w:tcW w:w="3660" w:type="dxa"/>
          </w:tcPr>
          <w:p w:rsidR="00557A6F" w:rsidRDefault="00557A6F" w:rsidP="00557A6F">
            <w:r>
              <w:t>Fiskerihavner og farleier mv.</w:t>
            </w:r>
          </w:p>
        </w:tc>
        <w:tc>
          <w:tcPr>
            <w:tcW w:w="660" w:type="dxa"/>
          </w:tcPr>
          <w:p w:rsidR="00557A6F" w:rsidRDefault="00557A6F" w:rsidP="00AF5F55">
            <w:pPr>
              <w:jc w:val="right"/>
            </w:pPr>
            <w:r>
              <w:t>SD</w:t>
            </w:r>
          </w:p>
        </w:tc>
        <w:tc>
          <w:tcPr>
            <w:tcW w:w="620" w:type="dxa"/>
          </w:tcPr>
          <w:p w:rsidR="00557A6F" w:rsidRDefault="00557A6F" w:rsidP="00AF5F55">
            <w:pPr>
              <w:jc w:val="right"/>
            </w:pPr>
            <w:r>
              <w:t>B</w:t>
            </w:r>
          </w:p>
        </w:tc>
        <w:tc>
          <w:tcPr>
            <w:tcW w:w="1140" w:type="dxa"/>
          </w:tcPr>
          <w:p w:rsidR="00557A6F" w:rsidRDefault="00557A6F" w:rsidP="00AF5F55">
            <w:pPr>
              <w:jc w:val="right"/>
            </w:pPr>
            <w:r>
              <w:t>1360/30</w:t>
            </w:r>
          </w:p>
        </w:tc>
        <w:tc>
          <w:tcPr>
            <w:tcW w:w="1140" w:type="dxa"/>
          </w:tcPr>
          <w:p w:rsidR="00557A6F" w:rsidRDefault="00557A6F" w:rsidP="00AF5F55">
            <w:pPr>
              <w:jc w:val="right"/>
            </w:pPr>
            <w:r>
              <w:t>280 353</w:t>
            </w:r>
          </w:p>
        </w:tc>
        <w:tc>
          <w:tcPr>
            <w:tcW w:w="1140" w:type="dxa"/>
          </w:tcPr>
          <w:p w:rsidR="00557A6F" w:rsidRDefault="00557A6F" w:rsidP="00AF5F55">
            <w:pPr>
              <w:jc w:val="right"/>
            </w:pPr>
            <w:r>
              <w:t>416 500</w:t>
            </w:r>
          </w:p>
        </w:tc>
        <w:tc>
          <w:tcPr>
            <w:tcW w:w="1140" w:type="dxa"/>
          </w:tcPr>
          <w:p w:rsidR="00557A6F" w:rsidRDefault="00557A6F" w:rsidP="00AF5F55">
            <w:pPr>
              <w:jc w:val="right"/>
            </w:pPr>
            <w:r>
              <w:t>268 300</w:t>
            </w:r>
          </w:p>
        </w:tc>
      </w:tr>
      <w:tr w:rsidR="00557A6F" w:rsidTr="00AF5F55">
        <w:trPr>
          <w:trHeight w:val="360"/>
        </w:trPr>
        <w:tc>
          <w:tcPr>
            <w:tcW w:w="3660" w:type="dxa"/>
          </w:tcPr>
          <w:p w:rsidR="00557A6F" w:rsidRDefault="00557A6F" w:rsidP="00557A6F">
            <w:r>
              <w:t>Tilskudd til fiskerihavneanlegg</w:t>
            </w:r>
          </w:p>
        </w:tc>
        <w:tc>
          <w:tcPr>
            <w:tcW w:w="660" w:type="dxa"/>
          </w:tcPr>
          <w:p w:rsidR="00557A6F" w:rsidRDefault="00557A6F" w:rsidP="00AF5F55">
            <w:pPr>
              <w:jc w:val="right"/>
            </w:pPr>
            <w:r>
              <w:t>SD</w:t>
            </w:r>
          </w:p>
        </w:tc>
        <w:tc>
          <w:tcPr>
            <w:tcW w:w="620" w:type="dxa"/>
          </w:tcPr>
          <w:p w:rsidR="00557A6F" w:rsidRDefault="00557A6F" w:rsidP="00AF5F55">
            <w:pPr>
              <w:jc w:val="right"/>
            </w:pPr>
            <w:r>
              <w:t>B</w:t>
            </w:r>
          </w:p>
        </w:tc>
        <w:tc>
          <w:tcPr>
            <w:tcW w:w="1140" w:type="dxa"/>
          </w:tcPr>
          <w:p w:rsidR="00557A6F" w:rsidRDefault="00557A6F" w:rsidP="00AF5F55">
            <w:pPr>
              <w:jc w:val="right"/>
            </w:pPr>
            <w:r>
              <w:t>1360/60</w:t>
            </w:r>
          </w:p>
        </w:tc>
        <w:tc>
          <w:tcPr>
            <w:tcW w:w="1140" w:type="dxa"/>
          </w:tcPr>
          <w:p w:rsidR="00557A6F" w:rsidRDefault="00557A6F" w:rsidP="00AF5F55">
            <w:pPr>
              <w:jc w:val="right"/>
            </w:pPr>
            <w:r>
              <w:t>55 286</w:t>
            </w:r>
          </w:p>
        </w:tc>
        <w:tc>
          <w:tcPr>
            <w:tcW w:w="1140" w:type="dxa"/>
          </w:tcPr>
          <w:p w:rsidR="00557A6F" w:rsidRDefault="00557A6F" w:rsidP="00AF5F55">
            <w:pPr>
              <w:jc w:val="right"/>
            </w:pPr>
            <w:r>
              <w:t>42 000</w:t>
            </w:r>
          </w:p>
        </w:tc>
        <w:tc>
          <w:tcPr>
            <w:tcW w:w="1140" w:type="dxa"/>
          </w:tcPr>
          <w:p w:rsidR="00557A6F" w:rsidRDefault="00557A6F" w:rsidP="00AF5F55">
            <w:pPr>
              <w:jc w:val="right"/>
            </w:pPr>
            <w:r>
              <w:t>43 300</w:t>
            </w:r>
          </w:p>
        </w:tc>
      </w:tr>
      <w:tr w:rsidR="00557A6F" w:rsidTr="00AF5F55">
        <w:trPr>
          <w:trHeight w:val="360"/>
        </w:trPr>
        <w:tc>
          <w:tcPr>
            <w:tcW w:w="3660" w:type="dxa"/>
          </w:tcPr>
          <w:p w:rsidR="00557A6F" w:rsidRDefault="00557A6F" w:rsidP="00557A6F">
            <w:r>
              <w:t>Tilskudd til havnesamarbeid</w:t>
            </w:r>
          </w:p>
        </w:tc>
        <w:tc>
          <w:tcPr>
            <w:tcW w:w="660" w:type="dxa"/>
          </w:tcPr>
          <w:p w:rsidR="00557A6F" w:rsidRDefault="00557A6F" w:rsidP="00AF5F55">
            <w:pPr>
              <w:jc w:val="right"/>
            </w:pPr>
            <w:r>
              <w:t>SD</w:t>
            </w:r>
          </w:p>
        </w:tc>
        <w:tc>
          <w:tcPr>
            <w:tcW w:w="620" w:type="dxa"/>
          </w:tcPr>
          <w:p w:rsidR="00557A6F" w:rsidRDefault="00557A6F" w:rsidP="00AF5F55">
            <w:pPr>
              <w:jc w:val="right"/>
            </w:pPr>
            <w:r>
              <w:t>B</w:t>
            </w:r>
          </w:p>
        </w:tc>
        <w:tc>
          <w:tcPr>
            <w:tcW w:w="1140" w:type="dxa"/>
          </w:tcPr>
          <w:p w:rsidR="00557A6F" w:rsidRDefault="00557A6F" w:rsidP="00AF5F55">
            <w:pPr>
              <w:jc w:val="right"/>
            </w:pPr>
            <w:r>
              <w:t>1360/71</w:t>
            </w:r>
          </w:p>
        </w:tc>
        <w:tc>
          <w:tcPr>
            <w:tcW w:w="1140" w:type="dxa"/>
          </w:tcPr>
          <w:p w:rsidR="00557A6F" w:rsidRDefault="00557A6F" w:rsidP="00AF5F55">
            <w:pPr>
              <w:jc w:val="right"/>
            </w:pPr>
            <w:r>
              <w:t>8 448</w:t>
            </w:r>
          </w:p>
        </w:tc>
        <w:tc>
          <w:tcPr>
            <w:tcW w:w="1140" w:type="dxa"/>
          </w:tcPr>
          <w:p w:rsidR="00557A6F" w:rsidRDefault="00557A6F" w:rsidP="00AF5F55">
            <w:pPr>
              <w:jc w:val="right"/>
            </w:pPr>
            <w:r>
              <w:t>10 900</w:t>
            </w:r>
          </w:p>
        </w:tc>
        <w:tc>
          <w:tcPr>
            <w:tcW w:w="1140" w:type="dxa"/>
          </w:tcPr>
          <w:p w:rsidR="00557A6F" w:rsidRDefault="00557A6F" w:rsidP="00AF5F55">
            <w:pPr>
              <w:jc w:val="right"/>
            </w:pPr>
            <w:r>
              <w:t>10 900</w:t>
            </w:r>
          </w:p>
        </w:tc>
      </w:tr>
      <w:tr w:rsidR="00557A6F" w:rsidTr="00AF5F55">
        <w:trPr>
          <w:trHeight w:val="360"/>
        </w:trPr>
        <w:tc>
          <w:tcPr>
            <w:tcW w:w="3660" w:type="dxa"/>
          </w:tcPr>
          <w:p w:rsidR="00557A6F" w:rsidRDefault="00557A6F" w:rsidP="00557A6F">
            <w:r>
              <w:t>Flom- og skredforebygging</w:t>
            </w:r>
          </w:p>
        </w:tc>
        <w:tc>
          <w:tcPr>
            <w:tcW w:w="660" w:type="dxa"/>
          </w:tcPr>
          <w:p w:rsidR="00557A6F" w:rsidRDefault="00557A6F" w:rsidP="00AF5F55">
            <w:pPr>
              <w:jc w:val="right"/>
            </w:pPr>
            <w:r>
              <w:t>OED</w:t>
            </w:r>
          </w:p>
        </w:tc>
        <w:tc>
          <w:tcPr>
            <w:tcW w:w="620" w:type="dxa"/>
          </w:tcPr>
          <w:p w:rsidR="00557A6F" w:rsidRDefault="00557A6F" w:rsidP="00AF5F55">
            <w:pPr>
              <w:jc w:val="right"/>
            </w:pPr>
            <w:r>
              <w:t>B</w:t>
            </w:r>
          </w:p>
        </w:tc>
        <w:tc>
          <w:tcPr>
            <w:tcW w:w="1140" w:type="dxa"/>
          </w:tcPr>
          <w:p w:rsidR="00557A6F" w:rsidRDefault="00557A6F" w:rsidP="00AF5F55">
            <w:pPr>
              <w:jc w:val="right"/>
            </w:pPr>
            <w:r>
              <w:t>1820/22</w:t>
            </w:r>
          </w:p>
        </w:tc>
        <w:tc>
          <w:tcPr>
            <w:tcW w:w="1140" w:type="dxa"/>
          </w:tcPr>
          <w:p w:rsidR="00557A6F" w:rsidRDefault="00557A6F" w:rsidP="00AF5F55">
            <w:pPr>
              <w:jc w:val="right"/>
            </w:pPr>
            <w:r>
              <w:t>349 429</w:t>
            </w:r>
          </w:p>
        </w:tc>
        <w:tc>
          <w:tcPr>
            <w:tcW w:w="1140" w:type="dxa"/>
          </w:tcPr>
          <w:p w:rsidR="00557A6F" w:rsidRDefault="00557A6F" w:rsidP="00AF5F55">
            <w:pPr>
              <w:jc w:val="right"/>
            </w:pPr>
            <w:r>
              <w:t>257 000</w:t>
            </w:r>
          </w:p>
        </w:tc>
        <w:tc>
          <w:tcPr>
            <w:tcW w:w="1140" w:type="dxa"/>
          </w:tcPr>
          <w:p w:rsidR="00557A6F" w:rsidRDefault="00557A6F" w:rsidP="00AF5F55">
            <w:pPr>
              <w:jc w:val="right"/>
            </w:pPr>
            <w:r>
              <w:t>220 000</w:t>
            </w:r>
          </w:p>
        </w:tc>
      </w:tr>
      <w:tr w:rsidR="00557A6F" w:rsidTr="00AF5F55">
        <w:trPr>
          <w:trHeight w:val="360"/>
        </w:trPr>
        <w:tc>
          <w:tcPr>
            <w:tcW w:w="3660" w:type="dxa"/>
          </w:tcPr>
          <w:p w:rsidR="00557A6F" w:rsidRDefault="00557A6F" w:rsidP="00557A6F">
            <w:r>
              <w:t xml:space="preserve">Krise – og hastetiltak </w:t>
            </w:r>
          </w:p>
        </w:tc>
        <w:tc>
          <w:tcPr>
            <w:tcW w:w="660" w:type="dxa"/>
          </w:tcPr>
          <w:p w:rsidR="00557A6F" w:rsidRDefault="00557A6F" w:rsidP="00AF5F55">
            <w:pPr>
              <w:jc w:val="right"/>
            </w:pPr>
            <w:r>
              <w:t>OED</w:t>
            </w:r>
          </w:p>
        </w:tc>
        <w:tc>
          <w:tcPr>
            <w:tcW w:w="620" w:type="dxa"/>
          </w:tcPr>
          <w:p w:rsidR="00557A6F" w:rsidRDefault="00557A6F" w:rsidP="00AF5F55">
            <w:pPr>
              <w:jc w:val="right"/>
            </w:pPr>
            <w:r>
              <w:t>B</w:t>
            </w:r>
          </w:p>
        </w:tc>
        <w:tc>
          <w:tcPr>
            <w:tcW w:w="1140" w:type="dxa"/>
          </w:tcPr>
          <w:p w:rsidR="00557A6F" w:rsidRDefault="00557A6F" w:rsidP="00AF5F55">
            <w:pPr>
              <w:jc w:val="right"/>
            </w:pPr>
            <w:r>
              <w:t>1820/25</w:t>
            </w:r>
          </w:p>
        </w:tc>
        <w:tc>
          <w:tcPr>
            <w:tcW w:w="1140" w:type="dxa"/>
          </w:tcPr>
          <w:p w:rsidR="00557A6F" w:rsidRDefault="00557A6F" w:rsidP="00AF5F55">
            <w:pPr>
              <w:jc w:val="right"/>
            </w:pPr>
            <w:r>
              <w:t>0</w:t>
            </w:r>
          </w:p>
        </w:tc>
        <w:tc>
          <w:tcPr>
            <w:tcW w:w="1140" w:type="dxa"/>
          </w:tcPr>
          <w:p w:rsidR="00557A6F" w:rsidRDefault="00557A6F" w:rsidP="00AF5F55">
            <w:pPr>
              <w:jc w:val="right"/>
            </w:pPr>
            <w:r>
              <w:t>0</w:t>
            </w:r>
          </w:p>
        </w:tc>
        <w:tc>
          <w:tcPr>
            <w:tcW w:w="1140" w:type="dxa"/>
          </w:tcPr>
          <w:p w:rsidR="00557A6F" w:rsidRDefault="00557A6F" w:rsidP="00AF5F55">
            <w:pPr>
              <w:jc w:val="right"/>
            </w:pPr>
            <w:r>
              <w:t>45 000</w:t>
            </w:r>
          </w:p>
        </w:tc>
      </w:tr>
      <w:tr w:rsidR="00557A6F" w:rsidTr="00AF5F55">
        <w:trPr>
          <w:trHeight w:val="620"/>
        </w:trPr>
        <w:tc>
          <w:tcPr>
            <w:tcW w:w="3660" w:type="dxa"/>
          </w:tcPr>
          <w:p w:rsidR="00557A6F" w:rsidRDefault="00557A6F" w:rsidP="00557A6F">
            <w:r>
              <w:lastRenderedPageBreak/>
              <w:t xml:space="preserve">Større utstyrsanskaffelser </w:t>
            </w:r>
            <w:r>
              <w:br/>
              <w:t>og vedlikehold</w:t>
            </w:r>
          </w:p>
        </w:tc>
        <w:tc>
          <w:tcPr>
            <w:tcW w:w="660" w:type="dxa"/>
          </w:tcPr>
          <w:p w:rsidR="00557A6F" w:rsidRDefault="00557A6F" w:rsidP="00AF5F55">
            <w:pPr>
              <w:jc w:val="right"/>
            </w:pPr>
            <w:r>
              <w:t>OED</w:t>
            </w:r>
          </w:p>
        </w:tc>
        <w:tc>
          <w:tcPr>
            <w:tcW w:w="620" w:type="dxa"/>
          </w:tcPr>
          <w:p w:rsidR="00557A6F" w:rsidRDefault="00557A6F" w:rsidP="00AF5F55">
            <w:pPr>
              <w:jc w:val="right"/>
            </w:pPr>
            <w:r>
              <w:t>B</w:t>
            </w:r>
          </w:p>
        </w:tc>
        <w:tc>
          <w:tcPr>
            <w:tcW w:w="1140" w:type="dxa"/>
          </w:tcPr>
          <w:p w:rsidR="00557A6F" w:rsidRDefault="00557A6F" w:rsidP="00AF5F55">
            <w:pPr>
              <w:jc w:val="right"/>
            </w:pPr>
            <w:r>
              <w:t>1820/45</w:t>
            </w:r>
          </w:p>
        </w:tc>
        <w:tc>
          <w:tcPr>
            <w:tcW w:w="1140" w:type="dxa"/>
          </w:tcPr>
          <w:p w:rsidR="00557A6F" w:rsidRDefault="00557A6F" w:rsidP="00AF5F55">
            <w:pPr>
              <w:jc w:val="right"/>
            </w:pPr>
            <w:r>
              <w:t>15 816</w:t>
            </w:r>
          </w:p>
        </w:tc>
        <w:tc>
          <w:tcPr>
            <w:tcW w:w="1140" w:type="dxa"/>
          </w:tcPr>
          <w:p w:rsidR="00557A6F" w:rsidRDefault="00557A6F" w:rsidP="00AF5F55">
            <w:pPr>
              <w:jc w:val="right"/>
            </w:pPr>
            <w:r>
              <w:t>20 000</w:t>
            </w:r>
          </w:p>
        </w:tc>
        <w:tc>
          <w:tcPr>
            <w:tcW w:w="1140" w:type="dxa"/>
          </w:tcPr>
          <w:p w:rsidR="00557A6F" w:rsidRDefault="00557A6F" w:rsidP="00AF5F55">
            <w:pPr>
              <w:jc w:val="right"/>
            </w:pPr>
            <w:r>
              <w:t>20 000</w:t>
            </w:r>
          </w:p>
        </w:tc>
      </w:tr>
      <w:tr w:rsidR="00557A6F" w:rsidTr="00AF5F55">
        <w:trPr>
          <w:trHeight w:val="360"/>
        </w:trPr>
        <w:tc>
          <w:tcPr>
            <w:tcW w:w="3660" w:type="dxa"/>
          </w:tcPr>
          <w:p w:rsidR="00557A6F" w:rsidRDefault="00557A6F" w:rsidP="00557A6F">
            <w:r>
              <w:t>Tilskudd til flom- og skredforeby</w:t>
            </w:r>
            <w:r>
              <w:t>g</w:t>
            </w:r>
            <w:r>
              <w:t>ging</w:t>
            </w:r>
          </w:p>
        </w:tc>
        <w:tc>
          <w:tcPr>
            <w:tcW w:w="660" w:type="dxa"/>
          </w:tcPr>
          <w:p w:rsidR="00557A6F" w:rsidRDefault="00557A6F" w:rsidP="00AF5F55">
            <w:pPr>
              <w:jc w:val="right"/>
            </w:pPr>
            <w:r>
              <w:t>OED</w:t>
            </w:r>
          </w:p>
        </w:tc>
        <w:tc>
          <w:tcPr>
            <w:tcW w:w="620" w:type="dxa"/>
          </w:tcPr>
          <w:p w:rsidR="00557A6F" w:rsidRDefault="00557A6F" w:rsidP="00AF5F55">
            <w:pPr>
              <w:jc w:val="right"/>
            </w:pPr>
            <w:r>
              <w:t>B</w:t>
            </w:r>
          </w:p>
        </w:tc>
        <w:tc>
          <w:tcPr>
            <w:tcW w:w="1140" w:type="dxa"/>
          </w:tcPr>
          <w:p w:rsidR="00557A6F" w:rsidRDefault="00557A6F" w:rsidP="00AF5F55">
            <w:pPr>
              <w:jc w:val="right"/>
            </w:pPr>
            <w:r>
              <w:t>1820/60</w:t>
            </w:r>
          </w:p>
        </w:tc>
        <w:tc>
          <w:tcPr>
            <w:tcW w:w="1140" w:type="dxa"/>
          </w:tcPr>
          <w:p w:rsidR="00557A6F" w:rsidRDefault="00557A6F" w:rsidP="00AF5F55">
            <w:pPr>
              <w:jc w:val="right"/>
            </w:pPr>
            <w:r>
              <w:t>85 106</w:t>
            </w:r>
          </w:p>
        </w:tc>
        <w:tc>
          <w:tcPr>
            <w:tcW w:w="1140" w:type="dxa"/>
          </w:tcPr>
          <w:p w:rsidR="00557A6F" w:rsidRDefault="00557A6F" w:rsidP="00AF5F55">
            <w:pPr>
              <w:jc w:val="right"/>
            </w:pPr>
            <w:r>
              <w:t>66 000</w:t>
            </w:r>
          </w:p>
        </w:tc>
        <w:tc>
          <w:tcPr>
            <w:tcW w:w="1140" w:type="dxa"/>
          </w:tcPr>
          <w:p w:rsidR="00557A6F" w:rsidRDefault="00557A6F" w:rsidP="00AF5F55">
            <w:pPr>
              <w:jc w:val="right"/>
            </w:pPr>
            <w:r>
              <w:t>66 000</w:t>
            </w:r>
          </w:p>
        </w:tc>
      </w:tr>
      <w:tr w:rsidR="00557A6F" w:rsidTr="00AF5F55">
        <w:trPr>
          <w:trHeight w:val="360"/>
        </w:trPr>
        <w:tc>
          <w:tcPr>
            <w:tcW w:w="3660" w:type="dxa"/>
          </w:tcPr>
          <w:p w:rsidR="00557A6F" w:rsidRDefault="00557A6F" w:rsidP="00557A6F">
            <w:r>
              <w:t>Tilskudd til flom- og skredforeby</w:t>
            </w:r>
            <w:r>
              <w:t>g</w:t>
            </w:r>
            <w:r>
              <w:t>ging</w:t>
            </w:r>
          </w:p>
        </w:tc>
        <w:tc>
          <w:tcPr>
            <w:tcW w:w="660" w:type="dxa"/>
          </w:tcPr>
          <w:p w:rsidR="00557A6F" w:rsidRDefault="00557A6F" w:rsidP="00AF5F55">
            <w:pPr>
              <w:jc w:val="right"/>
            </w:pPr>
            <w:r>
              <w:t>OED</w:t>
            </w:r>
          </w:p>
        </w:tc>
        <w:tc>
          <w:tcPr>
            <w:tcW w:w="620" w:type="dxa"/>
          </w:tcPr>
          <w:p w:rsidR="00557A6F" w:rsidRDefault="00557A6F" w:rsidP="00AF5F55">
            <w:pPr>
              <w:jc w:val="right"/>
            </w:pPr>
            <w:r>
              <w:t>B</w:t>
            </w:r>
          </w:p>
        </w:tc>
        <w:tc>
          <w:tcPr>
            <w:tcW w:w="1140" w:type="dxa"/>
          </w:tcPr>
          <w:p w:rsidR="00557A6F" w:rsidRDefault="00557A6F" w:rsidP="00AF5F55">
            <w:pPr>
              <w:jc w:val="right"/>
            </w:pPr>
            <w:r>
              <w:t>1820/72</w:t>
            </w:r>
          </w:p>
        </w:tc>
        <w:tc>
          <w:tcPr>
            <w:tcW w:w="1140" w:type="dxa"/>
          </w:tcPr>
          <w:p w:rsidR="00557A6F" w:rsidRDefault="00557A6F" w:rsidP="00AF5F55">
            <w:pPr>
              <w:jc w:val="right"/>
            </w:pPr>
            <w:r>
              <w:t>3 988</w:t>
            </w:r>
          </w:p>
        </w:tc>
        <w:tc>
          <w:tcPr>
            <w:tcW w:w="1140" w:type="dxa"/>
          </w:tcPr>
          <w:p w:rsidR="00557A6F" w:rsidRDefault="00557A6F" w:rsidP="00AF5F55">
            <w:pPr>
              <w:jc w:val="right"/>
            </w:pPr>
            <w:r>
              <w:t>6 000</w:t>
            </w:r>
          </w:p>
        </w:tc>
        <w:tc>
          <w:tcPr>
            <w:tcW w:w="1140" w:type="dxa"/>
          </w:tcPr>
          <w:p w:rsidR="00557A6F" w:rsidRDefault="00557A6F" w:rsidP="00AF5F55">
            <w:pPr>
              <w:jc w:val="right"/>
            </w:pPr>
            <w:r>
              <w:t>6 000</w:t>
            </w:r>
          </w:p>
        </w:tc>
      </w:tr>
      <w:tr w:rsidR="00557A6F" w:rsidTr="00AF5F55">
        <w:trPr>
          <w:trHeight w:val="360"/>
        </w:trPr>
        <w:tc>
          <w:tcPr>
            <w:tcW w:w="3660" w:type="dxa"/>
          </w:tcPr>
          <w:p w:rsidR="00557A6F" w:rsidRDefault="00557A6F" w:rsidP="00557A6F">
            <w:r>
              <w:t>Tilskudd til skoginfrastruktur</w:t>
            </w:r>
          </w:p>
        </w:tc>
        <w:tc>
          <w:tcPr>
            <w:tcW w:w="660" w:type="dxa"/>
          </w:tcPr>
          <w:p w:rsidR="00557A6F" w:rsidRDefault="00557A6F" w:rsidP="00AF5F55">
            <w:pPr>
              <w:jc w:val="right"/>
            </w:pPr>
            <w:r>
              <w:t>LMD</w:t>
            </w:r>
          </w:p>
        </w:tc>
        <w:tc>
          <w:tcPr>
            <w:tcW w:w="620" w:type="dxa"/>
          </w:tcPr>
          <w:p w:rsidR="00557A6F" w:rsidRDefault="00557A6F" w:rsidP="00AF5F55">
            <w:pPr>
              <w:jc w:val="right"/>
            </w:pPr>
            <w:r>
              <w:t xml:space="preserve">B </w:t>
            </w:r>
          </w:p>
        </w:tc>
        <w:tc>
          <w:tcPr>
            <w:tcW w:w="1140" w:type="dxa"/>
          </w:tcPr>
          <w:p w:rsidR="00557A6F" w:rsidRDefault="00557A6F" w:rsidP="00AF5F55">
            <w:pPr>
              <w:jc w:val="right"/>
            </w:pPr>
            <w:r>
              <w:t xml:space="preserve">1149/71 </w:t>
            </w:r>
          </w:p>
        </w:tc>
        <w:tc>
          <w:tcPr>
            <w:tcW w:w="1140" w:type="dxa"/>
          </w:tcPr>
          <w:p w:rsidR="00557A6F" w:rsidRDefault="00557A6F" w:rsidP="00AF5F55">
            <w:pPr>
              <w:jc w:val="right"/>
            </w:pPr>
            <w:r>
              <w:t>71 007</w:t>
            </w:r>
          </w:p>
        </w:tc>
        <w:tc>
          <w:tcPr>
            <w:tcW w:w="1140" w:type="dxa"/>
          </w:tcPr>
          <w:p w:rsidR="00557A6F" w:rsidRDefault="00557A6F" w:rsidP="00AF5F55">
            <w:pPr>
              <w:jc w:val="right"/>
            </w:pPr>
            <w:r>
              <w:t>92 300</w:t>
            </w:r>
          </w:p>
        </w:tc>
        <w:tc>
          <w:tcPr>
            <w:tcW w:w="1140" w:type="dxa"/>
          </w:tcPr>
          <w:p w:rsidR="00557A6F" w:rsidRDefault="00557A6F" w:rsidP="00AF5F55">
            <w:pPr>
              <w:jc w:val="right"/>
            </w:pPr>
            <w:r>
              <w:t>79 774</w:t>
            </w:r>
          </w:p>
        </w:tc>
      </w:tr>
    </w:tbl>
    <w:p w:rsidR="00557A6F" w:rsidRDefault="00557A6F" w:rsidP="00557A6F">
      <w:pPr>
        <w:pStyle w:val="tabell-noter"/>
        <w:rPr>
          <w:rStyle w:val="skrift-hevet"/>
          <w:sz w:val="24"/>
          <w:szCs w:val="24"/>
        </w:rPr>
      </w:pPr>
      <w:r>
        <w:rPr>
          <w:rStyle w:val="skrift-hevet"/>
          <w:sz w:val="17"/>
          <w:szCs w:val="17"/>
        </w:rPr>
        <w:t xml:space="preserve">1 </w:t>
      </w:r>
      <w:r>
        <w:rPr>
          <w:rStyle w:val="skrift-hevet"/>
          <w:sz w:val="17"/>
          <w:szCs w:val="17"/>
        </w:rPr>
        <w:tab/>
      </w:r>
      <w:r>
        <w:t>Skredsikring fylkesveier</w:t>
      </w:r>
      <w:proofErr w:type="gramStart"/>
      <w:r>
        <w:t xml:space="preserve"> (kap.</w:t>
      </w:r>
      <w:proofErr w:type="gramEnd"/>
      <w:r>
        <w:t xml:space="preserve"> 1320, post 62) innlemmes i inntektssystemet til fylkeskommunene etter særskilt fordeling fra 2020.</w:t>
      </w:r>
    </w:p>
    <w:p w:rsidR="00557A6F" w:rsidRDefault="00557A6F" w:rsidP="00557A6F">
      <w:pPr>
        <w:pStyle w:val="tabell-noter"/>
        <w:rPr>
          <w:rFonts w:ascii="UniMyriad Regular" w:hAnsi="UniMyriad Regular" w:cs="UniMyriad Regular"/>
          <w:sz w:val="21"/>
          <w:szCs w:val="21"/>
        </w:rPr>
      </w:pPr>
      <w:r>
        <w:rPr>
          <w:rStyle w:val="skrift-hevet"/>
          <w:sz w:val="17"/>
          <w:szCs w:val="17"/>
        </w:rPr>
        <w:t xml:space="preserve">2 </w:t>
      </w:r>
      <w:r>
        <w:rPr>
          <w:rStyle w:val="skrift-hevet"/>
          <w:sz w:val="17"/>
          <w:szCs w:val="17"/>
        </w:rPr>
        <w:tab/>
      </w:r>
      <w:r>
        <w:t xml:space="preserve">Overføres fra Samferdselsdepartementets kap. 1380, post 71 til Kommunal- og moderniseringsdepartementets kap. 541, post 60 i 2020. </w:t>
      </w:r>
    </w:p>
    <w:p w:rsidR="00557A6F" w:rsidRDefault="00557A6F" w:rsidP="00557A6F">
      <w:pPr>
        <w:pStyle w:val="Undertittel"/>
      </w:pPr>
      <w:r>
        <w:t>Velferd, oppvekst og miljø</w:t>
      </w:r>
    </w:p>
    <w:p w:rsidR="00557A6F" w:rsidRDefault="00557A6F" w:rsidP="00557A6F">
      <w:r>
        <w:t>For helse er det overordnede målet at helsetjenestetilbudet skal være likeverdig uavhengig av b</w:t>
      </w:r>
      <w:r>
        <w:t>o</w:t>
      </w:r>
      <w:r>
        <w:t>sted, alder, kjønn og sosial status. Dette blir sikret gjennom midler til spesialisthelsetjenesten og gjennom rammeoverføringer til kommunesektoren.</w:t>
      </w:r>
    </w:p>
    <w:p w:rsidR="00557A6F" w:rsidRDefault="00557A6F" w:rsidP="00557A6F">
      <w:r>
        <w:t>Viktige tiltak er tilskudd som skal medvirke til å styrke stabiliteten og rekrutteringen til allmennl</w:t>
      </w:r>
      <w:r>
        <w:t>e</w:t>
      </w:r>
      <w:r>
        <w:t>getjenesten og andre helsetjenester i distriktene. I tillegg blir det gitt egne tilskudd til apotek i u</w:t>
      </w:r>
      <w:r>
        <w:t>t</w:t>
      </w:r>
      <w:r>
        <w:t>kantkommuner for å sikre ti</w:t>
      </w:r>
      <w:r>
        <w:t>l</w:t>
      </w:r>
      <w:r>
        <w:t>gang på medisiner.</w:t>
      </w:r>
    </w:p>
    <w:p w:rsidR="00557A6F" w:rsidRDefault="00557A6F" w:rsidP="00557A6F">
      <w:r>
        <w:t>For kultur viser tabell 1.4 ordninger som i hovedsak er knyttet til tilbudet i distriktene og i landsd</w:t>
      </w:r>
      <w:r>
        <w:t>e</w:t>
      </w:r>
      <w:r>
        <w:t>ler utenfor det sentrale Østlandet.</w:t>
      </w:r>
    </w:p>
    <w:p w:rsidR="00557A6F" w:rsidRDefault="00557A6F" w:rsidP="00557A6F">
      <w:r>
        <w:t>Generelle landsdekkende velferdsordninger, som arbeidsmarkedstiltak, er ikke tatt med i denne ove</w:t>
      </w:r>
      <w:r>
        <w:t>r</w:t>
      </w:r>
      <w:r>
        <w:t>sikten.</w:t>
      </w:r>
    </w:p>
    <w:p w:rsidR="00AF5F55" w:rsidRDefault="00AF5F55" w:rsidP="004769CB">
      <w:pPr>
        <w:pStyle w:val="tabell-tittel"/>
      </w:pPr>
      <w:r>
        <w:t>Velferd, oppvekst og miljø</w:t>
      </w:r>
    </w:p>
    <w:p w:rsidR="00557A6F" w:rsidRDefault="00557A6F" w:rsidP="00557A6F">
      <w:pPr>
        <w:pStyle w:val="Tabellnavn"/>
      </w:pPr>
      <w:r>
        <w:t>07J2xt2</w:t>
      </w:r>
    </w:p>
    <w:tbl>
      <w:tblPr>
        <w:tblStyle w:val="StandardTabell"/>
        <w:tblW w:w="0" w:type="auto"/>
        <w:tblLayout w:type="fixed"/>
        <w:tblLook w:val="04A0" w:firstRow="1" w:lastRow="0" w:firstColumn="1" w:lastColumn="0" w:noHBand="0" w:noVBand="1"/>
      </w:tblPr>
      <w:tblGrid>
        <w:gridCol w:w="3480"/>
        <w:gridCol w:w="760"/>
        <w:gridCol w:w="760"/>
        <w:gridCol w:w="1140"/>
        <w:gridCol w:w="1140"/>
        <w:gridCol w:w="1140"/>
        <w:gridCol w:w="1140"/>
      </w:tblGrid>
      <w:tr w:rsidR="00557A6F" w:rsidTr="00557A6F">
        <w:trPr>
          <w:trHeight w:val="360"/>
        </w:trPr>
        <w:tc>
          <w:tcPr>
            <w:tcW w:w="9560" w:type="dxa"/>
            <w:gridSpan w:val="7"/>
          </w:tcPr>
          <w:p w:rsidR="00557A6F" w:rsidRDefault="00557A6F" w:rsidP="004769CB">
            <w:pPr>
              <w:jc w:val="right"/>
            </w:pPr>
            <w:r>
              <w:t>(i 1 000 kr)</w:t>
            </w:r>
          </w:p>
        </w:tc>
      </w:tr>
      <w:tr w:rsidR="00557A6F" w:rsidTr="00557A6F">
        <w:trPr>
          <w:trHeight w:val="600"/>
        </w:trPr>
        <w:tc>
          <w:tcPr>
            <w:tcW w:w="3480" w:type="dxa"/>
          </w:tcPr>
          <w:p w:rsidR="00557A6F" w:rsidRDefault="00557A6F" w:rsidP="00557A6F">
            <w:r>
              <w:t>Tiltak/ordning</w:t>
            </w:r>
          </w:p>
        </w:tc>
        <w:tc>
          <w:tcPr>
            <w:tcW w:w="760" w:type="dxa"/>
          </w:tcPr>
          <w:p w:rsidR="00557A6F" w:rsidRDefault="00557A6F" w:rsidP="00AF5F55">
            <w:pPr>
              <w:jc w:val="right"/>
            </w:pPr>
            <w:r>
              <w:t>Dep.</w:t>
            </w:r>
          </w:p>
        </w:tc>
        <w:tc>
          <w:tcPr>
            <w:tcW w:w="760" w:type="dxa"/>
          </w:tcPr>
          <w:p w:rsidR="00557A6F" w:rsidRDefault="00557A6F" w:rsidP="00AF5F55">
            <w:pPr>
              <w:jc w:val="right"/>
            </w:pPr>
            <w:r>
              <w:t>Kat.</w:t>
            </w:r>
          </w:p>
        </w:tc>
        <w:tc>
          <w:tcPr>
            <w:tcW w:w="1140" w:type="dxa"/>
          </w:tcPr>
          <w:p w:rsidR="00557A6F" w:rsidRDefault="00557A6F" w:rsidP="00AF5F55">
            <w:pPr>
              <w:jc w:val="right"/>
            </w:pPr>
            <w:r>
              <w:t>Kap./post</w:t>
            </w:r>
          </w:p>
        </w:tc>
        <w:tc>
          <w:tcPr>
            <w:tcW w:w="1140" w:type="dxa"/>
          </w:tcPr>
          <w:p w:rsidR="00557A6F" w:rsidRDefault="00557A6F" w:rsidP="00AF5F55">
            <w:pPr>
              <w:jc w:val="right"/>
            </w:pPr>
            <w:r>
              <w:t>Regnskap 2018</w:t>
            </w:r>
          </w:p>
        </w:tc>
        <w:tc>
          <w:tcPr>
            <w:tcW w:w="1140" w:type="dxa"/>
          </w:tcPr>
          <w:p w:rsidR="00557A6F" w:rsidRDefault="00557A6F" w:rsidP="00AF5F55">
            <w:pPr>
              <w:jc w:val="right"/>
            </w:pPr>
            <w:r>
              <w:t>Budsjett 2019</w:t>
            </w:r>
          </w:p>
        </w:tc>
        <w:tc>
          <w:tcPr>
            <w:tcW w:w="1140" w:type="dxa"/>
          </w:tcPr>
          <w:p w:rsidR="00557A6F" w:rsidRDefault="00557A6F" w:rsidP="00AF5F55">
            <w:pPr>
              <w:jc w:val="right"/>
            </w:pPr>
            <w:r>
              <w:t xml:space="preserve">Forslag </w:t>
            </w:r>
            <w:r>
              <w:br/>
              <w:t>2020</w:t>
            </w:r>
          </w:p>
        </w:tc>
      </w:tr>
      <w:tr w:rsidR="00557A6F" w:rsidTr="00557A6F">
        <w:trPr>
          <w:trHeight w:val="380"/>
        </w:trPr>
        <w:tc>
          <w:tcPr>
            <w:tcW w:w="3480" w:type="dxa"/>
          </w:tcPr>
          <w:p w:rsidR="00557A6F" w:rsidRDefault="00557A6F" w:rsidP="00557A6F">
            <w:r>
              <w:t>Tilskudd til apotek</w:t>
            </w:r>
            <w:r>
              <w:rPr>
                <w:rStyle w:val="skrift-hevet"/>
                <w:sz w:val="21"/>
                <w:szCs w:val="21"/>
              </w:rPr>
              <w:t>1</w:t>
            </w:r>
          </w:p>
        </w:tc>
        <w:tc>
          <w:tcPr>
            <w:tcW w:w="760" w:type="dxa"/>
          </w:tcPr>
          <w:p w:rsidR="00557A6F" w:rsidRDefault="00557A6F" w:rsidP="00AF5F55">
            <w:pPr>
              <w:jc w:val="right"/>
            </w:pPr>
            <w:r>
              <w:t>HOD</w:t>
            </w:r>
          </w:p>
        </w:tc>
        <w:tc>
          <w:tcPr>
            <w:tcW w:w="760" w:type="dxa"/>
          </w:tcPr>
          <w:p w:rsidR="00557A6F" w:rsidRDefault="00557A6F" w:rsidP="00AF5F55">
            <w:pPr>
              <w:jc w:val="right"/>
            </w:pPr>
            <w:r>
              <w:t>B</w:t>
            </w:r>
          </w:p>
        </w:tc>
        <w:tc>
          <w:tcPr>
            <w:tcW w:w="1140" w:type="dxa"/>
          </w:tcPr>
          <w:p w:rsidR="00557A6F" w:rsidRDefault="00557A6F" w:rsidP="00AF5F55">
            <w:pPr>
              <w:jc w:val="right"/>
            </w:pPr>
            <w:r>
              <w:t>0751/70</w:t>
            </w:r>
          </w:p>
        </w:tc>
        <w:tc>
          <w:tcPr>
            <w:tcW w:w="1140" w:type="dxa"/>
          </w:tcPr>
          <w:p w:rsidR="00557A6F" w:rsidRDefault="00557A6F" w:rsidP="00AF5F55">
            <w:pPr>
              <w:jc w:val="right"/>
            </w:pPr>
            <w:r>
              <w:t>4 024</w:t>
            </w:r>
          </w:p>
        </w:tc>
        <w:tc>
          <w:tcPr>
            <w:tcW w:w="1140" w:type="dxa"/>
          </w:tcPr>
          <w:p w:rsidR="00557A6F" w:rsidRDefault="00557A6F" w:rsidP="00AF5F55">
            <w:pPr>
              <w:jc w:val="right"/>
            </w:pPr>
            <w:r>
              <w:t>3 601</w:t>
            </w:r>
          </w:p>
        </w:tc>
        <w:tc>
          <w:tcPr>
            <w:tcW w:w="1140" w:type="dxa"/>
          </w:tcPr>
          <w:p w:rsidR="00557A6F" w:rsidRDefault="00557A6F" w:rsidP="00AF5F55">
            <w:pPr>
              <w:jc w:val="right"/>
            </w:pPr>
          </w:p>
        </w:tc>
      </w:tr>
      <w:tr w:rsidR="00557A6F" w:rsidTr="00557A6F">
        <w:trPr>
          <w:trHeight w:val="640"/>
        </w:trPr>
        <w:tc>
          <w:tcPr>
            <w:tcW w:w="3480" w:type="dxa"/>
          </w:tcPr>
          <w:p w:rsidR="00557A6F" w:rsidRDefault="00557A6F" w:rsidP="00557A6F">
            <w:r>
              <w:t xml:space="preserve">Rekruttering og faglig utvikling </w:t>
            </w:r>
            <w:r>
              <w:br/>
              <w:t>i allmennlegetjenesten</w:t>
            </w:r>
          </w:p>
        </w:tc>
        <w:tc>
          <w:tcPr>
            <w:tcW w:w="760" w:type="dxa"/>
          </w:tcPr>
          <w:p w:rsidR="00557A6F" w:rsidRDefault="00557A6F" w:rsidP="00AF5F55">
            <w:pPr>
              <w:jc w:val="right"/>
            </w:pPr>
            <w:r>
              <w:t>HOD</w:t>
            </w:r>
          </w:p>
        </w:tc>
        <w:tc>
          <w:tcPr>
            <w:tcW w:w="760" w:type="dxa"/>
          </w:tcPr>
          <w:p w:rsidR="00557A6F" w:rsidRDefault="00557A6F" w:rsidP="00AF5F55">
            <w:pPr>
              <w:jc w:val="right"/>
            </w:pPr>
            <w:r>
              <w:t>B</w:t>
            </w:r>
          </w:p>
        </w:tc>
        <w:tc>
          <w:tcPr>
            <w:tcW w:w="1140" w:type="dxa"/>
          </w:tcPr>
          <w:p w:rsidR="00557A6F" w:rsidRDefault="00557A6F" w:rsidP="00AF5F55">
            <w:pPr>
              <w:jc w:val="right"/>
            </w:pPr>
            <w:r>
              <w:t>0762/70</w:t>
            </w:r>
          </w:p>
        </w:tc>
        <w:tc>
          <w:tcPr>
            <w:tcW w:w="1140" w:type="dxa"/>
          </w:tcPr>
          <w:p w:rsidR="00557A6F" w:rsidRDefault="00557A6F" w:rsidP="00AF5F55">
            <w:pPr>
              <w:jc w:val="right"/>
            </w:pPr>
            <w:r>
              <w:t>6 300</w:t>
            </w:r>
          </w:p>
        </w:tc>
        <w:tc>
          <w:tcPr>
            <w:tcW w:w="1140" w:type="dxa"/>
          </w:tcPr>
          <w:p w:rsidR="00557A6F" w:rsidRDefault="00557A6F" w:rsidP="00AF5F55">
            <w:pPr>
              <w:jc w:val="right"/>
            </w:pPr>
            <w:r>
              <w:t>6 300</w:t>
            </w:r>
          </w:p>
        </w:tc>
        <w:tc>
          <w:tcPr>
            <w:tcW w:w="1140" w:type="dxa"/>
          </w:tcPr>
          <w:p w:rsidR="00557A6F" w:rsidRDefault="00557A6F" w:rsidP="00AF5F55">
            <w:pPr>
              <w:jc w:val="right"/>
            </w:pPr>
            <w:r>
              <w:t>6 300</w:t>
            </w:r>
          </w:p>
        </w:tc>
      </w:tr>
      <w:tr w:rsidR="00557A6F" w:rsidTr="00557A6F">
        <w:trPr>
          <w:trHeight w:val="640"/>
        </w:trPr>
        <w:tc>
          <w:tcPr>
            <w:tcW w:w="3480" w:type="dxa"/>
          </w:tcPr>
          <w:p w:rsidR="00557A6F" w:rsidRDefault="00557A6F" w:rsidP="00557A6F">
            <w:r>
              <w:t>Forsøks- og utviklingstiltak innen tannhelsetjenesten</w:t>
            </w:r>
          </w:p>
        </w:tc>
        <w:tc>
          <w:tcPr>
            <w:tcW w:w="760" w:type="dxa"/>
          </w:tcPr>
          <w:p w:rsidR="00557A6F" w:rsidRDefault="00557A6F" w:rsidP="00AF5F55">
            <w:pPr>
              <w:jc w:val="right"/>
            </w:pPr>
            <w:r>
              <w:t>HOD</w:t>
            </w:r>
          </w:p>
        </w:tc>
        <w:tc>
          <w:tcPr>
            <w:tcW w:w="760" w:type="dxa"/>
          </w:tcPr>
          <w:p w:rsidR="00557A6F" w:rsidRDefault="00557A6F" w:rsidP="00AF5F55">
            <w:pPr>
              <w:jc w:val="right"/>
            </w:pPr>
            <w:r>
              <w:t>B</w:t>
            </w:r>
          </w:p>
        </w:tc>
        <w:tc>
          <w:tcPr>
            <w:tcW w:w="1140" w:type="dxa"/>
          </w:tcPr>
          <w:p w:rsidR="00557A6F" w:rsidRDefault="00557A6F" w:rsidP="00AF5F55">
            <w:pPr>
              <w:jc w:val="right"/>
            </w:pPr>
            <w:r>
              <w:t>0770/70</w:t>
            </w:r>
          </w:p>
        </w:tc>
        <w:tc>
          <w:tcPr>
            <w:tcW w:w="1140" w:type="dxa"/>
          </w:tcPr>
          <w:p w:rsidR="00557A6F" w:rsidRDefault="00557A6F" w:rsidP="00AF5F55">
            <w:pPr>
              <w:jc w:val="right"/>
            </w:pPr>
            <w:r>
              <w:t>110 500</w:t>
            </w:r>
          </w:p>
        </w:tc>
        <w:tc>
          <w:tcPr>
            <w:tcW w:w="1140" w:type="dxa"/>
          </w:tcPr>
          <w:p w:rsidR="00557A6F" w:rsidRDefault="00557A6F" w:rsidP="00AF5F55">
            <w:pPr>
              <w:jc w:val="right"/>
            </w:pPr>
            <w:r>
              <w:t>115 000</w:t>
            </w:r>
          </w:p>
        </w:tc>
        <w:tc>
          <w:tcPr>
            <w:tcW w:w="1140" w:type="dxa"/>
          </w:tcPr>
          <w:p w:rsidR="00557A6F" w:rsidRDefault="00557A6F" w:rsidP="00AF5F55">
            <w:pPr>
              <w:jc w:val="right"/>
            </w:pPr>
            <w:r>
              <w:t>110 000</w:t>
            </w:r>
          </w:p>
        </w:tc>
      </w:tr>
      <w:tr w:rsidR="00557A6F" w:rsidTr="00557A6F">
        <w:trPr>
          <w:trHeight w:val="640"/>
        </w:trPr>
        <w:tc>
          <w:tcPr>
            <w:tcW w:w="3480" w:type="dxa"/>
          </w:tcPr>
          <w:p w:rsidR="00557A6F" w:rsidRDefault="00557A6F" w:rsidP="00557A6F">
            <w:r>
              <w:t>Fraktrefusjonsordning for legemi</w:t>
            </w:r>
            <w:r>
              <w:t>d</w:t>
            </w:r>
            <w:r>
              <w:t>del</w:t>
            </w:r>
            <w:r>
              <w:rPr>
                <w:rStyle w:val="skrift-hevet"/>
                <w:sz w:val="21"/>
                <w:szCs w:val="21"/>
              </w:rPr>
              <w:t>1</w:t>
            </w:r>
          </w:p>
        </w:tc>
        <w:tc>
          <w:tcPr>
            <w:tcW w:w="760" w:type="dxa"/>
          </w:tcPr>
          <w:p w:rsidR="00557A6F" w:rsidRDefault="00557A6F" w:rsidP="00AF5F55">
            <w:pPr>
              <w:jc w:val="right"/>
            </w:pPr>
            <w:r>
              <w:t>HOD</w:t>
            </w:r>
          </w:p>
        </w:tc>
        <w:tc>
          <w:tcPr>
            <w:tcW w:w="760" w:type="dxa"/>
          </w:tcPr>
          <w:p w:rsidR="00557A6F" w:rsidRDefault="00557A6F" w:rsidP="00AF5F55">
            <w:pPr>
              <w:jc w:val="right"/>
            </w:pPr>
            <w:r>
              <w:t>B</w:t>
            </w:r>
          </w:p>
        </w:tc>
        <w:tc>
          <w:tcPr>
            <w:tcW w:w="1140" w:type="dxa"/>
          </w:tcPr>
          <w:p w:rsidR="00557A6F" w:rsidRDefault="00557A6F" w:rsidP="00AF5F55">
            <w:pPr>
              <w:jc w:val="right"/>
            </w:pPr>
            <w:r>
              <w:t>717/70</w:t>
            </w:r>
          </w:p>
        </w:tc>
        <w:tc>
          <w:tcPr>
            <w:tcW w:w="1140" w:type="dxa"/>
          </w:tcPr>
          <w:p w:rsidR="00557A6F" w:rsidRDefault="00557A6F" w:rsidP="00AF5F55">
            <w:pPr>
              <w:jc w:val="right"/>
            </w:pPr>
            <w:r>
              <w:t>1 822</w:t>
            </w:r>
          </w:p>
        </w:tc>
        <w:tc>
          <w:tcPr>
            <w:tcW w:w="1140" w:type="dxa"/>
          </w:tcPr>
          <w:p w:rsidR="00557A6F" w:rsidRDefault="00557A6F" w:rsidP="00AF5F55">
            <w:pPr>
              <w:jc w:val="right"/>
            </w:pPr>
            <w:r>
              <w:t>2 200</w:t>
            </w:r>
          </w:p>
        </w:tc>
        <w:tc>
          <w:tcPr>
            <w:tcW w:w="1140" w:type="dxa"/>
          </w:tcPr>
          <w:p w:rsidR="00557A6F" w:rsidRDefault="00557A6F" w:rsidP="00AF5F55">
            <w:pPr>
              <w:jc w:val="right"/>
            </w:pPr>
          </w:p>
        </w:tc>
      </w:tr>
      <w:tr w:rsidR="00557A6F" w:rsidTr="00557A6F">
        <w:trPr>
          <w:trHeight w:val="380"/>
        </w:trPr>
        <w:tc>
          <w:tcPr>
            <w:tcW w:w="3480" w:type="dxa"/>
          </w:tcPr>
          <w:p w:rsidR="00557A6F" w:rsidRDefault="00557A6F" w:rsidP="00557A6F">
            <w:r>
              <w:t>Sykestuefinansiering, Finnmark</w:t>
            </w:r>
          </w:p>
        </w:tc>
        <w:tc>
          <w:tcPr>
            <w:tcW w:w="760" w:type="dxa"/>
          </w:tcPr>
          <w:p w:rsidR="00557A6F" w:rsidRDefault="00557A6F" w:rsidP="00AF5F55">
            <w:pPr>
              <w:jc w:val="right"/>
            </w:pPr>
            <w:r>
              <w:t>HOD</w:t>
            </w:r>
          </w:p>
        </w:tc>
        <w:tc>
          <w:tcPr>
            <w:tcW w:w="760" w:type="dxa"/>
          </w:tcPr>
          <w:p w:rsidR="00557A6F" w:rsidRDefault="00557A6F" w:rsidP="00AF5F55">
            <w:pPr>
              <w:jc w:val="right"/>
            </w:pPr>
            <w:r>
              <w:t>A</w:t>
            </w:r>
          </w:p>
        </w:tc>
        <w:tc>
          <w:tcPr>
            <w:tcW w:w="1140" w:type="dxa"/>
          </w:tcPr>
          <w:p w:rsidR="00557A6F" w:rsidRDefault="00557A6F" w:rsidP="00AF5F55">
            <w:pPr>
              <w:jc w:val="right"/>
            </w:pPr>
            <w:r>
              <w:t>0732/70</w:t>
            </w:r>
          </w:p>
        </w:tc>
        <w:tc>
          <w:tcPr>
            <w:tcW w:w="1140" w:type="dxa"/>
          </w:tcPr>
          <w:p w:rsidR="00557A6F" w:rsidRDefault="00557A6F" w:rsidP="00AF5F55">
            <w:pPr>
              <w:jc w:val="right"/>
            </w:pPr>
            <w:r>
              <w:t>9 700</w:t>
            </w:r>
          </w:p>
        </w:tc>
        <w:tc>
          <w:tcPr>
            <w:tcW w:w="1140" w:type="dxa"/>
          </w:tcPr>
          <w:p w:rsidR="00557A6F" w:rsidRDefault="00557A6F" w:rsidP="00AF5F55">
            <w:pPr>
              <w:jc w:val="right"/>
            </w:pPr>
            <w:r>
              <w:t>9 900</w:t>
            </w:r>
          </w:p>
        </w:tc>
        <w:tc>
          <w:tcPr>
            <w:tcW w:w="1140" w:type="dxa"/>
          </w:tcPr>
          <w:p w:rsidR="00557A6F" w:rsidRDefault="00557A6F" w:rsidP="00AF5F55">
            <w:pPr>
              <w:jc w:val="right"/>
            </w:pPr>
            <w:r>
              <w:t>10 200</w:t>
            </w:r>
          </w:p>
        </w:tc>
      </w:tr>
      <w:tr w:rsidR="00557A6F" w:rsidTr="00557A6F">
        <w:trPr>
          <w:trHeight w:val="380"/>
        </w:trPr>
        <w:tc>
          <w:tcPr>
            <w:tcW w:w="3480" w:type="dxa"/>
          </w:tcPr>
          <w:p w:rsidR="00557A6F" w:rsidRDefault="00557A6F" w:rsidP="00557A6F">
            <w:r>
              <w:t>Tilskudd LIS1-stillinger</w:t>
            </w:r>
            <w:r>
              <w:rPr>
                <w:rStyle w:val="skrift-hevet"/>
                <w:sz w:val="21"/>
                <w:szCs w:val="21"/>
              </w:rPr>
              <w:t>2</w:t>
            </w:r>
          </w:p>
        </w:tc>
        <w:tc>
          <w:tcPr>
            <w:tcW w:w="760" w:type="dxa"/>
          </w:tcPr>
          <w:p w:rsidR="00557A6F" w:rsidRDefault="00557A6F" w:rsidP="00AF5F55">
            <w:pPr>
              <w:jc w:val="right"/>
            </w:pPr>
            <w:r>
              <w:t>HOD</w:t>
            </w:r>
          </w:p>
        </w:tc>
        <w:tc>
          <w:tcPr>
            <w:tcW w:w="760" w:type="dxa"/>
          </w:tcPr>
          <w:p w:rsidR="00557A6F" w:rsidRDefault="00557A6F" w:rsidP="00AF5F55">
            <w:pPr>
              <w:jc w:val="right"/>
            </w:pPr>
          </w:p>
        </w:tc>
        <w:tc>
          <w:tcPr>
            <w:tcW w:w="1140" w:type="dxa"/>
          </w:tcPr>
          <w:p w:rsidR="00557A6F" w:rsidRDefault="00557A6F" w:rsidP="00AF5F55">
            <w:pPr>
              <w:jc w:val="right"/>
            </w:pPr>
            <w:r>
              <w:t>732/70</w:t>
            </w:r>
          </w:p>
        </w:tc>
        <w:tc>
          <w:tcPr>
            <w:tcW w:w="1140" w:type="dxa"/>
          </w:tcPr>
          <w:p w:rsidR="00557A6F" w:rsidRDefault="00557A6F" w:rsidP="00AF5F55">
            <w:pPr>
              <w:jc w:val="right"/>
            </w:pPr>
            <w:r>
              <w:t>0</w:t>
            </w:r>
          </w:p>
        </w:tc>
        <w:tc>
          <w:tcPr>
            <w:tcW w:w="1140" w:type="dxa"/>
          </w:tcPr>
          <w:p w:rsidR="00557A6F" w:rsidRDefault="00557A6F" w:rsidP="00AF5F55">
            <w:pPr>
              <w:jc w:val="right"/>
            </w:pPr>
            <w:r>
              <w:t>0</w:t>
            </w:r>
          </w:p>
        </w:tc>
        <w:tc>
          <w:tcPr>
            <w:tcW w:w="1140" w:type="dxa"/>
          </w:tcPr>
          <w:p w:rsidR="00557A6F" w:rsidRDefault="00557A6F" w:rsidP="00AF5F55">
            <w:pPr>
              <w:jc w:val="right"/>
            </w:pPr>
            <w:r>
              <w:t>10 000</w:t>
            </w:r>
          </w:p>
        </w:tc>
      </w:tr>
      <w:tr w:rsidR="00557A6F" w:rsidTr="00557A6F">
        <w:trPr>
          <w:trHeight w:val="640"/>
        </w:trPr>
        <w:tc>
          <w:tcPr>
            <w:tcW w:w="3480" w:type="dxa"/>
          </w:tcPr>
          <w:p w:rsidR="00557A6F" w:rsidRDefault="00557A6F" w:rsidP="00557A6F">
            <w:r>
              <w:t xml:space="preserve">Landsdelsmusikerordningen i </w:t>
            </w:r>
            <w:r>
              <w:br/>
              <w:t>Nord-Norge</w:t>
            </w:r>
          </w:p>
        </w:tc>
        <w:tc>
          <w:tcPr>
            <w:tcW w:w="760" w:type="dxa"/>
          </w:tcPr>
          <w:p w:rsidR="00557A6F" w:rsidRDefault="00557A6F" w:rsidP="00AF5F55">
            <w:pPr>
              <w:jc w:val="right"/>
            </w:pPr>
            <w:r>
              <w:t>KUD</w:t>
            </w:r>
          </w:p>
        </w:tc>
        <w:tc>
          <w:tcPr>
            <w:tcW w:w="760" w:type="dxa"/>
          </w:tcPr>
          <w:p w:rsidR="00557A6F" w:rsidRDefault="00557A6F" w:rsidP="00AF5F55">
            <w:pPr>
              <w:jc w:val="right"/>
            </w:pPr>
            <w:r>
              <w:t>A</w:t>
            </w:r>
          </w:p>
        </w:tc>
        <w:tc>
          <w:tcPr>
            <w:tcW w:w="1140" w:type="dxa"/>
          </w:tcPr>
          <w:p w:rsidR="00557A6F" w:rsidRDefault="00557A6F" w:rsidP="00AF5F55">
            <w:pPr>
              <w:jc w:val="right"/>
            </w:pPr>
            <w:r>
              <w:t>323/60</w:t>
            </w:r>
          </w:p>
        </w:tc>
        <w:tc>
          <w:tcPr>
            <w:tcW w:w="1140" w:type="dxa"/>
          </w:tcPr>
          <w:p w:rsidR="00557A6F" w:rsidRDefault="00557A6F" w:rsidP="00AF5F55">
            <w:pPr>
              <w:jc w:val="right"/>
            </w:pPr>
            <w:r>
              <w:t>21 120</w:t>
            </w:r>
          </w:p>
        </w:tc>
        <w:tc>
          <w:tcPr>
            <w:tcW w:w="1140" w:type="dxa"/>
          </w:tcPr>
          <w:p w:rsidR="00557A6F" w:rsidRDefault="00557A6F" w:rsidP="00AF5F55">
            <w:pPr>
              <w:jc w:val="right"/>
            </w:pPr>
            <w:r>
              <w:t>21 620</w:t>
            </w:r>
          </w:p>
        </w:tc>
        <w:tc>
          <w:tcPr>
            <w:tcW w:w="1140" w:type="dxa"/>
          </w:tcPr>
          <w:p w:rsidR="00557A6F" w:rsidRDefault="00557A6F" w:rsidP="00AF5F55">
            <w:pPr>
              <w:jc w:val="right"/>
            </w:pPr>
            <w:r>
              <w:t>22 200</w:t>
            </w:r>
          </w:p>
        </w:tc>
      </w:tr>
      <w:tr w:rsidR="00557A6F" w:rsidTr="00557A6F">
        <w:trPr>
          <w:trHeight w:val="380"/>
        </w:trPr>
        <w:tc>
          <w:tcPr>
            <w:tcW w:w="3480" w:type="dxa"/>
          </w:tcPr>
          <w:p w:rsidR="00557A6F" w:rsidRDefault="00557A6F" w:rsidP="00557A6F">
            <w:r>
              <w:t>Region- og distriktsopera</w:t>
            </w:r>
          </w:p>
        </w:tc>
        <w:tc>
          <w:tcPr>
            <w:tcW w:w="760" w:type="dxa"/>
          </w:tcPr>
          <w:p w:rsidR="00557A6F" w:rsidRDefault="00557A6F" w:rsidP="00AF5F55">
            <w:pPr>
              <w:jc w:val="right"/>
            </w:pPr>
            <w:r>
              <w:t>KUD</w:t>
            </w:r>
          </w:p>
        </w:tc>
        <w:tc>
          <w:tcPr>
            <w:tcW w:w="760" w:type="dxa"/>
          </w:tcPr>
          <w:p w:rsidR="00557A6F" w:rsidRDefault="00557A6F" w:rsidP="00AF5F55">
            <w:pPr>
              <w:jc w:val="right"/>
            </w:pPr>
            <w:r>
              <w:t>B</w:t>
            </w:r>
          </w:p>
        </w:tc>
        <w:tc>
          <w:tcPr>
            <w:tcW w:w="1140" w:type="dxa"/>
          </w:tcPr>
          <w:p w:rsidR="00557A6F" w:rsidRDefault="00557A6F" w:rsidP="00AF5F55">
            <w:pPr>
              <w:jc w:val="right"/>
            </w:pPr>
            <w:r>
              <w:t>323/73</w:t>
            </w:r>
          </w:p>
        </w:tc>
        <w:tc>
          <w:tcPr>
            <w:tcW w:w="1140" w:type="dxa"/>
          </w:tcPr>
          <w:p w:rsidR="00557A6F" w:rsidRDefault="00557A6F" w:rsidP="00AF5F55">
            <w:pPr>
              <w:jc w:val="right"/>
            </w:pPr>
            <w:r>
              <w:t>59 760</w:t>
            </w:r>
          </w:p>
        </w:tc>
        <w:tc>
          <w:tcPr>
            <w:tcW w:w="1140" w:type="dxa"/>
          </w:tcPr>
          <w:p w:rsidR="00557A6F" w:rsidRDefault="00557A6F" w:rsidP="00AF5F55">
            <w:pPr>
              <w:jc w:val="right"/>
            </w:pPr>
            <w:r>
              <w:t>63 585</w:t>
            </w:r>
          </w:p>
        </w:tc>
        <w:tc>
          <w:tcPr>
            <w:tcW w:w="1140" w:type="dxa"/>
          </w:tcPr>
          <w:p w:rsidR="00557A6F" w:rsidRDefault="00557A6F" w:rsidP="00AF5F55">
            <w:pPr>
              <w:jc w:val="right"/>
            </w:pPr>
            <w:r>
              <w:t>64 870</w:t>
            </w:r>
          </w:p>
        </w:tc>
      </w:tr>
      <w:tr w:rsidR="00557A6F" w:rsidTr="00557A6F">
        <w:trPr>
          <w:trHeight w:val="380"/>
        </w:trPr>
        <w:tc>
          <w:tcPr>
            <w:tcW w:w="3480" w:type="dxa"/>
          </w:tcPr>
          <w:p w:rsidR="00557A6F" w:rsidRDefault="00557A6F" w:rsidP="00557A6F">
            <w:r>
              <w:lastRenderedPageBreak/>
              <w:t>Det nasjonale museumsnettverket</w:t>
            </w:r>
            <w:r>
              <w:rPr>
                <w:rStyle w:val="skrift-hevet"/>
                <w:sz w:val="21"/>
                <w:szCs w:val="21"/>
              </w:rPr>
              <w:t>3</w:t>
            </w:r>
          </w:p>
        </w:tc>
        <w:tc>
          <w:tcPr>
            <w:tcW w:w="760" w:type="dxa"/>
          </w:tcPr>
          <w:p w:rsidR="00557A6F" w:rsidRDefault="00557A6F" w:rsidP="00AF5F55">
            <w:pPr>
              <w:jc w:val="right"/>
            </w:pPr>
            <w:r>
              <w:t>KUD</w:t>
            </w:r>
          </w:p>
        </w:tc>
        <w:tc>
          <w:tcPr>
            <w:tcW w:w="760" w:type="dxa"/>
          </w:tcPr>
          <w:p w:rsidR="00557A6F" w:rsidRDefault="00557A6F" w:rsidP="00AF5F55">
            <w:pPr>
              <w:jc w:val="right"/>
            </w:pPr>
            <w:r>
              <w:t>B</w:t>
            </w:r>
          </w:p>
        </w:tc>
        <w:tc>
          <w:tcPr>
            <w:tcW w:w="1140" w:type="dxa"/>
          </w:tcPr>
          <w:p w:rsidR="00557A6F" w:rsidRDefault="00557A6F" w:rsidP="00AF5F55">
            <w:pPr>
              <w:jc w:val="right"/>
            </w:pPr>
            <w:r>
              <w:t>328/70</w:t>
            </w:r>
          </w:p>
        </w:tc>
        <w:tc>
          <w:tcPr>
            <w:tcW w:w="1140" w:type="dxa"/>
          </w:tcPr>
          <w:p w:rsidR="00557A6F" w:rsidRDefault="00557A6F" w:rsidP="00AF5F55">
            <w:pPr>
              <w:jc w:val="right"/>
            </w:pPr>
            <w:r>
              <w:t>1 191 500</w:t>
            </w:r>
          </w:p>
        </w:tc>
        <w:tc>
          <w:tcPr>
            <w:tcW w:w="1140" w:type="dxa"/>
          </w:tcPr>
          <w:p w:rsidR="00557A6F" w:rsidRDefault="00557A6F" w:rsidP="00AF5F55">
            <w:pPr>
              <w:jc w:val="right"/>
            </w:pPr>
            <w:r>
              <w:t>1 237 730</w:t>
            </w:r>
          </w:p>
        </w:tc>
        <w:tc>
          <w:tcPr>
            <w:tcW w:w="1140" w:type="dxa"/>
          </w:tcPr>
          <w:p w:rsidR="00557A6F" w:rsidRDefault="00557A6F" w:rsidP="00AF5F55">
            <w:pPr>
              <w:jc w:val="right"/>
            </w:pPr>
            <w:r>
              <w:t>1 285 625</w:t>
            </w:r>
          </w:p>
        </w:tc>
      </w:tr>
      <w:tr w:rsidR="00557A6F" w:rsidTr="00557A6F">
        <w:trPr>
          <w:trHeight w:val="380"/>
        </w:trPr>
        <w:tc>
          <w:tcPr>
            <w:tcW w:w="3480" w:type="dxa"/>
          </w:tcPr>
          <w:p w:rsidR="00557A6F" w:rsidRDefault="00557A6F" w:rsidP="00557A6F">
            <w:r>
              <w:t xml:space="preserve">Riksteateret </w:t>
            </w:r>
          </w:p>
        </w:tc>
        <w:tc>
          <w:tcPr>
            <w:tcW w:w="760" w:type="dxa"/>
          </w:tcPr>
          <w:p w:rsidR="00557A6F" w:rsidRDefault="00557A6F" w:rsidP="00AF5F55">
            <w:pPr>
              <w:jc w:val="right"/>
            </w:pPr>
            <w:r>
              <w:t>KUD</w:t>
            </w:r>
          </w:p>
        </w:tc>
        <w:tc>
          <w:tcPr>
            <w:tcW w:w="760" w:type="dxa"/>
          </w:tcPr>
          <w:p w:rsidR="00557A6F" w:rsidRDefault="00557A6F" w:rsidP="00AF5F55">
            <w:pPr>
              <w:jc w:val="right"/>
            </w:pPr>
            <w:r>
              <w:t>B</w:t>
            </w:r>
          </w:p>
        </w:tc>
        <w:tc>
          <w:tcPr>
            <w:tcW w:w="1140" w:type="dxa"/>
          </w:tcPr>
          <w:p w:rsidR="00557A6F" w:rsidRDefault="00557A6F" w:rsidP="00AF5F55">
            <w:pPr>
              <w:jc w:val="right"/>
            </w:pPr>
            <w:r>
              <w:t>323/01</w:t>
            </w:r>
          </w:p>
        </w:tc>
        <w:tc>
          <w:tcPr>
            <w:tcW w:w="1140" w:type="dxa"/>
          </w:tcPr>
          <w:p w:rsidR="00557A6F" w:rsidRDefault="00557A6F" w:rsidP="00AF5F55">
            <w:pPr>
              <w:jc w:val="right"/>
            </w:pPr>
            <w:r>
              <w:t>82 706</w:t>
            </w:r>
          </w:p>
        </w:tc>
        <w:tc>
          <w:tcPr>
            <w:tcW w:w="1140" w:type="dxa"/>
          </w:tcPr>
          <w:p w:rsidR="00557A6F" w:rsidRDefault="00557A6F" w:rsidP="00AF5F55">
            <w:pPr>
              <w:jc w:val="right"/>
            </w:pPr>
            <w:r>
              <w:t>86 727</w:t>
            </w:r>
          </w:p>
        </w:tc>
        <w:tc>
          <w:tcPr>
            <w:tcW w:w="1140" w:type="dxa"/>
          </w:tcPr>
          <w:p w:rsidR="00557A6F" w:rsidRDefault="00557A6F" w:rsidP="00AF5F55">
            <w:pPr>
              <w:jc w:val="right"/>
            </w:pPr>
            <w:r>
              <w:t>88 550</w:t>
            </w:r>
          </w:p>
        </w:tc>
      </w:tr>
      <w:tr w:rsidR="00557A6F" w:rsidTr="00557A6F">
        <w:trPr>
          <w:trHeight w:val="380"/>
        </w:trPr>
        <w:tc>
          <w:tcPr>
            <w:tcW w:w="3480" w:type="dxa"/>
          </w:tcPr>
          <w:p w:rsidR="00557A6F" w:rsidRDefault="00557A6F" w:rsidP="00557A6F">
            <w:r>
              <w:t>Riksteateret – turnevirksomhet</w:t>
            </w:r>
          </w:p>
        </w:tc>
        <w:tc>
          <w:tcPr>
            <w:tcW w:w="760" w:type="dxa"/>
          </w:tcPr>
          <w:p w:rsidR="00557A6F" w:rsidRDefault="00557A6F" w:rsidP="00AF5F55">
            <w:pPr>
              <w:jc w:val="right"/>
            </w:pPr>
            <w:r>
              <w:t>KUD</w:t>
            </w:r>
          </w:p>
        </w:tc>
        <w:tc>
          <w:tcPr>
            <w:tcW w:w="760" w:type="dxa"/>
          </w:tcPr>
          <w:p w:rsidR="00557A6F" w:rsidRDefault="00557A6F" w:rsidP="00AF5F55">
            <w:pPr>
              <w:jc w:val="right"/>
            </w:pPr>
            <w:r>
              <w:t>B</w:t>
            </w:r>
          </w:p>
        </w:tc>
        <w:tc>
          <w:tcPr>
            <w:tcW w:w="1140" w:type="dxa"/>
          </w:tcPr>
          <w:p w:rsidR="00557A6F" w:rsidRDefault="00557A6F" w:rsidP="00AF5F55">
            <w:pPr>
              <w:jc w:val="right"/>
            </w:pPr>
            <w:r>
              <w:t>323/21</w:t>
            </w:r>
          </w:p>
        </w:tc>
        <w:tc>
          <w:tcPr>
            <w:tcW w:w="1140" w:type="dxa"/>
          </w:tcPr>
          <w:p w:rsidR="00557A6F" w:rsidRDefault="00557A6F" w:rsidP="00AF5F55">
            <w:pPr>
              <w:jc w:val="right"/>
            </w:pPr>
            <w:r>
              <w:t>33 713</w:t>
            </w:r>
          </w:p>
        </w:tc>
        <w:tc>
          <w:tcPr>
            <w:tcW w:w="1140" w:type="dxa"/>
          </w:tcPr>
          <w:p w:rsidR="00557A6F" w:rsidRDefault="00557A6F" w:rsidP="00AF5F55">
            <w:pPr>
              <w:jc w:val="right"/>
            </w:pPr>
            <w:r>
              <w:t>63 480</w:t>
            </w:r>
          </w:p>
        </w:tc>
        <w:tc>
          <w:tcPr>
            <w:tcW w:w="1140" w:type="dxa"/>
          </w:tcPr>
          <w:p w:rsidR="00557A6F" w:rsidRDefault="00557A6F" w:rsidP="00AF5F55">
            <w:pPr>
              <w:jc w:val="right"/>
            </w:pPr>
            <w:r>
              <w:t>65 190</w:t>
            </w:r>
          </w:p>
        </w:tc>
      </w:tr>
      <w:tr w:rsidR="00557A6F" w:rsidTr="00557A6F">
        <w:trPr>
          <w:trHeight w:val="380"/>
        </w:trPr>
        <w:tc>
          <w:tcPr>
            <w:tcW w:w="3480" w:type="dxa"/>
          </w:tcPr>
          <w:p w:rsidR="00557A6F" w:rsidRDefault="00557A6F" w:rsidP="00557A6F">
            <w:r>
              <w:t>Kulturtanken (tidl. Rikskonsert</w:t>
            </w:r>
            <w:r>
              <w:t>e</w:t>
            </w:r>
            <w:r>
              <w:t>ne)</w:t>
            </w:r>
          </w:p>
        </w:tc>
        <w:tc>
          <w:tcPr>
            <w:tcW w:w="760" w:type="dxa"/>
          </w:tcPr>
          <w:p w:rsidR="00557A6F" w:rsidRDefault="00557A6F" w:rsidP="00AF5F55">
            <w:pPr>
              <w:jc w:val="right"/>
            </w:pPr>
            <w:r>
              <w:t>KUD</w:t>
            </w:r>
          </w:p>
        </w:tc>
        <w:tc>
          <w:tcPr>
            <w:tcW w:w="760" w:type="dxa"/>
          </w:tcPr>
          <w:p w:rsidR="00557A6F" w:rsidRDefault="00557A6F" w:rsidP="00AF5F55">
            <w:pPr>
              <w:jc w:val="right"/>
            </w:pPr>
            <w:r>
              <w:t>B</w:t>
            </w:r>
          </w:p>
        </w:tc>
        <w:tc>
          <w:tcPr>
            <w:tcW w:w="1140" w:type="dxa"/>
          </w:tcPr>
          <w:p w:rsidR="00557A6F" w:rsidRDefault="00557A6F" w:rsidP="00AF5F55">
            <w:pPr>
              <w:jc w:val="right"/>
            </w:pPr>
            <w:r>
              <w:t>325/01</w:t>
            </w:r>
          </w:p>
        </w:tc>
        <w:tc>
          <w:tcPr>
            <w:tcW w:w="1140" w:type="dxa"/>
          </w:tcPr>
          <w:p w:rsidR="00557A6F" w:rsidRDefault="00557A6F" w:rsidP="00AF5F55">
            <w:pPr>
              <w:jc w:val="right"/>
            </w:pPr>
            <w:r>
              <w:t>83 661</w:t>
            </w:r>
          </w:p>
        </w:tc>
        <w:tc>
          <w:tcPr>
            <w:tcW w:w="1140" w:type="dxa"/>
          </w:tcPr>
          <w:p w:rsidR="00557A6F" w:rsidRDefault="00557A6F" w:rsidP="00AF5F55">
            <w:pPr>
              <w:jc w:val="right"/>
            </w:pPr>
            <w:r>
              <w:t>69 765</w:t>
            </w:r>
          </w:p>
        </w:tc>
        <w:tc>
          <w:tcPr>
            <w:tcW w:w="1140" w:type="dxa"/>
          </w:tcPr>
          <w:p w:rsidR="00557A6F" w:rsidRDefault="00557A6F" w:rsidP="00AF5F55">
            <w:pPr>
              <w:jc w:val="right"/>
            </w:pPr>
            <w:r>
              <w:t>67 350</w:t>
            </w:r>
          </w:p>
        </w:tc>
      </w:tr>
      <w:tr w:rsidR="00557A6F" w:rsidTr="00557A6F">
        <w:trPr>
          <w:trHeight w:val="640"/>
        </w:trPr>
        <w:tc>
          <w:tcPr>
            <w:tcW w:w="3480" w:type="dxa"/>
          </w:tcPr>
          <w:p w:rsidR="00557A6F" w:rsidRDefault="00557A6F" w:rsidP="00557A6F">
            <w:r>
              <w:t>Region-/landsdelsinstitusjoner (m</w:t>
            </w:r>
            <w:r>
              <w:t>u</w:t>
            </w:r>
            <w:r>
              <w:t>sikk og scenekunst)</w:t>
            </w:r>
            <w:r>
              <w:rPr>
                <w:rStyle w:val="skrift-hevet"/>
                <w:sz w:val="21"/>
                <w:szCs w:val="21"/>
              </w:rPr>
              <w:t xml:space="preserve"> </w:t>
            </w:r>
          </w:p>
        </w:tc>
        <w:tc>
          <w:tcPr>
            <w:tcW w:w="760" w:type="dxa"/>
          </w:tcPr>
          <w:p w:rsidR="00557A6F" w:rsidRDefault="00557A6F" w:rsidP="00AF5F55">
            <w:pPr>
              <w:jc w:val="right"/>
            </w:pPr>
            <w:r>
              <w:t>KUD</w:t>
            </w:r>
          </w:p>
        </w:tc>
        <w:tc>
          <w:tcPr>
            <w:tcW w:w="760" w:type="dxa"/>
          </w:tcPr>
          <w:p w:rsidR="00557A6F" w:rsidRDefault="00557A6F" w:rsidP="00AF5F55">
            <w:pPr>
              <w:jc w:val="right"/>
            </w:pPr>
            <w:r>
              <w:t>B</w:t>
            </w:r>
          </w:p>
        </w:tc>
        <w:tc>
          <w:tcPr>
            <w:tcW w:w="1140" w:type="dxa"/>
          </w:tcPr>
          <w:p w:rsidR="00557A6F" w:rsidRDefault="00557A6F" w:rsidP="00AF5F55">
            <w:pPr>
              <w:jc w:val="right"/>
            </w:pPr>
            <w:r>
              <w:t>323/71</w:t>
            </w:r>
          </w:p>
        </w:tc>
        <w:tc>
          <w:tcPr>
            <w:tcW w:w="1140" w:type="dxa"/>
          </w:tcPr>
          <w:p w:rsidR="00557A6F" w:rsidRDefault="00557A6F" w:rsidP="00AF5F55">
            <w:pPr>
              <w:jc w:val="right"/>
            </w:pPr>
            <w:r>
              <w:t>602 229</w:t>
            </w:r>
          </w:p>
        </w:tc>
        <w:tc>
          <w:tcPr>
            <w:tcW w:w="1140" w:type="dxa"/>
          </w:tcPr>
          <w:p w:rsidR="00557A6F" w:rsidRDefault="00557A6F" w:rsidP="00AF5F55">
            <w:pPr>
              <w:jc w:val="right"/>
            </w:pPr>
            <w:r>
              <w:t>797 405</w:t>
            </w:r>
          </w:p>
        </w:tc>
        <w:tc>
          <w:tcPr>
            <w:tcW w:w="1140" w:type="dxa"/>
          </w:tcPr>
          <w:p w:rsidR="00557A6F" w:rsidRDefault="00557A6F" w:rsidP="00AF5F55">
            <w:pPr>
              <w:jc w:val="right"/>
            </w:pPr>
            <w:r>
              <w:t>817 730</w:t>
            </w:r>
          </w:p>
        </w:tc>
      </w:tr>
      <w:tr w:rsidR="00557A6F" w:rsidTr="00557A6F">
        <w:trPr>
          <w:trHeight w:val="380"/>
        </w:trPr>
        <w:tc>
          <w:tcPr>
            <w:tcW w:w="3480" w:type="dxa"/>
          </w:tcPr>
          <w:p w:rsidR="00557A6F" w:rsidRDefault="00557A6F" w:rsidP="00557A6F">
            <w:r>
              <w:t>Regional filmsatsing</w:t>
            </w:r>
          </w:p>
        </w:tc>
        <w:tc>
          <w:tcPr>
            <w:tcW w:w="760" w:type="dxa"/>
          </w:tcPr>
          <w:p w:rsidR="00557A6F" w:rsidRDefault="00557A6F" w:rsidP="00AF5F55">
            <w:pPr>
              <w:jc w:val="right"/>
            </w:pPr>
            <w:r>
              <w:t>KUD</w:t>
            </w:r>
          </w:p>
        </w:tc>
        <w:tc>
          <w:tcPr>
            <w:tcW w:w="760" w:type="dxa"/>
          </w:tcPr>
          <w:p w:rsidR="00557A6F" w:rsidRDefault="00557A6F" w:rsidP="00AF5F55">
            <w:pPr>
              <w:jc w:val="right"/>
            </w:pPr>
            <w:r>
              <w:t>A</w:t>
            </w:r>
          </w:p>
        </w:tc>
        <w:tc>
          <w:tcPr>
            <w:tcW w:w="1140" w:type="dxa"/>
          </w:tcPr>
          <w:p w:rsidR="00557A6F" w:rsidRDefault="00557A6F" w:rsidP="00AF5F55">
            <w:pPr>
              <w:jc w:val="right"/>
            </w:pPr>
            <w:r>
              <w:t>334/73</w:t>
            </w:r>
          </w:p>
        </w:tc>
        <w:tc>
          <w:tcPr>
            <w:tcW w:w="1140" w:type="dxa"/>
          </w:tcPr>
          <w:p w:rsidR="00557A6F" w:rsidRDefault="00557A6F" w:rsidP="00AF5F55">
            <w:pPr>
              <w:jc w:val="right"/>
            </w:pPr>
            <w:r>
              <w:t>92 356</w:t>
            </w:r>
          </w:p>
        </w:tc>
        <w:tc>
          <w:tcPr>
            <w:tcW w:w="1140" w:type="dxa"/>
          </w:tcPr>
          <w:p w:rsidR="00557A6F" w:rsidRDefault="00557A6F" w:rsidP="00AF5F55">
            <w:pPr>
              <w:jc w:val="right"/>
            </w:pPr>
            <w:r>
              <w:t>92 355</w:t>
            </w:r>
          </w:p>
        </w:tc>
        <w:tc>
          <w:tcPr>
            <w:tcW w:w="1140" w:type="dxa"/>
          </w:tcPr>
          <w:p w:rsidR="00557A6F" w:rsidRDefault="00557A6F" w:rsidP="00AF5F55">
            <w:pPr>
              <w:jc w:val="right"/>
            </w:pPr>
            <w:r>
              <w:t>110 210</w:t>
            </w:r>
          </w:p>
        </w:tc>
      </w:tr>
      <w:tr w:rsidR="00557A6F" w:rsidTr="00557A6F">
        <w:trPr>
          <w:trHeight w:val="380"/>
        </w:trPr>
        <w:tc>
          <w:tcPr>
            <w:tcW w:w="3480" w:type="dxa"/>
          </w:tcPr>
          <w:p w:rsidR="00557A6F" w:rsidRDefault="00557A6F" w:rsidP="00557A6F">
            <w:r>
              <w:t>Erstatning for beitedyr tatt av ro</w:t>
            </w:r>
            <w:r>
              <w:t>v</w:t>
            </w:r>
            <w:r>
              <w:t>vilt</w:t>
            </w:r>
          </w:p>
        </w:tc>
        <w:tc>
          <w:tcPr>
            <w:tcW w:w="760" w:type="dxa"/>
          </w:tcPr>
          <w:p w:rsidR="00557A6F" w:rsidRDefault="00557A6F" w:rsidP="00AF5F55">
            <w:pPr>
              <w:jc w:val="right"/>
            </w:pPr>
            <w:r>
              <w:t>KLD</w:t>
            </w:r>
          </w:p>
        </w:tc>
        <w:tc>
          <w:tcPr>
            <w:tcW w:w="760" w:type="dxa"/>
          </w:tcPr>
          <w:p w:rsidR="00557A6F" w:rsidRDefault="00557A6F" w:rsidP="00AF5F55">
            <w:pPr>
              <w:jc w:val="right"/>
            </w:pPr>
            <w:r>
              <w:t>B</w:t>
            </w:r>
          </w:p>
        </w:tc>
        <w:tc>
          <w:tcPr>
            <w:tcW w:w="1140" w:type="dxa"/>
          </w:tcPr>
          <w:p w:rsidR="00557A6F" w:rsidRDefault="00557A6F" w:rsidP="00AF5F55">
            <w:pPr>
              <w:jc w:val="right"/>
            </w:pPr>
            <w:r>
              <w:t>1420/72</w:t>
            </w:r>
          </w:p>
        </w:tc>
        <w:tc>
          <w:tcPr>
            <w:tcW w:w="1140" w:type="dxa"/>
          </w:tcPr>
          <w:p w:rsidR="00557A6F" w:rsidRDefault="00557A6F" w:rsidP="00AF5F55">
            <w:pPr>
              <w:jc w:val="right"/>
            </w:pPr>
            <w:r>
              <w:t>134 572</w:t>
            </w:r>
          </w:p>
        </w:tc>
        <w:tc>
          <w:tcPr>
            <w:tcW w:w="1140" w:type="dxa"/>
          </w:tcPr>
          <w:p w:rsidR="00557A6F" w:rsidRDefault="00557A6F" w:rsidP="00AF5F55">
            <w:pPr>
              <w:jc w:val="right"/>
            </w:pPr>
            <w:r>
              <w:t>136 978</w:t>
            </w:r>
          </w:p>
        </w:tc>
        <w:tc>
          <w:tcPr>
            <w:tcW w:w="1140" w:type="dxa"/>
          </w:tcPr>
          <w:p w:rsidR="00557A6F" w:rsidRDefault="00557A6F" w:rsidP="00AF5F55">
            <w:pPr>
              <w:jc w:val="right"/>
            </w:pPr>
            <w:r>
              <w:t>141 361</w:t>
            </w:r>
          </w:p>
        </w:tc>
      </w:tr>
      <w:tr w:rsidR="00557A6F" w:rsidTr="00557A6F">
        <w:trPr>
          <w:trHeight w:val="640"/>
        </w:trPr>
        <w:tc>
          <w:tcPr>
            <w:tcW w:w="3480" w:type="dxa"/>
          </w:tcPr>
          <w:p w:rsidR="00557A6F" w:rsidRDefault="00557A6F" w:rsidP="00557A6F">
            <w:r>
              <w:t>Forebyggende og konfliktde</w:t>
            </w:r>
            <w:r>
              <w:t>m</w:t>
            </w:r>
            <w:r>
              <w:t>pende tiltak i rovviltforvaltningen</w:t>
            </w:r>
          </w:p>
        </w:tc>
        <w:tc>
          <w:tcPr>
            <w:tcW w:w="760" w:type="dxa"/>
          </w:tcPr>
          <w:p w:rsidR="00557A6F" w:rsidRDefault="00557A6F" w:rsidP="00AF5F55">
            <w:pPr>
              <w:jc w:val="right"/>
            </w:pPr>
            <w:r>
              <w:t>KLD</w:t>
            </w:r>
          </w:p>
        </w:tc>
        <w:tc>
          <w:tcPr>
            <w:tcW w:w="760" w:type="dxa"/>
          </w:tcPr>
          <w:p w:rsidR="00557A6F" w:rsidRDefault="00557A6F" w:rsidP="00AF5F55">
            <w:pPr>
              <w:jc w:val="right"/>
            </w:pPr>
            <w:r>
              <w:t>B</w:t>
            </w:r>
          </w:p>
        </w:tc>
        <w:tc>
          <w:tcPr>
            <w:tcW w:w="1140" w:type="dxa"/>
          </w:tcPr>
          <w:p w:rsidR="00557A6F" w:rsidRDefault="00557A6F" w:rsidP="00AF5F55">
            <w:pPr>
              <w:jc w:val="right"/>
            </w:pPr>
            <w:r>
              <w:t>1420/73</w:t>
            </w:r>
          </w:p>
        </w:tc>
        <w:tc>
          <w:tcPr>
            <w:tcW w:w="1140" w:type="dxa"/>
          </w:tcPr>
          <w:p w:rsidR="00557A6F" w:rsidRDefault="00557A6F" w:rsidP="00AF5F55">
            <w:pPr>
              <w:jc w:val="right"/>
            </w:pPr>
            <w:r>
              <w:t>70 269</w:t>
            </w:r>
          </w:p>
        </w:tc>
        <w:tc>
          <w:tcPr>
            <w:tcW w:w="1140" w:type="dxa"/>
          </w:tcPr>
          <w:p w:rsidR="00557A6F" w:rsidRDefault="00557A6F" w:rsidP="00AF5F55">
            <w:pPr>
              <w:jc w:val="right"/>
            </w:pPr>
            <w:r>
              <w:t>80 426</w:t>
            </w:r>
          </w:p>
        </w:tc>
        <w:tc>
          <w:tcPr>
            <w:tcW w:w="1140" w:type="dxa"/>
          </w:tcPr>
          <w:p w:rsidR="00557A6F" w:rsidRDefault="00557A6F" w:rsidP="00AF5F55">
            <w:pPr>
              <w:jc w:val="right"/>
            </w:pPr>
            <w:r>
              <w:t>80 426</w:t>
            </w:r>
          </w:p>
        </w:tc>
      </w:tr>
      <w:tr w:rsidR="00557A6F" w:rsidTr="00557A6F">
        <w:trPr>
          <w:trHeight w:val="640"/>
        </w:trPr>
        <w:tc>
          <w:tcPr>
            <w:tcW w:w="3480" w:type="dxa"/>
          </w:tcPr>
          <w:p w:rsidR="00557A6F" w:rsidRDefault="00557A6F" w:rsidP="00557A6F">
            <w:r>
              <w:t>Tilskudd til kalking og lokale fisk</w:t>
            </w:r>
            <w:r>
              <w:t>e</w:t>
            </w:r>
            <w:r>
              <w:t xml:space="preserve">formål </w:t>
            </w:r>
          </w:p>
        </w:tc>
        <w:tc>
          <w:tcPr>
            <w:tcW w:w="760" w:type="dxa"/>
          </w:tcPr>
          <w:p w:rsidR="00557A6F" w:rsidRDefault="00557A6F" w:rsidP="00AF5F55">
            <w:pPr>
              <w:jc w:val="right"/>
            </w:pPr>
            <w:r>
              <w:t xml:space="preserve">KLD </w:t>
            </w:r>
          </w:p>
        </w:tc>
        <w:tc>
          <w:tcPr>
            <w:tcW w:w="760" w:type="dxa"/>
          </w:tcPr>
          <w:p w:rsidR="00557A6F" w:rsidRDefault="00557A6F" w:rsidP="00AF5F55">
            <w:pPr>
              <w:jc w:val="right"/>
            </w:pPr>
            <w:r>
              <w:t xml:space="preserve">B </w:t>
            </w:r>
          </w:p>
        </w:tc>
        <w:tc>
          <w:tcPr>
            <w:tcW w:w="1140" w:type="dxa"/>
          </w:tcPr>
          <w:p w:rsidR="00557A6F" w:rsidRDefault="00557A6F" w:rsidP="00AF5F55">
            <w:pPr>
              <w:jc w:val="right"/>
            </w:pPr>
            <w:r>
              <w:t xml:space="preserve">1420/22 </w:t>
            </w:r>
          </w:p>
        </w:tc>
        <w:tc>
          <w:tcPr>
            <w:tcW w:w="1140" w:type="dxa"/>
          </w:tcPr>
          <w:p w:rsidR="00557A6F" w:rsidRDefault="00557A6F" w:rsidP="00AF5F55">
            <w:pPr>
              <w:jc w:val="right"/>
            </w:pPr>
            <w:r>
              <w:t>297 072</w:t>
            </w:r>
          </w:p>
        </w:tc>
        <w:tc>
          <w:tcPr>
            <w:tcW w:w="1140" w:type="dxa"/>
          </w:tcPr>
          <w:p w:rsidR="00557A6F" w:rsidRDefault="00557A6F" w:rsidP="00AF5F55">
            <w:pPr>
              <w:jc w:val="right"/>
            </w:pPr>
            <w:r>
              <w:t>235 574</w:t>
            </w:r>
          </w:p>
        </w:tc>
        <w:tc>
          <w:tcPr>
            <w:tcW w:w="1140" w:type="dxa"/>
          </w:tcPr>
          <w:p w:rsidR="00557A6F" w:rsidRDefault="00557A6F" w:rsidP="00AF5F55">
            <w:pPr>
              <w:jc w:val="right"/>
            </w:pPr>
            <w:r>
              <w:t>242 770</w:t>
            </w:r>
          </w:p>
        </w:tc>
      </w:tr>
      <w:tr w:rsidR="00557A6F" w:rsidTr="00557A6F">
        <w:trPr>
          <w:trHeight w:val="640"/>
        </w:trPr>
        <w:tc>
          <w:tcPr>
            <w:tcW w:w="3480" w:type="dxa"/>
          </w:tcPr>
          <w:p w:rsidR="00557A6F" w:rsidRDefault="00557A6F" w:rsidP="00557A6F">
            <w:r>
              <w:t>Tilskudd til kalking og lokale fisk</w:t>
            </w:r>
            <w:r>
              <w:t>e</w:t>
            </w:r>
            <w:r>
              <w:t xml:space="preserve">formål </w:t>
            </w:r>
          </w:p>
        </w:tc>
        <w:tc>
          <w:tcPr>
            <w:tcW w:w="760" w:type="dxa"/>
          </w:tcPr>
          <w:p w:rsidR="00557A6F" w:rsidRDefault="00557A6F" w:rsidP="00AF5F55">
            <w:pPr>
              <w:jc w:val="right"/>
            </w:pPr>
            <w:r>
              <w:t xml:space="preserve">KLD </w:t>
            </w:r>
          </w:p>
        </w:tc>
        <w:tc>
          <w:tcPr>
            <w:tcW w:w="760" w:type="dxa"/>
          </w:tcPr>
          <w:p w:rsidR="00557A6F" w:rsidRDefault="00557A6F" w:rsidP="00AF5F55">
            <w:pPr>
              <w:jc w:val="right"/>
            </w:pPr>
            <w:r>
              <w:t xml:space="preserve">B </w:t>
            </w:r>
          </w:p>
        </w:tc>
        <w:tc>
          <w:tcPr>
            <w:tcW w:w="1140" w:type="dxa"/>
          </w:tcPr>
          <w:p w:rsidR="00557A6F" w:rsidRDefault="00557A6F" w:rsidP="00AF5F55">
            <w:pPr>
              <w:jc w:val="right"/>
            </w:pPr>
            <w:r>
              <w:t xml:space="preserve">1420/70 </w:t>
            </w:r>
          </w:p>
        </w:tc>
        <w:tc>
          <w:tcPr>
            <w:tcW w:w="1140" w:type="dxa"/>
          </w:tcPr>
          <w:p w:rsidR="00557A6F" w:rsidRDefault="00557A6F" w:rsidP="00AF5F55">
            <w:pPr>
              <w:jc w:val="right"/>
            </w:pPr>
            <w:r>
              <w:t>52 636</w:t>
            </w:r>
          </w:p>
        </w:tc>
        <w:tc>
          <w:tcPr>
            <w:tcW w:w="1140" w:type="dxa"/>
          </w:tcPr>
          <w:p w:rsidR="00557A6F" w:rsidRDefault="00557A6F" w:rsidP="00AF5F55">
            <w:pPr>
              <w:jc w:val="right"/>
            </w:pPr>
            <w:r>
              <w:t>30 292</w:t>
            </w:r>
          </w:p>
        </w:tc>
        <w:tc>
          <w:tcPr>
            <w:tcW w:w="1140" w:type="dxa"/>
          </w:tcPr>
          <w:p w:rsidR="00557A6F" w:rsidRDefault="00557A6F" w:rsidP="00AF5F55">
            <w:pPr>
              <w:jc w:val="right"/>
            </w:pPr>
            <w:r>
              <w:t>40 792</w:t>
            </w:r>
          </w:p>
        </w:tc>
      </w:tr>
      <w:tr w:rsidR="00557A6F" w:rsidTr="00557A6F">
        <w:trPr>
          <w:trHeight w:val="640"/>
        </w:trPr>
        <w:tc>
          <w:tcPr>
            <w:tcW w:w="3480" w:type="dxa"/>
          </w:tcPr>
          <w:p w:rsidR="00557A6F" w:rsidRDefault="00557A6F" w:rsidP="00557A6F">
            <w:r>
              <w:t>Verdiskaping på kulturminneomr</w:t>
            </w:r>
            <w:r>
              <w:t>å</w:t>
            </w:r>
            <w:r>
              <w:t xml:space="preserve">det </w:t>
            </w:r>
          </w:p>
        </w:tc>
        <w:tc>
          <w:tcPr>
            <w:tcW w:w="760" w:type="dxa"/>
          </w:tcPr>
          <w:p w:rsidR="00557A6F" w:rsidRDefault="00557A6F" w:rsidP="00AF5F55">
            <w:pPr>
              <w:jc w:val="right"/>
            </w:pPr>
            <w:r>
              <w:t xml:space="preserve">KLD </w:t>
            </w:r>
          </w:p>
        </w:tc>
        <w:tc>
          <w:tcPr>
            <w:tcW w:w="760" w:type="dxa"/>
          </w:tcPr>
          <w:p w:rsidR="00557A6F" w:rsidRDefault="00557A6F" w:rsidP="00AF5F55">
            <w:pPr>
              <w:jc w:val="right"/>
            </w:pPr>
            <w:r>
              <w:t xml:space="preserve">B </w:t>
            </w:r>
          </w:p>
        </w:tc>
        <w:tc>
          <w:tcPr>
            <w:tcW w:w="1140" w:type="dxa"/>
          </w:tcPr>
          <w:p w:rsidR="00557A6F" w:rsidRDefault="00557A6F" w:rsidP="00AF5F55">
            <w:pPr>
              <w:jc w:val="right"/>
            </w:pPr>
            <w:r>
              <w:t xml:space="preserve">1429/77 </w:t>
            </w:r>
          </w:p>
        </w:tc>
        <w:tc>
          <w:tcPr>
            <w:tcW w:w="1140" w:type="dxa"/>
          </w:tcPr>
          <w:p w:rsidR="00557A6F" w:rsidRDefault="00557A6F" w:rsidP="00AF5F55">
            <w:pPr>
              <w:jc w:val="right"/>
            </w:pPr>
            <w:r>
              <w:t>9 224</w:t>
            </w:r>
          </w:p>
        </w:tc>
        <w:tc>
          <w:tcPr>
            <w:tcW w:w="1140" w:type="dxa"/>
          </w:tcPr>
          <w:p w:rsidR="00557A6F" w:rsidRDefault="00557A6F" w:rsidP="00AF5F55">
            <w:pPr>
              <w:jc w:val="right"/>
            </w:pPr>
            <w:r>
              <w:t>8 232</w:t>
            </w:r>
          </w:p>
        </w:tc>
        <w:tc>
          <w:tcPr>
            <w:tcW w:w="1140" w:type="dxa"/>
          </w:tcPr>
          <w:p w:rsidR="00557A6F" w:rsidRDefault="00557A6F" w:rsidP="00AF5F55">
            <w:pPr>
              <w:jc w:val="right"/>
            </w:pPr>
            <w:r>
              <w:t>8 232</w:t>
            </w:r>
          </w:p>
        </w:tc>
      </w:tr>
      <w:tr w:rsidR="00557A6F" w:rsidTr="00557A6F">
        <w:trPr>
          <w:trHeight w:val="380"/>
        </w:trPr>
        <w:tc>
          <w:tcPr>
            <w:tcW w:w="3480" w:type="dxa"/>
          </w:tcPr>
          <w:p w:rsidR="00557A6F" w:rsidRDefault="00557A6F" w:rsidP="00557A6F">
            <w:r>
              <w:t>Skogplanting</w:t>
            </w:r>
          </w:p>
        </w:tc>
        <w:tc>
          <w:tcPr>
            <w:tcW w:w="760" w:type="dxa"/>
          </w:tcPr>
          <w:p w:rsidR="00557A6F" w:rsidRDefault="00557A6F" w:rsidP="00AF5F55">
            <w:pPr>
              <w:jc w:val="right"/>
            </w:pPr>
            <w:r>
              <w:t xml:space="preserve">KLD </w:t>
            </w:r>
          </w:p>
        </w:tc>
        <w:tc>
          <w:tcPr>
            <w:tcW w:w="760" w:type="dxa"/>
          </w:tcPr>
          <w:p w:rsidR="00557A6F" w:rsidRDefault="00557A6F" w:rsidP="00AF5F55">
            <w:pPr>
              <w:jc w:val="right"/>
            </w:pPr>
            <w:r>
              <w:t xml:space="preserve">B </w:t>
            </w:r>
          </w:p>
        </w:tc>
        <w:tc>
          <w:tcPr>
            <w:tcW w:w="1140" w:type="dxa"/>
          </w:tcPr>
          <w:p w:rsidR="00557A6F" w:rsidRDefault="00557A6F" w:rsidP="00AF5F55">
            <w:pPr>
              <w:jc w:val="right"/>
            </w:pPr>
            <w:r>
              <w:t xml:space="preserve">1420/37 </w:t>
            </w:r>
          </w:p>
        </w:tc>
        <w:tc>
          <w:tcPr>
            <w:tcW w:w="1140" w:type="dxa"/>
          </w:tcPr>
          <w:p w:rsidR="00557A6F" w:rsidRDefault="00557A6F" w:rsidP="00AF5F55">
            <w:pPr>
              <w:jc w:val="right"/>
            </w:pPr>
            <w:r>
              <w:t>16 172</w:t>
            </w:r>
          </w:p>
        </w:tc>
        <w:tc>
          <w:tcPr>
            <w:tcW w:w="1140" w:type="dxa"/>
          </w:tcPr>
          <w:p w:rsidR="00557A6F" w:rsidRDefault="00557A6F" w:rsidP="00AF5F55">
            <w:pPr>
              <w:jc w:val="right"/>
            </w:pPr>
            <w:r>
              <w:t>0</w:t>
            </w:r>
          </w:p>
        </w:tc>
        <w:tc>
          <w:tcPr>
            <w:tcW w:w="1140" w:type="dxa"/>
          </w:tcPr>
          <w:p w:rsidR="00557A6F" w:rsidRDefault="00557A6F" w:rsidP="00AF5F55">
            <w:pPr>
              <w:jc w:val="right"/>
            </w:pPr>
            <w:r>
              <w:t>0</w:t>
            </w:r>
          </w:p>
        </w:tc>
      </w:tr>
      <w:tr w:rsidR="00557A6F" w:rsidTr="00557A6F">
        <w:trPr>
          <w:trHeight w:val="380"/>
        </w:trPr>
        <w:tc>
          <w:tcPr>
            <w:tcW w:w="3480" w:type="dxa"/>
          </w:tcPr>
          <w:p w:rsidR="00557A6F" w:rsidRDefault="00557A6F" w:rsidP="00557A6F">
            <w:r>
              <w:t xml:space="preserve">Restaurering av myr </w:t>
            </w:r>
          </w:p>
        </w:tc>
        <w:tc>
          <w:tcPr>
            <w:tcW w:w="760" w:type="dxa"/>
          </w:tcPr>
          <w:p w:rsidR="00557A6F" w:rsidRDefault="00557A6F" w:rsidP="00AF5F55">
            <w:pPr>
              <w:jc w:val="right"/>
            </w:pPr>
            <w:r>
              <w:t xml:space="preserve">KLD </w:t>
            </w:r>
          </w:p>
        </w:tc>
        <w:tc>
          <w:tcPr>
            <w:tcW w:w="760" w:type="dxa"/>
          </w:tcPr>
          <w:p w:rsidR="00557A6F" w:rsidRDefault="00557A6F" w:rsidP="00AF5F55">
            <w:pPr>
              <w:jc w:val="right"/>
            </w:pPr>
            <w:r>
              <w:t xml:space="preserve">B </w:t>
            </w:r>
          </w:p>
        </w:tc>
        <w:tc>
          <w:tcPr>
            <w:tcW w:w="1140" w:type="dxa"/>
          </w:tcPr>
          <w:p w:rsidR="00557A6F" w:rsidRDefault="00557A6F" w:rsidP="00AF5F55">
            <w:pPr>
              <w:jc w:val="right"/>
            </w:pPr>
            <w:r>
              <w:t>1420/38</w:t>
            </w:r>
          </w:p>
        </w:tc>
        <w:tc>
          <w:tcPr>
            <w:tcW w:w="1140" w:type="dxa"/>
          </w:tcPr>
          <w:p w:rsidR="00557A6F" w:rsidRDefault="00557A6F" w:rsidP="00AF5F55">
            <w:pPr>
              <w:jc w:val="right"/>
            </w:pPr>
            <w:r>
              <w:t>17 742</w:t>
            </w:r>
          </w:p>
        </w:tc>
        <w:tc>
          <w:tcPr>
            <w:tcW w:w="1140" w:type="dxa"/>
          </w:tcPr>
          <w:p w:rsidR="00557A6F" w:rsidRDefault="00557A6F" w:rsidP="00AF5F55">
            <w:pPr>
              <w:jc w:val="right"/>
            </w:pPr>
            <w:r>
              <w:t>23 625</w:t>
            </w:r>
          </w:p>
        </w:tc>
        <w:tc>
          <w:tcPr>
            <w:tcW w:w="1140" w:type="dxa"/>
          </w:tcPr>
          <w:p w:rsidR="00557A6F" w:rsidRDefault="00557A6F" w:rsidP="00AF5F55">
            <w:pPr>
              <w:jc w:val="right"/>
            </w:pPr>
            <w:r>
              <w:t>16 625</w:t>
            </w:r>
          </w:p>
        </w:tc>
      </w:tr>
      <w:tr w:rsidR="00557A6F" w:rsidTr="00557A6F">
        <w:trPr>
          <w:trHeight w:val="640"/>
        </w:trPr>
        <w:tc>
          <w:tcPr>
            <w:tcW w:w="3480" w:type="dxa"/>
          </w:tcPr>
          <w:p w:rsidR="00557A6F" w:rsidRDefault="00557A6F" w:rsidP="00557A6F">
            <w:r>
              <w:t>Tilskudd til klimatiltak- og klim</w:t>
            </w:r>
            <w:r>
              <w:t>a</w:t>
            </w:r>
            <w:r>
              <w:t xml:space="preserve">tilpasning i kommunene </w:t>
            </w:r>
          </w:p>
        </w:tc>
        <w:tc>
          <w:tcPr>
            <w:tcW w:w="760" w:type="dxa"/>
          </w:tcPr>
          <w:p w:rsidR="00557A6F" w:rsidRDefault="00557A6F" w:rsidP="00AF5F55">
            <w:pPr>
              <w:jc w:val="right"/>
            </w:pPr>
            <w:r>
              <w:t xml:space="preserve">KLD </w:t>
            </w:r>
          </w:p>
        </w:tc>
        <w:tc>
          <w:tcPr>
            <w:tcW w:w="760" w:type="dxa"/>
          </w:tcPr>
          <w:p w:rsidR="00557A6F" w:rsidRDefault="00557A6F" w:rsidP="00AF5F55">
            <w:pPr>
              <w:jc w:val="right"/>
            </w:pPr>
            <w:r>
              <w:t xml:space="preserve">B </w:t>
            </w:r>
          </w:p>
        </w:tc>
        <w:tc>
          <w:tcPr>
            <w:tcW w:w="1140" w:type="dxa"/>
          </w:tcPr>
          <w:p w:rsidR="00557A6F" w:rsidRDefault="00557A6F" w:rsidP="00AF5F55">
            <w:pPr>
              <w:jc w:val="right"/>
            </w:pPr>
            <w:r>
              <w:t xml:space="preserve">1420/61 </w:t>
            </w:r>
          </w:p>
        </w:tc>
        <w:tc>
          <w:tcPr>
            <w:tcW w:w="1140" w:type="dxa"/>
          </w:tcPr>
          <w:p w:rsidR="00557A6F" w:rsidRDefault="00557A6F" w:rsidP="00AF5F55">
            <w:pPr>
              <w:jc w:val="right"/>
            </w:pPr>
            <w:r>
              <w:t>90 838</w:t>
            </w:r>
          </w:p>
        </w:tc>
        <w:tc>
          <w:tcPr>
            <w:tcW w:w="1140" w:type="dxa"/>
          </w:tcPr>
          <w:p w:rsidR="00557A6F" w:rsidRDefault="00557A6F" w:rsidP="00AF5F55">
            <w:pPr>
              <w:jc w:val="right"/>
            </w:pPr>
            <w:r>
              <w:t>208 230</w:t>
            </w:r>
          </w:p>
        </w:tc>
        <w:tc>
          <w:tcPr>
            <w:tcW w:w="1140" w:type="dxa"/>
          </w:tcPr>
          <w:p w:rsidR="00557A6F" w:rsidRDefault="00557A6F" w:rsidP="00AF5F55">
            <w:pPr>
              <w:jc w:val="right"/>
            </w:pPr>
            <w:r>
              <w:t>187 832</w:t>
            </w:r>
          </w:p>
        </w:tc>
      </w:tr>
      <w:tr w:rsidR="00557A6F" w:rsidTr="00557A6F">
        <w:trPr>
          <w:trHeight w:val="640"/>
        </w:trPr>
        <w:tc>
          <w:tcPr>
            <w:tcW w:w="3480" w:type="dxa"/>
          </w:tcPr>
          <w:p w:rsidR="00557A6F" w:rsidRDefault="00557A6F" w:rsidP="00557A6F">
            <w:r>
              <w:t>Tiltak i kommuner med ulverevir i Hedmark, Akershus og Østfold (ny)</w:t>
            </w:r>
          </w:p>
        </w:tc>
        <w:tc>
          <w:tcPr>
            <w:tcW w:w="760" w:type="dxa"/>
          </w:tcPr>
          <w:p w:rsidR="00557A6F" w:rsidRDefault="00557A6F" w:rsidP="00AF5F55">
            <w:pPr>
              <w:jc w:val="right"/>
            </w:pPr>
            <w:r>
              <w:t>KLD</w:t>
            </w:r>
          </w:p>
        </w:tc>
        <w:tc>
          <w:tcPr>
            <w:tcW w:w="760" w:type="dxa"/>
          </w:tcPr>
          <w:p w:rsidR="00557A6F" w:rsidRDefault="00557A6F" w:rsidP="00AF5F55">
            <w:pPr>
              <w:jc w:val="right"/>
            </w:pPr>
            <w:r>
              <w:t>B</w:t>
            </w:r>
          </w:p>
        </w:tc>
        <w:tc>
          <w:tcPr>
            <w:tcW w:w="1140" w:type="dxa"/>
          </w:tcPr>
          <w:p w:rsidR="00557A6F" w:rsidRDefault="00557A6F" w:rsidP="00AF5F55">
            <w:pPr>
              <w:jc w:val="right"/>
            </w:pPr>
            <w:r>
              <w:t xml:space="preserve">1420/65 </w:t>
            </w:r>
          </w:p>
        </w:tc>
        <w:tc>
          <w:tcPr>
            <w:tcW w:w="1140" w:type="dxa"/>
          </w:tcPr>
          <w:p w:rsidR="00557A6F" w:rsidRDefault="00557A6F" w:rsidP="00AF5F55">
            <w:pPr>
              <w:jc w:val="right"/>
            </w:pPr>
            <w:r>
              <w:t>19 880</w:t>
            </w:r>
          </w:p>
        </w:tc>
        <w:tc>
          <w:tcPr>
            <w:tcW w:w="1140" w:type="dxa"/>
          </w:tcPr>
          <w:p w:rsidR="00557A6F" w:rsidRDefault="00557A6F" w:rsidP="00AF5F55">
            <w:pPr>
              <w:jc w:val="right"/>
            </w:pPr>
            <w:r>
              <w:t>20 560</w:t>
            </w:r>
          </w:p>
        </w:tc>
        <w:tc>
          <w:tcPr>
            <w:tcW w:w="1140" w:type="dxa"/>
          </w:tcPr>
          <w:p w:rsidR="00557A6F" w:rsidRDefault="00557A6F" w:rsidP="00AF5F55">
            <w:pPr>
              <w:jc w:val="right"/>
            </w:pPr>
            <w:r>
              <w:t>20 560</w:t>
            </w:r>
          </w:p>
        </w:tc>
      </w:tr>
    </w:tbl>
    <w:p w:rsidR="00557A6F" w:rsidRDefault="00557A6F" w:rsidP="00557A6F">
      <w:pPr>
        <w:pStyle w:val="tabell-noter"/>
        <w:rPr>
          <w:rStyle w:val="skrift-hevet"/>
          <w:sz w:val="24"/>
          <w:szCs w:val="24"/>
        </w:rPr>
      </w:pPr>
      <w:r>
        <w:rPr>
          <w:rStyle w:val="skrift-hevet"/>
          <w:sz w:val="17"/>
          <w:szCs w:val="17"/>
        </w:rPr>
        <w:t>1</w:t>
      </w:r>
      <w:r>
        <w:t xml:space="preserve"> </w:t>
      </w:r>
      <w:r>
        <w:tab/>
        <w:t>Beløpet for 2020 avklares i tildelingsbrev.</w:t>
      </w:r>
    </w:p>
    <w:p w:rsidR="00557A6F" w:rsidRDefault="00557A6F" w:rsidP="00557A6F">
      <w:pPr>
        <w:pStyle w:val="tabell-noter"/>
        <w:rPr>
          <w:rStyle w:val="skrift-hevet"/>
          <w:sz w:val="24"/>
          <w:szCs w:val="24"/>
        </w:rPr>
      </w:pPr>
      <w:r>
        <w:rPr>
          <w:rStyle w:val="skrift-hevet"/>
          <w:sz w:val="17"/>
          <w:szCs w:val="17"/>
        </w:rPr>
        <w:t>2</w:t>
      </w:r>
      <w:r>
        <w:t xml:space="preserve"> </w:t>
      </w:r>
      <w:r>
        <w:tab/>
        <w:t>Stilling for leger i spesialisering. Stillingene skal primært opprettes i Helse Nord</w:t>
      </w:r>
    </w:p>
    <w:p w:rsidR="00557A6F" w:rsidRDefault="00557A6F" w:rsidP="00557A6F">
      <w:pPr>
        <w:pStyle w:val="tabell-noter"/>
        <w:rPr>
          <w:rFonts w:ascii="UniMyriad Regular" w:hAnsi="UniMyriad Regular" w:cs="UniMyriad Regular"/>
          <w:sz w:val="21"/>
          <w:szCs w:val="21"/>
        </w:rPr>
      </w:pPr>
      <w:r>
        <w:rPr>
          <w:rStyle w:val="skrift-hevet"/>
          <w:sz w:val="17"/>
          <w:szCs w:val="17"/>
        </w:rPr>
        <w:t>3</w:t>
      </w:r>
      <w:r>
        <w:t xml:space="preserve"> </w:t>
      </w:r>
      <w:r>
        <w:tab/>
        <w:t>Inkluderer ikke Nasjonalmuseumet</w:t>
      </w:r>
    </w:p>
    <w:p w:rsidR="00557A6F" w:rsidRDefault="00557A6F" w:rsidP="00557A6F">
      <w:pPr>
        <w:pStyle w:val="Undertittel"/>
      </w:pPr>
      <w:r>
        <w:t>Spesielle tiltak for Finnmark og Nord-Troms</w:t>
      </w:r>
    </w:p>
    <w:p w:rsidR="00557A6F" w:rsidRDefault="00557A6F" w:rsidP="00557A6F">
      <w:r>
        <w:t>Tabell 1.5 viser en oversikt over viktige ordninger i tiltakssonen som kun gjelder for Finnmark og Nord-Troms. De viktigste ordningene er innenfor skatte- og avgiftspolitikken. Den mest omfatte</w:t>
      </w:r>
      <w:r>
        <w:t>n</w:t>
      </w:r>
      <w:r>
        <w:t>de ordningen er likevel fritaket for arbeidsgiveravgift, som kommer inn under den samlede su</w:t>
      </w:r>
      <w:r>
        <w:t>m</w:t>
      </w:r>
      <w:r>
        <w:t>men for diff</w:t>
      </w:r>
      <w:r>
        <w:t>e</w:t>
      </w:r>
      <w:r>
        <w:t xml:space="preserve">rensiert arbeidsgiveravgift i tabell 1.1. </w:t>
      </w:r>
    </w:p>
    <w:p w:rsidR="00AF5F55" w:rsidRDefault="00AF5F55" w:rsidP="00AF5F55">
      <w:pPr>
        <w:pStyle w:val="tabell-tittel"/>
      </w:pPr>
      <w:r>
        <w:t>Særskilte tiltak for Finnmark og Nord-Troms</w:t>
      </w:r>
    </w:p>
    <w:p w:rsidR="00557A6F" w:rsidRDefault="00557A6F" w:rsidP="00557A6F">
      <w:pPr>
        <w:pStyle w:val="Tabellnavn"/>
      </w:pPr>
      <w:r>
        <w:t>08J2xt2</w:t>
      </w:r>
    </w:p>
    <w:tbl>
      <w:tblPr>
        <w:tblStyle w:val="StandardTabell"/>
        <w:tblW w:w="0" w:type="auto"/>
        <w:tblLayout w:type="fixed"/>
        <w:tblLook w:val="04A0" w:firstRow="1" w:lastRow="0" w:firstColumn="1" w:lastColumn="0" w:noHBand="0" w:noVBand="1"/>
      </w:tblPr>
      <w:tblGrid>
        <w:gridCol w:w="1400"/>
        <w:gridCol w:w="3020"/>
        <w:gridCol w:w="640"/>
        <w:gridCol w:w="440"/>
        <w:gridCol w:w="1220"/>
        <w:gridCol w:w="940"/>
        <w:gridCol w:w="940"/>
        <w:gridCol w:w="940"/>
      </w:tblGrid>
      <w:tr w:rsidR="00557A6F" w:rsidTr="00557A6F">
        <w:trPr>
          <w:trHeight w:val="360"/>
        </w:trPr>
        <w:tc>
          <w:tcPr>
            <w:tcW w:w="9540" w:type="dxa"/>
            <w:gridSpan w:val="8"/>
          </w:tcPr>
          <w:p w:rsidR="00557A6F" w:rsidRDefault="00557A6F" w:rsidP="00AF5F55">
            <w:pPr>
              <w:jc w:val="right"/>
            </w:pPr>
            <w:r>
              <w:t>(i 1 000 kr)</w:t>
            </w:r>
          </w:p>
        </w:tc>
      </w:tr>
      <w:tr w:rsidR="00557A6F" w:rsidTr="00557A6F">
        <w:trPr>
          <w:trHeight w:val="600"/>
        </w:trPr>
        <w:tc>
          <w:tcPr>
            <w:tcW w:w="1400" w:type="dxa"/>
          </w:tcPr>
          <w:p w:rsidR="00557A6F" w:rsidRDefault="00557A6F" w:rsidP="00557A6F">
            <w:r>
              <w:lastRenderedPageBreak/>
              <w:t>Politikko</w:t>
            </w:r>
            <w:r>
              <w:t>m</w:t>
            </w:r>
            <w:r>
              <w:t>råde</w:t>
            </w:r>
          </w:p>
        </w:tc>
        <w:tc>
          <w:tcPr>
            <w:tcW w:w="3020" w:type="dxa"/>
          </w:tcPr>
          <w:p w:rsidR="00557A6F" w:rsidRDefault="00557A6F" w:rsidP="00557A6F">
            <w:r>
              <w:t>Tiltak/ordning</w:t>
            </w:r>
          </w:p>
        </w:tc>
        <w:tc>
          <w:tcPr>
            <w:tcW w:w="640" w:type="dxa"/>
          </w:tcPr>
          <w:p w:rsidR="00557A6F" w:rsidRDefault="00557A6F" w:rsidP="00AF5F55">
            <w:pPr>
              <w:jc w:val="right"/>
            </w:pPr>
            <w:r>
              <w:t>Dep.</w:t>
            </w:r>
          </w:p>
        </w:tc>
        <w:tc>
          <w:tcPr>
            <w:tcW w:w="440" w:type="dxa"/>
          </w:tcPr>
          <w:p w:rsidR="00557A6F" w:rsidRDefault="00557A6F" w:rsidP="00AF5F55">
            <w:pPr>
              <w:jc w:val="right"/>
            </w:pPr>
            <w:r>
              <w:t>Kat.</w:t>
            </w:r>
          </w:p>
        </w:tc>
        <w:tc>
          <w:tcPr>
            <w:tcW w:w="1220" w:type="dxa"/>
          </w:tcPr>
          <w:p w:rsidR="00557A6F" w:rsidRDefault="00557A6F" w:rsidP="00AF5F55">
            <w:pPr>
              <w:jc w:val="right"/>
            </w:pPr>
            <w:r>
              <w:t>Kap./post</w:t>
            </w:r>
          </w:p>
        </w:tc>
        <w:tc>
          <w:tcPr>
            <w:tcW w:w="940" w:type="dxa"/>
          </w:tcPr>
          <w:p w:rsidR="00557A6F" w:rsidRDefault="00557A6F" w:rsidP="00AF5F55">
            <w:pPr>
              <w:jc w:val="right"/>
            </w:pPr>
            <w:r>
              <w:t>Reg</w:t>
            </w:r>
            <w:r>
              <w:t>n</w:t>
            </w:r>
            <w:r>
              <w:t>skap 2018</w:t>
            </w:r>
          </w:p>
        </w:tc>
        <w:tc>
          <w:tcPr>
            <w:tcW w:w="940" w:type="dxa"/>
          </w:tcPr>
          <w:p w:rsidR="00557A6F" w:rsidRDefault="00557A6F" w:rsidP="00AF5F55">
            <w:pPr>
              <w:jc w:val="right"/>
            </w:pPr>
            <w:r>
              <w:t>Bu</w:t>
            </w:r>
            <w:r>
              <w:t>d</w:t>
            </w:r>
            <w:r>
              <w:t>sjett 2019</w:t>
            </w:r>
          </w:p>
        </w:tc>
        <w:tc>
          <w:tcPr>
            <w:tcW w:w="940" w:type="dxa"/>
          </w:tcPr>
          <w:p w:rsidR="00557A6F" w:rsidRDefault="00557A6F" w:rsidP="00AF5F55">
            <w:pPr>
              <w:jc w:val="right"/>
            </w:pPr>
            <w:r>
              <w:t>Forslag 2020</w:t>
            </w:r>
          </w:p>
        </w:tc>
      </w:tr>
      <w:tr w:rsidR="00557A6F" w:rsidTr="00557A6F">
        <w:trPr>
          <w:trHeight w:val="640"/>
        </w:trPr>
        <w:tc>
          <w:tcPr>
            <w:tcW w:w="1400" w:type="dxa"/>
          </w:tcPr>
          <w:p w:rsidR="00557A6F" w:rsidRDefault="00557A6F" w:rsidP="00557A6F">
            <w:r>
              <w:t xml:space="preserve">Økonomisk politikk </w:t>
            </w:r>
          </w:p>
        </w:tc>
        <w:tc>
          <w:tcPr>
            <w:tcW w:w="3020" w:type="dxa"/>
          </w:tcPr>
          <w:p w:rsidR="00557A6F" w:rsidRDefault="00557A6F" w:rsidP="00557A6F">
            <w:r>
              <w:t xml:space="preserve">Lavere skatt på alminnelig </w:t>
            </w:r>
            <w:r>
              <w:br/>
              <w:t>inntekt</w:t>
            </w:r>
            <w:r>
              <w:rPr>
                <w:rStyle w:val="skrift-hevet"/>
                <w:sz w:val="21"/>
                <w:szCs w:val="21"/>
              </w:rPr>
              <w:t>1</w:t>
            </w:r>
          </w:p>
        </w:tc>
        <w:tc>
          <w:tcPr>
            <w:tcW w:w="640" w:type="dxa"/>
          </w:tcPr>
          <w:p w:rsidR="00557A6F" w:rsidRDefault="00557A6F" w:rsidP="00AF5F55">
            <w:pPr>
              <w:jc w:val="right"/>
            </w:pPr>
            <w:r>
              <w:t>FIN</w:t>
            </w:r>
          </w:p>
        </w:tc>
        <w:tc>
          <w:tcPr>
            <w:tcW w:w="440" w:type="dxa"/>
          </w:tcPr>
          <w:p w:rsidR="00557A6F" w:rsidRDefault="00557A6F" w:rsidP="00AF5F55">
            <w:pPr>
              <w:jc w:val="right"/>
            </w:pPr>
            <w:r>
              <w:t>A</w:t>
            </w:r>
          </w:p>
        </w:tc>
        <w:tc>
          <w:tcPr>
            <w:tcW w:w="1220" w:type="dxa"/>
          </w:tcPr>
          <w:p w:rsidR="00557A6F" w:rsidRDefault="00557A6F" w:rsidP="00AF5F55">
            <w:pPr>
              <w:jc w:val="right"/>
            </w:pPr>
            <w:r>
              <w:t>inntektstap</w:t>
            </w:r>
          </w:p>
        </w:tc>
        <w:tc>
          <w:tcPr>
            <w:tcW w:w="940" w:type="dxa"/>
          </w:tcPr>
          <w:p w:rsidR="00557A6F" w:rsidRDefault="00557A6F" w:rsidP="00AF5F55">
            <w:pPr>
              <w:jc w:val="right"/>
            </w:pPr>
            <w:r>
              <w:t>640 000</w:t>
            </w:r>
          </w:p>
        </w:tc>
        <w:tc>
          <w:tcPr>
            <w:tcW w:w="940" w:type="dxa"/>
          </w:tcPr>
          <w:p w:rsidR="00557A6F" w:rsidRDefault="00557A6F" w:rsidP="00AF5F55">
            <w:pPr>
              <w:jc w:val="right"/>
            </w:pPr>
            <w:r>
              <w:t>670 000</w:t>
            </w:r>
          </w:p>
        </w:tc>
        <w:tc>
          <w:tcPr>
            <w:tcW w:w="940" w:type="dxa"/>
          </w:tcPr>
          <w:p w:rsidR="00557A6F" w:rsidRDefault="00557A6F" w:rsidP="00AF5F55">
            <w:pPr>
              <w:jc w:val="right"/>
            </w:pPr>
            <w:r>
              <w:t>700 000</w:t>
            </w:r>
          </w:p>
        </w:tc>
      </w:tr>
      <w:tr w:rsidR="00557A6F" w:rsidTr="00557A6F">
        <w:trPr>
          <w:trHeight w:val="640"/>
        </w:trPr>
        <w:tc>
          <w:tcPr>
            <w:tcW w:w="1400" w:type="dxa"/>
          </w:tcPr>
          <w:p w:rsidR="00557A6F" w:rsidRDefault="00557A6F" w:rsidP="00557A6F">
            <w:r>
              <w:t xml:space="preserve"> </w:t>
            </w:r>
          </w:p>
        </w:tc>
        <w:tc>
          <w:tcPr>
            <w:tcW w:w="3020" w:type="dxa"/>
          </w:tcPr>
          <w:p w:rsidR="00557A6F" w:rsidRDefault="00557A6F" w:rsidP="00557A6F">
            <w:r>
              <w:t xml:space="preserve">Særskilt fradrag i alminnelig </w:t>
            </w:r>
            <w:r>
              <w:br/>
              <w:t>inntekt</w:t>
            </w:r>
            <w:r>
              <w:rPr>
                <w:rStyle w:val="skrift-hevet"/>
                <w:sz w:val="21"/>
                <w:szCs w:val="21"/>
              </w:rPr>
              <w:t>1</w:t>
            </w:r>
          </w:p>
        </w:tc>
        <w:tc>
          <w:tcPr>
            <w:tcW w:w="640" w:type="dxa"/>
          </w:tcPr>
          <w:p w:rsidR="00557A6F" w:rsidRDefault="00557A6F" w:rsidP="00AF5F55">
            <w:pPr>
              <w:jc w:val="right"/>
            </w:pPr>
            <w:r>
              <w:t>FIN</w:t>
            </w:r>
          </w:p>
        </w:tc>
        <w:tc>
          <w:tcPr>
            <w:tcW w:w="440" w:type="dxa"/>
          </w:tcPr>
          <w:p w:rsidR="00557A6F" w:rsidRDefault="00557A6F" w:rsidP="00AF5F55">
            <w:pPr>
              <w:jc w:val="right"/>
            </w:pPr>
            <w:r>
              <w:t>A</w:t>
            </w:r>
          </w:p>
        </w:tc>
        <w:tc>
          <w:tcPr>
            <w:tcW w:w="1220" w:type="dxa"/>
          </w:tcPr>
          <w:p w:rsidR="00557A6F" w:rsidRDefault="00557A6F" w:rsidP="00AF5F55">
            <w:pPr>
              <w:jc w:val="right"/>
            </w:pPr>
            <w:r>
              <w:t>inntektstap</w:t>
            </w:r>
          </w:p>
        </w:tc>
        <w:tc>
          <w:tcPr>
            <w:tcW w:w="940" w:type="dxa"/>
          </w:tcPr>
          <w:p w:rsidR="00557A6F" w:rsidRDefault="00557A6F" w:rsidP="00AF5F55">
            <w:pPr>
              <w:jc w:val="right"/>
            </w:pPr>
            <w:r>
              <w:t>200 000</w:t>
            </w:r>
          </w:p>
        </w:tc>
        <w:tc>
          <w:tcPr>
            <w:tcW w:w="940" w:type="dxa"/>
          </w:tcPr>
          <w:p w:rsidR="00557A6F" w:rsidRDefault="00557A6F" w:rsidP="00AF5F55">
            <w:pPr>
              <w:jc w:val="right"/>
            </w:pPr>
            <w:r>
              <w:t>190 000</w:t>
            </w:r>
          </w:p>
        </w:tc>
        <w:tc>
          <w:tcPr>
            <w:tcW w:w="940" w:type="dxa"/>
          </w:tcPr>
          <w:p w:rsidR="00557A6F" w:rsidRDefault="00557A6F" w:rsidP="00AF5F55">
            <w:pPr>
              <w:jc w:val="right"/>
            </w:pPr>
            <w:r>
              <w:t>200 000</w:t>
            </w:r>
          </w:p>
        </w:tc>
      </w:tr>
      <w:tr w:rsidR="00557A6F" w:rsidTr="00557A6F">
        <w:trPr>
          <w:trHeight w:val="380"/>
        </w:trPr>
        <w:tc>
          <w:tcPr>
            <w:tcW w:w="1400" w:type="dxa"/>
          </w:tcPr>
          <w:p w:rsidR="00557A6F" w:rsidRDefault="00557A6F" w:rsidP="00557A6F"/>
        </w:tc>
        <w:tc>
          <w:tcPr>
            <w:tcW w:w="3020" w:type="dxa"/>
          </w:tcPr>
          <w:p w:rsidR="00557A6F" w:rsidRDefault="00557A6F" w:rsidP="00557A6F">
            <w:r>
              <w:t>Lavere sats trinn 3 i trinn</w:t>
            </w:r>
            <w:r>
              <w:t>s</w:t>
            </w:r>
            <w:r>
              <w:t>katt</w:t>
            </w:r>
            <w:r>
              <w:rPr>
                <w:rStyle w:val="skrift-hevet"/>
                <w:sz w:val="21"/>
                <w:szCs w:val="21"/>
              </w:rPr>
              <w:t>1</w:t>
            </w:r>
          </w:p>
        </w:tc>
        <w:tc>
          <w:tcPr>
            <w:tcW w:w="640" w:type="dxa"/>
          </w:tcPr>
          <w:p w:rsidR="00557A6F" w:rsidRDefault="00557A6F" w:rsidP="00AF5F55">
            <w:pPr>
              <w:jc w:val="right"/>
            </w:pPr>
            <w:r>
              <w:t>FIN</w:t>
            </w:r>
          </w:p>
        </w:tc>
        <w:tc>
          <w:tcPr>
            <w:tcW w:w="440" w:type="dxa"/>
          </w:tcPr>
          <w:p w:rsidR="00557A6F" w:rsidRDefault="00557A6F" w:rsidP="00AF5F55">
            <w:pPr>
              <w:jc w:val="right"/>
            </w:pPr>
            <w:r>
              <w:t>A</w:t>
            </w:r>
          </w:p>
        </w:tc>
        <w:tc>
          <w:tcPr>
            <w:tcW w:w="1220" w:type="dxa"/>
          </w:tcPr>
          <w:p w:rsidR="00557A6F" w:rsidRDefault="00557A6F" w:rsidP="00AF5F55">
            <w:pPr>
              <w:jc w:val="right"/>
            </w:pPr>
            <w:r>
              <w:t>inntektstap</w:t>
            </w:r>
          </w:p>
        </w:tc>
        <w:tc>
          <w:tcPr>
            <w:tcW w:w="940" w:type="dxa"/>
          </w:tcPr>
          <w:p w:rsidR="00557A6F" w:rsidRDefault="00557A6F" w:rsidP="00AF5F55">
            <w:pPr>
              <w:jc w:val="right"/>
            </w:pPr>
            <w:r>
              <w:t>50 000</w:t>
            </w:r>
          </w:p>
        </w:tc>
        <w:tc>
          <w:tcPr>
            <w:tcW w:w="940" w:type="dxa"/>
          </w:tcPr>
          <w:p w:rsidR="00557A6F" w:rsidRDefault="00557A6F" w:rsidP="00AF5F55">
            <w:pPr>
              <w:jc w:val="right"/>
            </w:pPr>
            <w:r>
              <w:t>50 000</w:t>
            </w:r>
          </w:p>
        </w:tc>
        <w:tc>
          <w:tcPr>
            <w:tcW w:w="940" w:type="dxa"/>
          </w:tcPr>
          <w:p w:rsidR="00557A6F" w:rsidRDefault="00557A6F" w:rsidP="00AF5F55">
            <w:pPr>
              <w:jc w:val="right"/>
            </w:pPr>
            <w:r>
              <w:t>50 000</w:t>
            </w:r>
          </w:p>
        </w:tc>
      </w:tr>
      <w:tr w:rsidR="00557A6F" w:rsidTr="00557A6F">
        <w:trPr>
          <w:trHeight w:val="640"/>
        </w:trPr>
        <w:tc>
          <w:tcPr>
            <w:tcW w:w="1400" w:type="dxa"/>
          </w:tcPr>
          <w:p w:rsidR="00557A6F" w:rsidRDefault="00557A6F" w:rsidP="00557A6F">
            <w:r>
              <w:t xml:space="preserve"> </w:t>
            </w:r>
          </w:p>
        </w:tc>
        <w:tc>
          <w:tcPr>
            <w:tcW w:w="3020" w:type="dxa"/>
          </w:tcPr>
          <w:p w:rsidR="00557A6F" w:rsidRDefault="00557A6F" w:rsidP="00557A6F">
            <w:r>
              <w:t xml:space="preserve">Lav sats og fritak for el-avgift </w:t>
            </w:r>
            <w:r>
              <w:br/>
              <w:t xml:space="preserve">i tiltakssonen </w:t>
            </w:r>
          </w:p>
        </w:tc>
        <w:tc>
          <w:tcPr>
            <w:tcW w:w="640" w:type="dxa"/>
          </w:tcPr>
          <w:p w:rsidR="00557A6F" w:rsidRDefault="00557A6F" w:rsidP="00AF5F55">
            <w:pPr>
              <w:jc w:val="right"/>
            </w:pPr>
            <w:r>
              <w:t>FIN</w:t>
            </w:r>
          </w:p>
        </w:tc>
        <w:tc>
          <w:tcPr>
            <w:tcW w:w="440" w:type="dxa"/>
          </w:tcPr>
          <w:p w:rsidR="00557A6F" w:rsidRDefault="00557A6F" w:rsidP="00AF5F55">
            <w:pPr>
              <w:jc w:val="right"/>
            </w:pPr>
            <w:r>
              <w:t>A</w:t>
            </w:r>
          </w:p>
        </w:tc>
        <w:tc>
          <w:tcPr>
            <w:tcW w:w="1220" w:type="dxa"/>
          </w:tcPr>
          <w:p w:rsidR="00557A6F" w:rsidRDefault="00557A6F" w:rsidP="00AF5F55">
            <w:pPr>
              <w:jc w:val="right"/>
            </w:pPr>
            <w:r>
              <w:t xml:space="preserve">inntektstap </w:t>
            </w:r>
          </w:p>
        </w:tc>
        <w:tc>
          <w:tcPr>
            <w:tcW w:w="940" w:type="dxa"/>
          </w:tcPr>
          <w:p w:rsidR="00557A6F" w:rsidRDefault="00557A6F" w:rsidP="00AF5F55">
            <w:pPr>
              <w:jc w:val="right"/>
            </w:pPr>
            <w:r>
              <w:t>300 000</w:t>
            </w:r>
          </w:p>
        </w:tc>
        <w:tc>
          <w:tcPr>
            <w:tcW w:w="940" w:type="dxa"/>
          </w:tcPr>
          <w:p w:rsidR="00557A6F" w:rsidRDefault="00557A6F" w:rsidP="00AF5F55">
            <w:pPr>
              <w:jc w:val="right"/>
            </w:pPr>
            <w:r>
              <w:t>300 000</w:t>
            </w:r>
          </w:p>
        </w:tc>
        <w:tc>
          <w:tcPr>
            <w:tcW w:w="940" w:type="dxa"/>
          </w:tcPr>
          <w:p w:rsidR="00557A6F" w:rsidRDefault="00557A6F" w:rsidP="00AF5F55">
            <w:pPr>
              <w:jc w:val="right"/>
            </w:pPr>
            <w:r>
              <w:t>300 000</w:t>
            </w:r>
          </w:p>
        </w:tc>
      </w:tr>
      <w:tr w:rsidR="00557A6F" w:rsidTr="00557A6F">
        <w:trPr>
          <w:trHeight w:val="880"/>
        </w:trPr>
        <w:tc>
          <w:tcPr>
            <w:tcW w:w="1400" w:type="dxa"/>
          </w:tcPr>
          <w:p w:rsidR="00557A6F" w:rsidRDefault="00557A6F" w:rsidP="00557A6F">
            <w:r>
              <w:t xml:space="preserve"> </w:t>
            </w:r>
          </w:p>
        </w:tc>
        <w:tc>
          <w:tcPr>
            <w:tcW w:w="3020" w:type="dxa"/>
          </w:tcPr>
          <w:p w:rsidR="00557A6F" w:rsidRDefault="00557A6F" w:rsidP="00557A6F">
            <w:r>
              <w:t>Fradrag i positiv næringsin</w:t>
            </w:r>
            <w:r>
              <w:t>n</w:t>
            </w:r>
            <w:r>
              <w:t xml:space="preserve">tekt for skiferdrivere </w:t>
            </w:r>
            <w:r>
              <w:br/>
              <w:t>i Finnmark og Nord-Troms</w:t>
            </w:r>
          </w:p>
        </w:tc>
        <w:tc>
          <w:tcPr>
            <w:tcW w:w="640" w:type="dxa"/>
          </w:tcPr>
          <w:p w:rsidR="00557A6F" w:rsidRDefault="00557A6F" w:rsidP="00AF5F55">
            <w:pPr>
              <w:jc w:val="right"/>
            </w:pPr>
            <w:r>
              <w:t>FIN</w:t>
            </w:r>
          </w:p>
        </w:tc>
        <w:tc>
          <w:tcPr>
            <w:tcW w:w="440" w:type="dxa"/>
          </w:tcPr>
          <w:p w:rsidR="00557A6F" w:rsidRDefault="00557A6F" w:rsidP="00AF5F55">
            <w:pPr>
              <w:jc w:val="right"/>
            </w:pPr>
            <w:r>
              <w:t>A</w:t>
            </w:r>
          </w:p>
        </w:tc>
        <w:tc>
          <w:tcPr>
            <w:tcW w:w="1220" w:type="dxa"/>
          </w:tcPr>
          <w:p w:rsidR="00557A6F" w:rsidRDefault="00557A6F" w:rsidP="00AF5F55">
            <w:pPr>
              <w:jc w:val="right"/>
            </w:pPr>
            <w:r>
              <w:t>inntektstap</w:t>
            </w:r>
          </w:p>
        </w:tc>
        <w:tc>
          <w:tcPr>
            <w:tcW w:w="940" w:type="dxa"/>
          </w:tcPr>
          <w:p w:rsidR="00557A6F" w:rsidRDefault="00557A6F" w:rsidP="00AF5F55">
            <w:pPr>
              <w:jc w:val="right"/>
            </w:pPr>
            <w:r>
              <w:t>1 100</w:t>
            </w:r>
          </w:p>
        </w:tc>
        <w:tc>
          <w:tcPr>
            <w:tcW w:w="940" w:type="dxa"/>
          </w:tcPr>
          <w:p w:rsidR="00557A6F" w:rsidRDefault="00557A6F" w:rsidP="00AF5F55">
            <w:pPr>
              <w:jc w:val="right"/>
            </w:pPr>
            <w:r>
              <w:t>1 000</w:t>
            </w:r>
          </w:p>
        </w:tc>
        <w:tc>
          <w:tcPr>
            <w:tcW w:w="940" w:type="dxa"/>
          </w:tcPr>
          <w:p w:rsidR="00557A6F" w:rsidRDefault="00557A6F" w:rsidP="00AF5F55">
            <w:pPr>
              <w:jc w:val="right"/>
            </w:pPr>
            <w:r>
              <w:t>1 000</w:t>
            </w:r>
          </w:p>
        </w:tc>
      </w:tr>
      <w:tr w:rsidR="00557A6F" w:rsidTr="00557A6F">
        <w:trPr>
          <w:trHeight w:val="640"/>
        </w:trPr>
        <w:tc>
          <w:tcPr>
            <w:tcW w:w="1400" w:type="dxa"/>
          </w:tcPr>
          <w:p w:rsidR="00557A6F" w:rsidRDefault="00557A6F" w:rsidP="00557A6F">
            <w:r>
              <w:t>Næring</w:t>
            </w:r>
          </w:p>
        </w:tc>
        <w:tc>
          <w:tcPr>
            <w:tcW w:w="3020" w:type="dxa"/>
          </w:tcPr>
          <w:p w:rsidR="00557A6F" w:rsidRDefault="00557A6F" w:rsidP="00557A6F">
            <w:r>
              <w:t>Omstillingstiltak i indre Fin</w:t>
            </w:r>
            <w:r>
              <w:t>n</w:t>
            </w:r>
            <w:r>
              <w:t>mark</w:t>
            </w:r>
          </w:p>
        </w:tc>
        <w:tc>
          <w:tcPr>
            <w:tcW w:w="640" w:type="dxa"/>
          </w:tcPr>
          <w:p w:rsidR="00557A6F" w:rsidRDefault="00557A6F" w:rsidP="00AF5F55">
            <w:pPr>
              <w:jc w:val="right"/>
            </w:pPr>
            <w:r>
              <w:t>LMD</w:t>
            </w:r>
          </w:p>
        </w:tc>
        <w:tc>
          <w:tcPr>
            <w:tcW w:w="440" w:type="dxa"/>
          </w:tcPr>
          <w:p w:rsidR="00557A6F" w:rsidRDefault="00557A6F" w:rsidP="00AF5F55">
            <w:pPr>
              <w:jc w:val="right"/>
            </w:pPr>
            <w:r>
              <w:t>B</w:t>
            </w:r>
          </w:p>
        </w:tc>
        <w:tc>
          <w:tcPr>
            <w:tcW w:w="1220" w:type="dxa"/>
          </w:tcPr>
          <w:p w:rsidR="00557A6F" w:rsidRDefault="00557A6F" w:rsidP="00AF5F55">
            <w:pPr>
              <w:jc w:val="right"/>
            </w:pPr>
            <w:r>
              <w:t>1147/71</w:t>
            </w:r>
          </w:p>
        </w:tc>
        <w:tc>
          <w:tcPr>
            <w:tcW w:w="940" w:type="dxa"/>
          </w:tcPr>
          <w:p w:rsidR="00557A6F" w:rsidRDefault="00557A6F" w:rsidP="00AF5F55">
            <w:pPr>
              <w:jc w:val="right"/>
            </w:pPr>
            <w:r>
              <w:t>6 268</w:t>
            </w:r>
          </w:p>
        </w:tc>
        <w:tc>
          <w:tcPr>
            <w:tcW w:w="940" w:type="dxa"/>
          </w:tcPr>
          <w:p w:rsidR="00557A6F" w:rsidRDefault="00557A6F" w:rsidP="00AF5F55">
            <w:pPr>
              <w:jc w:val="right"/>
            </w:pPr>
            <w:r>
              <w:t>4 524</w:t>
            </w:r>
          </w:p>
        </w:tc>
        <w:tc>
          <w:tcPr>
            <w:tcW w:w="940" w:type="dxa"/>
          </w:tcPr>
          <w:p w:rsidR="00557A6F" w:rsidRDefault="00557A6F" w:rsidP="00AF5F55">
            <w:pPr>
              <w:jc w:val="right"/>
            </w:pPr>
            <w:r>
              <w:t>4 513</w:t>
            </w:r>
          </w:p>
        </w:tc>
      </w:tr>
      <w:tr w:rsidR="00557A6F" w:rsidTr="00557A6F">
        <w:trPr>
          <w:trHeight w:val="640"/>
        </w:trPr>
        <w:tc>
          <w:tcPr>
            <w:tcW w:w="1400" w:type="dxa"/>
          </w:tcPr>
          <w:p w:rsidR="00557A6F" w:rsidRDefault="00557A6F" w:rsidP="00557A6F">
            <w:r>
              <w:t>Utdanning og forskning</w:t>
            </w:r>
          </w:p>
        </w:tc>
        <w:tc>
          <w:tcPr>
            <w:tcW w:w="3020" w:type="dxa"/>
          </w:tcPr>
          <w:p w:rsidR="00557A6F" w:rsidRDefault="00557A6F" w:rsidP="00557A6F">
            <w:r>
              <w:t>Ettergivelse av utdanningslån</w:t>
            </w:r>
          </w:p>
        </w:tc>
        <w:tc>
          <w:tcPr>
            <w:tcW w:w="640" w:type="dxa"/>
          </w:tcPr>
          <w:p w:rsidR="00557A6F" w:rsidRDefault="00557A6F" w:rsidP="00AF5F55">
            <w:pPr>
              <w:jc w:val="right"/>
            </w:pPr>
            <w:r>
              <w:t>KD</w:t>
            </w:r>
          </w:p>
        </w:tc>
        <w:tc>
          <w:tcPr>
            <w:tcW w:w="440" w:type="dxa"/>
          </w:tcPr>
          <w:p w:rsidR="00557A6F" w:rsidRDefault="00557A6F" w:rsidP="00AF5F55">
            <w:pPr>
              <w:jc w:val="right"/>
            </w:pPr>
            <w:r>
              <w:t>A</w:t>
            </w:r>
          </w:p>
        </w:tc>
        <w:tc>
          <w:tcPr>
            <w:tcW w:w="1220" w:type="dxa"/>
          </w:tcPr>
          <w:p w:rsidR="00557A6F" w:rsidRDefault="00557A6F" w:rsidP="00AF5F55">
            <w:pPr>
              <w:jc w:val="right"/>
            </w:pPr>
            <w:r>
              <w:t>2410/73</w:t>
            </w:r>
          </w:p>
        </w:tc>
        <w:tc>
          <w:tcPr>
            <w:tcW w:w="940" w:type="dxa"/>
          </w:tcPr>
          <w:p w:rsidR="00557A6F" w:rsidRDefault="00557A6F" w:rsidP="00AF5F55">
            <w:pPr>
              <w:jc w:val="right"/>
            </w:pPr>
            <w:r>
              <w:t>111 383</w:t>
            </w:r>
          </w:p>
        </w:tc>
        <w:tc>
          <w:tcPr>
            <w:tcW w:w="940" w:type="dxa"/>
          </w:tcPr>
          <w:p w:rsidR="00557A6F" w:rsidRDefault="00557A6F" w:rsidP="00AF5F55">
            <w:pPr>
              <w:jc w:val="right"/>
            </w:pPr>
            <w:r>
              <w:t>107 954</w:t>
            </w:r>
          </w:p>
        </w:tc>
        <w:tc>
          <w:tcPr>
            <w:tcW w:w="940" w:type="dxa"/>
          </w:tcPr>
          <w:p w:rsidR="00557A6F" w:rsidRDefault="00557A6F" w:rsidP="00AF5F55">
            <w:pPr>
              <w:jc w:val="right"/>
            </w:pPr>
            <w:r>
              <w:t>122 912</w:t>
            </w:r>
          </w:p>
        </w:tc>
      </w:tr>
      <w:tr w:rsidR="00557A6F" w:rsidTr="00557A6F">
        <w:trPr>
          <w:trHeight w:val="880"/>
        </w:trPr>
        <w:tc>
          <w:tcPr>
            <w:tcW w:w="1400" w:type="dxa"/>
          </w:tcPr>
          <w:p w:rsidR="00557A6F" w:rsidRDefault="00557A6F" w:rsidP="00557A6F"/>
        </w:tc>
        <w:tc>
          <w:tcPr>
            <w:tcW w:w="3020" w:type="dxa"/>
          </w:tcPr>
          <w:p w:rsidR="00557A6F" w:rsidRDefault="00557A6F" w:rsidP="00557A6F">
            <w:r>
              <w:t>Ettergivelse av utdanningslån for kvalifiserte grunnskolel</w:t>
            </w:r>
            <w:r>
              <w:t>æ</w:t>
            </w:r>
            <w:r>
              <w:t>rere i Finnmark og Nord-Troms</w:t>
            </w:r>
          </w:p>
        </w:tc>
        <w:tc>
          <w:tcPr>
            <w:tcW w:w="640" w:type="dxa"/>
          </w:tcPr>
          <w:p w:rsidR="00557A6F" w:rsidRDefault="00557A6F" w:rsidP="00AF5F55">
            <w:pPr>
              <w:jc w:val="right"/>
            </w:pPr>
            <w:r>
              <w:t>KD</w:t>
            </w:r>
          </w:p>
        </w:tc>
        <w:tc>
          <w:tcPr>
            <w:tcW w:w="440" w:type="dxa"/>
          </w:tcPr>
          <w:p w:rsidR="00557A6F" w:rsidRDefault="00557A6F" w:rsidP="00AF5F55">
            <w:pPr>
              <w:jc w:val="right"/>
            </w:pPr>
            <w:r>
              <w:t>A</w:t>
            </w:r>
          </w:p>
        </w:tc>
        <w:tc>
          <w:tcPr>
            <w:tcW w:w="1220" w:type="dxa"/>
          </w:tcPr>
          <w:p w:rsidR="00557A6F" w:rsidRDefault="00557A6F" w:rsidP="00AF5F55">
            <w:pPr>
              <w:jc w:val="right"/>
            </w:pPr>
            <w:r>
              <w:t>2410/73</w:t>
            </w:r>
          </w:p>
        </w:tc>
        <w:tc>
          <w:tcPr>
            <w:tcW w:w="940" w:type="dxa"/>
          </w:tcPr>
          <w:p w:rsidR="00557A6F" w:rsidRDefault="00557A6F" w:rsidP="00AF5F55">
            <w:pPr>
              <w:jc w:val="right"/>
            </w:pPr>
            <w:r>
              <w:t>3 377</w:t>
            </w:r>
          </w:p>
        </w:tc>
        <w:tc>
          <w:tcPr>
            <w:tcW w:w="940" w:type="dxa"/>
          </w:tcPr>
          <w:p w:rsidR="00557A6F" w:rsidRDefault="00557A6F" w:rsidP="00AF5F55">
            <w:pPr>
              <w:jc w:val="right"/>
            </w:pPr>
            <w:r>
              <w:t>8 000</w:t>
            </w:r>
          </w:p>
        </w:tc>
        <w:tc>
          <w:tcPr>
            <w:tcW w:w="940" w:type="dxa"/>
          </w:tcPr>
          <w:p w:rsidR="00557A6F" w:rsidRDefault="00557A6F" w:rsidP="00AF5F55">
            <w:pPr>
              <w:jc w:val="right"/>
            </w:pPr>
            <w:r>
              <w:t>6 753</w:t>
            </w:r>
          </w:p>
        </w:tc>
      </w:tr>
      <w:tr w:rsidR="00557A6F" w:rsidTr="00557A6F">
        <w:trPr>
          <w:trHeight w:val="1140"/>
        </w:trPr>
        <w:tc>
          <w:tcPr>
            <w:tcW w:w="1400" w:type="dxa"/>
          </w:tcPr>
          <w:p w:rsidR="00557A6F" w:rsidRDefault="00557A6F" w:rsidP="00557A6F">
            <w:r>
              <w:t>Levekår, mi</w:t>
            </w:r>
            <w:r>
              <w:t>l</w:t>
            </w:r>
            <w:r>
              <w:t xml:space="preserve">jøvern </w:t>
            </w:r>
            <w:r>
              <w:br/>
              <w:t>og offentlige tjenester</w:t>
            </w:r>
          </w:p>
        </w:tc>
        <w:tc>
          <w:tcPr>
            <w:tcW w:w="3020" w:type="dxa"/>
          </w:tcPr>
          <w:p w:rsidR="00557A6F" w:rsidRDefault="00557A6F" w:rsidP="004769CB">
            <w:r>
              <w:t>Distribusjonstilskudd til av</w:t>
            </w:r>
            <w:r>
              <w:t>i</w:t>
            </w:r>
            <w:r>
              <w:t>ser i Finnmark</w:t>
            </w:r>
            <w:r>
              <w:rPr>
                <w:rStyle w:val="skrift-hevet"/>
                <w:sz w:val="21"/>
                <w:szCs w:val="21"/>
              </w:rPr>
              <w:t>2</w:t>
            </w:r>
          </w:p>
        </w:tc>
        <w:tc>
          <w:tcPr>
            <w:tcW w:w="640" w:type="dxa"/>
          </w:tcPr>
          <w:p w:rsidR="00557A6F" w:rsidRDefault="00557A6F" w:rsidP="00AF5F55">
            <w:pPr>
              <w:jc w:val="right"/>
            </w:pPr>
            <w:r>
              <w:t>KUD</w:t>
            </w:r>
          </w:p>
        </w:tc>
        <w:tc>
          <w:tcPr>
            <w:tcW w:w="440" w:type="dxa"/>
          </w:tcPr>
          <w:p w:rsidR="00557A6F" w:rsidRDefault="00557A6F" w:rsidP="00AF5F55">
            <w:pPr>
              <w:jc w:val="right"/>
            </w:pPr>
            <w:r>
              <w:t>A</w:t>
            </w:r>
          </w:p>
        </w:tc>
        <w:tc>
          <w:tcPr>
            <w:tcW w:w="1220" w:type="dxa"/>
          </w:tcPr>
          <w:p w:rsidR="00557A6F" w:rsidRDefault="00557A6F" w:rsidP="00AF5F55">
            <w:pPr>
              <w:jc w:val="right"/>
            </w:pPr>
            <w:r>
              <w:t>335/77</w:t>
            </w:r>
          </w:p>
        </w:tc>
        <w:tc>
          <w:tcPr>
            <w:tcW w:w="940" w:type="dxa"/>
          </w:tcPr>
          <w:p w:rsidR="00557A6F" w:rsidRDefault="00557A6F" w:rsidP="00AF5F55">
            <w:pPr>
              <w:jc w:val="right"/>
            </w:pPr>
            <w:r>
              <w:t>2 135</w:t>
            </w:r>
          </w:p>
        </w:tc>
        <w:tc>
          <w:tcPr>
            <w:tcW w:w="940" w:type="dxa"/>
          </w:tcPr>
          <w:p w:rsidR="00557A6F" w:rsidRDefault="00557A6F" w:rsidP="00AF5F55">
            <w:pPr>
              <w:jc w:val="right"/>
            </w:pPr>
            <w:r>
              <w:t>2 190</w:t>
            </w:r>
          </w:p>
        </w:tc>
        <w:tc>
          <w:tcPr>
            <w:tcW w:w="940" w:type="dxa"/>
          </w:tcPr>
          <w:p w:rsidR="00557A6F" w:rsidRDefault="00557A6F" w:rsidP="00AF5F55">
            <w:pPr>
              <w:jc w:val="right"/>
            </w:pPr>
            <w:r>
              <w:t>0</w:t>
            </w:r>
          </w:p>
        </w:tc>
      </w:tr>
      <w:tr w:rsidR="00557A6F" w:rsidTr="00557A6F">
        <w:trPr>
          <w:trHeight w:val="380"/>
        </w:trPr>
        <w:tc>
          <w:tcPr>
            <w:tcW w:w="1400" w:type="dxa"/>
          </w:tcPr>
          <w:p w:rsidR="00557A6F" w:rsidRDefault="00557A6F" w:rsidP="00557A6F"/>
        </w:tc>
        <w:tc>
          <w:tcPr>
            <w:tcW w:w="3020" w:type="dxa"/>
          </w:tcPr>
          <w:p w:rsidR="00557A6F" w:rsidRDefault="00557A6F" w:rsidP="00557A6F">
            <w:r>
              <w:t>Mediestøtte</w:t>
            </w:r>
            <w:r>
              <w:rPr>
                <w:rStyle w:val="skrift-hevet"/>
                <w:sz w:val="21"/>
                <w:szCs w:val="21"/>
              </w:rPr>
              <w:t>2</w:t>
            </w:r>
          </w:p>
        </w:tc>
        <w:tc>
          <w:tcPr>
            <w:tcW w:w="640" w:type="dxa"/>
          </w:tcPr>
          <w:p w:rsidR="00557A6F" w:rsidRDefault="00557A6F" w:rsidP="00AF5F55">
            <w:pPr>
              <w:jc w:val="right"/>
            </w:pPr>
            <w:r>
              <w:t>KUD</w:t>
            </w:r>
          </w:p>
        </w:tc>
        <w:tc>
          <w:tcPr>
            <w:tcW w:w="440" w:type="dxa"/>
          </w:tcPr>
          <w:p w:rsidR="00557A6F" w:rsidRDefault="00557A6F" w:rsidP="00AF5F55">
            <w:pPr>
              <w:jc w:val="right"/>
            </w:pPr>
            <w:r>
              <w:t>A</w:t>
            </w:r>
          </w:p>
        </w:tc>
        <w:tc>
          <w:tcPr>
            <w:tcW w:w="1220" w:type="dxa"/>
          </w:tcPr>
          <w:p w:rsidR="00557A6F" w:rsidRDefault="00557A6F" w:rsidP="00AF5F55">
            <w:pPr>
              <w:jc w:val="right"/>
            </w:pPr>
            <w:r>
              <w:t>335/71</w:t>
            </w:r>
          </w:p>
        </w:tc>
        <w:tc>
          <w:tcPr>
            <w:tcW w:w="940" w:type="dxa"/>
          </w:tcPr>
          <w:p w:rsidR="00557A6F" w:rsidRDefault="00557A6F" w:rsidP="00AF5F55">
            <w:pPr>
              <w:jc w:val="right"/>
            </w:pPr>
          </w:p>
        </w:tc>
        <w:tc>
          <w:tcPr>
            <w:tcW w:w="940" w:type="dxa"/>
          </w:tcPr>
          <w:p w:rsidR="00557A6F" w:rsidRDefault="00557A6F" w:rsidP="00AF5F55">
            <w:pPr>
              <w:jc w:val="right"/>
            </w:pPr>
          </w:p>
        </w:tc>
        <w:tc>
          <w:tcPr>
            <w:tcW w:w="940" w:type="dxa"/>
          </w:tcPr>
          <w:p w:rsidR="00557A6F" w:rsidRDefault="00557A6F" w:rsidP="00AF5F55">
            <w:pPr>
              <w:jc w:val="right"/>
            </w:pPr>
            <w:r>
              <w:t>2 246</w:t>
            </w:r>
          </w:p>
        </w:tc>
      </w:tr>
    </w:tbl>
    <w:p w:rsidR="00557A6F" w:rsidRDefault="00557A6F" w:rsidP="00557A6F">
      <w:pPr>
        <w:pStyle w:val="tabell-noter"/>
        <w:rPr>
          <w:rStyle w:val="skrift-hevet"/>
          <w:sz w:val="24"/>
          <w:szCs w:val="24"/>
        </w:rPr>
      </w:pPr>
      <w:r>
        <w:rPr>
          <w:rStyle w:val="skrift-hevet"/>
          <w:sz w:val="17"/>
          <w:szCs w:val="17"/>
        </w:rPr>
        <w:t>1</w:t>
      </w:r>
      <w:r>
        <w:tab/>
        <w:t>På grunn av samspillsvirkninger er inntektstapet høyere av disse skattetiltakene sett under ett enn hver for seg. For de tre tiltakene er samlet inntektstap anslått til henholdsvis 930, 950 og 990 mill. kroner for 2018, 2019 og 2020.</w:t>
      </w:r>
    </w:p>
    <w:p w:rsidR="00557A6F" w:rsidRDefault="00557A6F" w:rsidP="00557A6F">
      <w:pPr>
        <w:pStyle w:val="tabell-noter"/>
        <w:rPr>
          <w:rFonts w:ascii="UniMyriad Regular" w:hAnsi="UniMyriad Regular" w:cs="UniMyriad Regular"/>
          <w:sz w:val="21"/>
          <w:szCs w:val="21"/>
        </w:rPr>
      </w:pPr>
      <w:r>
        <w:rPr>
          <w:rStyle w:val="skrift-hevet"/>
          <w:sz w:val="17"/>
          <w:szCs w:val="17"/>
        </w:rPr>
        <w:t>2</w:t>
      </w:r>
      <w:r>
        <w:tab/>
        <w:t>Tilskuddet er flyttet til kap. 335, post 71 Mediestøtte fra 2020, for å samle all mediestøtte under samme post.</w:t>
      </w:r>
    </w:p>
    <w:p w:rsidR="00557A6F" w:rsidRDefault="00557A6F" w:rsidP="00557A6F">
      <w:r>
        <w:t>På flere politikkområder er det etablert særordninger og prioritet i virkemiddelbruken for Nord-Norge, i tillegg til ordningene for tiltakssonen. Tabell 1.6 viser fordelen av fritak for merve</w:t>
      </w:r>
      <w:r>
        <w:t>r</w:t>
      </w:r>
      <w:r>
        <w:t>diavgift på strøm, ko</w:t>
      </w:r>
      <w:r>
        <w:t>m</w:t>
      </w:r>
      <w:r>
        <w:t>pensasjonsordninger for økt arbeidsgiveravgift i samferdselssektoren og rammetilskudd i kommuneøk</w:t>
      </w:r>
      <w:r>
        <w:t>o</w:t>
      </w:r>
      <w:r>
        <w:t xml:space="preserve">nomien. Postene under kap. 571 Rammetilskudd til kommuner og kap. 572 Rammetilskudd til fylkeskommuner er nærmere omtalt under programkategori 13.70 Kommunesektoren mv. </w:t>
      </w:r>
    </w:p>
    <w:p w:rsidR="00AF5F55" w:rsidRDefault="00AF5F55" w:rsidP="00AF5F55">
      <w:pPr>
        <w:pStyle w:val="tabell-tittel"/>
      </w:pPr>
      <w:r>
        <w:t>Tiltak som prioriterer Nord-Norge og rammetilskudd til kommunene</w:t>
      </w:r>
    </w:p>
    <w:p w:rsidR="00557A6F" w:rsidRDefault="00557A6F" w:rsidP="00557A6F">
      <w:pPr>
        <w:pStyle w:val="Tabellnavn"/>
      </w:pPr>
      <w:r>
        <w:t>07J2xt2</w:t>
      </w:r>
    </w:p>
    <w:tbl>
      <w:tblPr>
        <w:tblStyle w:val="StandardTabell"/>
        <w:tblW w:w="0" w:type="auto"/>
        <w:tblLayout w:type="fixed"/>
        <w:tblLook w:val="04A0" w:firstRow="1" w:lastRow="0" w:firstColumn="1" w:lastColumn="0" w:noHBand="0" w:noVBand="1"/>
      </w:tblPr>
      <w:tblGrid>
        <w:gridCol w:w="3900"/>
        <w:gridCol w:w="600"/>
        <w:gridCol w:w="640"/>
        <w:gridCol w:w="1120"/>
        <w:gridCol w:w="1080"/>
        <w:gridCol w:w="1080"/>
        <w:gridCol w:w="1080"/>
      </w:tblGrid>
      <w:tr w:rsidR="00557A6F" w:rsidTr="00557A6F">
        <w:trPr>
          <w:trHeight w:val="360"/>
        </w:trPr>
        <w:tc>
          <w:tcPr>
            <w:tcW w:w="9500" w:type="dxa"/>
            <w:gridSpan w:val="7"/>
          </w:tcPr>
          <w:p w:rsidR="00557A6F" w:rsidRDefault="00557A6F" w:rsidP="004769CB">
            <w:r>
              <w:t>(i 1 000 kr)</w:t>
            </w:r>
          </w:p>
        </w:tc>
      </w:tr>
      <w:tr w:rsidR="00557A6F" w:rsidTr="00557A6F">
        <w:trPr>
          <w:trHeight w:val="600"/>
        </w:trPr>
        <w:tc>
          <w:tcPr>
            <w:tcW w:w="3900" w:type="dxa"/>
          </w:tcPr>
          <w:p w:rsidR="00557A6F" w:rsidRDefault="00557A6F" w:rsidP="004769CB">
            <w:r>
              <w:lastRenderedPageBreak/>
              <w:t>Tiltak/ordning</w:t>
            </w:r>
          </w:p>
        </w:tc>
        <w:tc>
          <w:tcPr>
            <w:tcW w:w="600" w:type="dxa"/>
          </w:tcPr>
          <w:p w:rsidR="00557A6F" w:rsidRDefault="00557A6F" w:rsidP="004769CB">
            <w:pPr>
              <w:jc w:val="right"/>
            </w:pPr>
            <w:r>
              <w:t>Dep.</w:t>
            </w:r>
          </w:p>
        </w:tc>
        <w:tc>
          <w:tcPr>
            <w:tcW w:w="640" w:type="dxa"/>
          </w:tcPr>
          <w:p w:rsidR="00557A6F" w:rsidRDefault="00557A6F" w:rsidP="004769CB">
            <w:pPr>
              <w:jc w:val="right"/>
            </w:pPr>
            <w:r>
              <w:t>Kat.</w:t>
            </w:r>
          </w:p>
        </w:tc>
        <w:tc>
          <w:tcPr>
            <w:tcW w:w="1120" w:type="dxa"/>
          </w:tcPr>
          <w:p w:rsidR="00557A6F" w:rsidRDefault="00557A6F" w:rsidP="004769CB">
            <w:pPr>
              <w:jc w:val="right"/>
            </w:pPr>
            <w:r>
              <w:t>Kap./post</w:t>
            </w:r>
          </w:p>
        </w:tc>
        <w:tc>
          <w:tcPr>
            <w:tcW w:w="1080" w:type="dxa"/>
          </w:tcPr>
          <w:p w:rsidR="00557A6F" w:rsidRDefault="00557A6F" w:rsidP="004769CB">
            <w:pPr>
              <w:jc w:val="right"/>
            </w:pPr>
            <w:r>
              <w:t>Reg</w:t>
            </w:r>
            <w:r>
              <w:t>n</w:t>
            </w:r>
            <w:r>
              <w:t>skap 2018</w:t>
            </w:r>
          </w:p>
        </w:tc>
        <w:tc>
          <w:tcPr>
            <w:tcW w:w="1080" w:type="dxa"/>
          </w:tcPr>
          <w:p w:rsidR="00557A6F" w:rsidRDefault="00557A6F" w:rsidP="004769CB">
            <w:pPr>
              <w:jc w:val="right"/>
            </w:pPr>
            <w:r>
              <w:t>Budsjett 2019</w:t>
            </w:r>
          </w:p>
        </w:tc>
        <w:tc>
          <w:tcPr>
            <w:tcW w:w="1080" w:type="dxa"/>
          </w:tcPr>
          <w:p w:rsidR="00557A6F" w:rsidRDefault="00557A6F" w:rsidP="004769CB">
            <w:pPr>
              <w:jc w:val="right"/>
            </w:pPr>
            <w:r>
              <w:t>Forslag 2020</w:t>
            </w:r>
          </w:p>
        </w:tc>
      </w:tr>
      <w:tr w:rsidR="00557A6F" w:rsidTr="00557A6F">
        <w:trPr>
          <w:trHeight w:val="880"/>
        </w:trPr>
        <w:tc>
          <w:tcPr>
            <w:tcW w:w="3900" w:type="dxa"/>
          </w:tcPr>
          <w:p w:rsidR="00557A6F" w:rsidRDefault="00557A6F" w:rsidP="004769CB">
            <w:r>
              <w:t xml:space="preserve">0-sats for merverdiavgift ved forbruk </w:t>
            </w:r>
            <w:r>
              <w:br/>
              <w:t xml:space="preserve">av elektrisk kraft og energi fra andre </w:t>
            </w:r>
            <w:r>
              <w:br/>
              <w:t>fornybare energikilder i Nord-Norge</w:t>
            </w:r>
          </w:p>
        </w:tc>
        <w:tc>
          <w:tcPr>
            <w:tcW w:w="600" w:type="dxa"/>
          </w:tcPr>
          <w:p w:rsidR="00557A6F" w:rsidRDefault="00557A6F" w:rsidP="004769CB">
            <w:pPr>
              <w:jc w:val="right"/>
            </w:pPr>
            <w:r>
              <w:t>FIN</w:t>
            </w:r>
          </w:p>
        </w:tc>
        <w:tc>
          <w:tcPr>
            <w:tcW w:w="640" w:type="dxa"/>
          </w:tcPr>
          <w:p w:rsidR="00557A6F" w:rsidRDefault="00557A6F" w:rsidP="004769CB">
            <w:pPr>
              <w:jc w:val="right"/>
            </w:pPr>
            <w:r>
              <w:t>A</w:t>
            </w:r>
          </w:p>
        </w:tc>
        <w:tc>
          <w:tcPr>
            <w:tcW w:w="1120" w:type="dxa"/>
          </w:tcPr>
          <w:p w:rsidR="00557A6F" w:rsidRDefault="00557A6F" w:rsidP="004769CB">
            <w:pPr>
              <w:jc w:val="right"/>
            </w:pPr>
            <w:r>
              <w:t>inntekt</w:t>
            </w:r>
            <w:r>
              <w:t>s</w:t>
            </w:r>
            <w:r>
              <w:t xml:space="preserve">tap </w:t>
            </w:r>
          </w:p>
        </w:tc>
        <w:tc>
          <w:tcPr>
            <w:tcW w:w="1080" w:type="dxa"/>
          </w:tcPr>
          <w:p w:rsidR="00557A6F" w:rsidRDefault="00557A6F" w:rsidP="004769CB">
            <w:pPr>
              <w:jc w:val="right"/>
            </w:pPr>
            <w:r>
              <w:t>800 000</w:t>
            </w:r>
          </w:p>
        </w:tc>
        <w:tc>
          <w:tcPr>
            <w:tcW w:w="1080" w:type="dxa"/>
          </w:tcPr>
          <w:p w:rsidR="00557A6F" w:rsidRDefault="00557A6F" w:rsidP="004769CB">
            <w:pPr>
              <w:jc w:val="right"/>
            </w:pPr>
            <w:r>
              <w:t>900 000</w:t>
            </w:r>
          </w:p>
        </w:tc>
        <w:tc>
          <w:tcPr>
            <w:tcW w:w="1080" w:type="dxa"/>
          </w:tcPr>
          <w:p w:rsidR="00557A6F" w:rsidRDefault="00557A6F" w:rsidP="004769CB">
            <w:pPr>
              <w:jc w:val="right"/>
            </w:pPr>
            <w:r>
              <w:t>900 000</w:t>
            </w:r>
          </w:p>
        </w:tc>
      </w:tr>
      <w:tr w:rsidR="00557A6F" w:rsidTr="00557A6F">
        <w:trPr>
          <w:trHeight w:val="380"/>
        </w:trPr>
        <w:tc>
          <w:tcPr>
            <w:tcW w:w="3900" w:type="dxa"/>
          </w:tcPr>
          <w:p w:rsidR="00557A6F" w:rsidRDefault="00557A6F" w:rsidP="004769CB">
            <w:r>
              <w:t>Kompensasjon for økt arbeidsgivera</w:t>
            </w:r>
            <w:r>
              <w:t>v</w:t>
            </w:r>
            <w:r>
              <w:t>gift</w:t>
            </w:r>
          </w:p>
        </w:tc>
        <w:tc>
          <w:tcPr>
            <w:tcW w:w="600" w:type="dxa"/>
          </w:tcPr>
          <w:p w:rsidR="00557A6F" w:rsidRDefault="00557A6F" w:rsidP="004769CB">
            <w:pPr>
              <w:jc w:val="right"/>
            </w:pPr>
            <w:r>
              <w:t>SD</w:t>
            </w:r>
          </w:p>
        </w:tc>
        <w:tc>
          <w:tcPr>
            <w:tcW w:w="640" w:type="dxa"/>
          </w:tcPr>
          <w:p w:rsidR="00557A6F" w:rsidRDefault="00557A6F" w:rsidP="004769CB">
            <w:pPr>
              <w:jc w:val="right"/>
            </w:pPr>
            <w:r>
              <w:t>A</w:t>
            </w:r>
          </w:p>
        </w:tc>
        <w:tc>
          <w:tcPr>
            <w:tcW w:w="1120" w:type="dxa"/>
          </w:tcPr>
          <w:p w:rsidR="00557A6F" w:rsidRDefault="00557A6F" w:rsidP="004769CB">
            <w:pPr>
              <w:jc w:val="right"/>
            </w:pPr>
            <w:r>
              <w:t>1320/34</w:t>
            </w:r>
          </w:p>
        </w:tc>
        <w:tc>
          <w:tcPr>
            <w:tcW w:w="1080" w:type="dxa"/>
          </w:tcPr>
          <w:p w:rsidR="00557A6F" w:rsidRDefault="00557A6F" w:rsidP="004769CB">
            <w:pPr>
              <w:jc w:val="right"/>
            </w:pPr>
            <w:r>
              <w:t>295 049</w:t>
            </w:r>
          </w:p>
        </w:tc>
        <w:tc>
          <w:tcPr>
            <w:tcW w:w="1080" w:type="dxa"/>
          </w:tcPr>
          <w:p w:rsidR="00557A6F" w:rsidRDefault="00557A6F" w:rsidP="004769CB">
            <w:pPr>
              <w:jc w:val="right"/>
            </w:pPr>
            <w:r>
              <w:t>18 300</w:t>
            </w:r>
          </w:p>
        </w:tc>
        <w:tc>
          <w:tcPr>
            <w:tcW w:w="1080" w:type="dxa"/>
          </w:tcPr>
          <w:p w:rsidR="00557A6F" w:rsidRDefault="00557A6F" w:rsidP="004769CB">
            <w:pPr>
              <w:jc w:val="right"/>
            </w:pPr>
            <w:r>
              <w:t>0</w:t>
            </w:r>
          </w:p>
        </w:tc>
      </w:tr>
      <w:tr w:rsidR="00557A6F" w:rsidTr="00557A6F">
        <w:trPr>
          <w:trHeight w:val="380"/>
        </w:trPr>
        <w:tc>
          <w:tcPr>
            <w:tcW w:w="3900" w:type="dxa"/>
          </w:tcPr>
          <w:p w:rsidR="00557A6F" w:rsidRDefault="00557A6F" w:rsidP="004769CB"/>
        </w:tc>
        <w:tc>
          <w:tcPr>
            <w:tcW w:w="600" w:type="dxa"/>
          </w:tcPr>
          <w:p w:rsidR="00557A6F" w:rsidRDefault="00557A6F" w:rsidP="004769CB">
            <w:pPr>
              <w:jc w:val="right"/>
            </w:pPr>
            <w:r>
              <w:t>SD</w:t>
            </w:r>
          </w:p>
        </w:tc>
        <w:tc>
          <w:tcPr>
            <w:tcW w:w="640" w:type="dxa"/>
          </w:tcPr>
          <w:p w:rsidR="00557A6F" w:rsidRDefault="00557A6F" w:rsidP="004769CB">
            <w:pPr>
              <w:jc w:val="right"/>
            </w:pPr>
            <w:r>
              <w:t>A</w:t>
            </w:r>
          </w:p>
        </w:tc>
        <w:tc>
          <w:tcPr>
            <w:tcW w:w="1120" w:type="dxa"/>
          </w:tcPr>
          <w:p w:rsidR="00557A6F" w:rsidRDefault="00557A6F" w:rsidP="004769CB">
            <w:pPr>
              <w:jc w:val="right"/>
            </w:pPr>
            <w:r>
              <w:t>1360/34</w:t>
            </w:r>
          </w:p>
        </w:tc>
        <w:tc>
          <w:tcPr>
            <w:tcW w:w="1080" w:type="dxa"/>
          </w:tcPr>
          <w:p w:rsidR="00557A6F" w:rsidRDefault="00557A6F" w:rsidP="004769CB">
            <w:pPr>
              <w:jc w:val="right"/>
            </w:pPr>
            <w:r>
              <w:t>5 043</w:t>
            </w:r>
          </w:p>
        </w:tc>
        <w:tc>
          <w:tcPr>
            <w:tcW w:w="1080" w:type="dxa"/>
          </w:tcPr>
          <w:p w:rsidR="00557A6F" w:rsidRDefault="00557A6F" w:rsidP="004769CB">
            <w:pPr>
              <w:jc w:val="right"/>
            </w:pPr>
            <w:r>
              <w:t>0</w:t>
            </w:r>
          </w:p>
        </w:tc>
        <w:tc>
          <w:tcPr>
            <w:tcW w:w="1080" w:type="dxa"/>
          </w:tcPr>
          <w:p w:rsidR="00557A6F" w:rsidRDefault="00557A6F" w:rsidP="004769CB">
            <w:pPr>
              <w:jc w:val="right"/>
            </w:pPr>
            <w:r>
              <w:t>25 800</w:t>
            </w:r>
          </w:p>
        </w:tc>
      </w:tr>
      <w:tr w:rsidR="00557A6F" w:rsidTr="00557A6F">
        <w:trPr>
          <w:trHeight w:val="640"/>
        </w:trPr>
        <w:tc>
          <w:tcPr>
            <w:tcW w:w="3900" w:type="dxa"/>
          </w:tcPr>
          <w:p w:rsidR="00557A6F" w:rsidRDefault="00557A6F" w:rsidP="004769CB">
            <w:r>
              <w:t xml:space="preserve">Rammetilskudd til kommunene, </w:t>
            </w:r>
            <w:r>
              <w:br/>
              <w:t>Distriktstilskudd Sør-Norge</w:t>
            </w:r>
          </w:p>
        </w:tc>
        <w:tc>
          <w:tcPr>
            <w:tcW w:w="600" w:type="dxa"/>
          </w:tcPr>
          <w:p w:rsidR="00557A6F" w:rsidRDefault="00557A6F" w:rsidP="004769CB">
            <w:pPr>
              <w:jc w:val="right"/>
            </w:pPr>
            <w:r>
              <w:t>KMD</w:t>
            </w:r>
          </w:p>
        </w:tc>
        <w:tc>
          <w:tcPr>
            <w:tcW w:w="640" w:type="dxa"/>
          </w:tcPr>
          <w:p w:rsidR="00557A6F" w:rsidRDefault="00557A6F" w:rsidP="004769CB">
            <w:pPr>
              <w:jc w:val="right"/>
            </w:pPr>
            <w:r>
              <w:t>A</w:t>
            </w:r>
          </w:p>
        </w:tc>
        <w:tc>
          <w:tcPr>
            <w:tcW w:w="1120" w:type="dxa"/>
          </w:tcPr>
          <w:p w:rsidR="00557A6F" w:rsidRDefault="00557A6F" w:rsidP="004769CB">
            <w:pPr>
              <w:jc w:val="right"/>
            </w:pPr>
            <w:r>
              <w:t>571/61</w:t>
            </w:r>
          </w:p>
        </w:tc>
        <w:tc>
          <w:tcPr>
            <w:tcW w:w="1080" w:type="dxa"/>
          </w:tcPr>
          <w:p w:rsidR="00557A6F" w:rsidRDefault="00557A6F" w:rsidP="004769CB">
            <w:pPr>
              <w:jc w:val="right"/>
            </w:pPr>
            <w:r>
              <w:t>831 273</w:t>
            </w:r>
          </w:p>
        </w:tc>
        <w:tc>
          <w:tcPr>
            <w:tcW w:w="1080" w:type="dxa"/>
          </w:tcPr>
          <w:p w:rsidR="00557A6F" w:rsidRDefault="00557A6F" w:rsidP="004769CB">
            <w:pPr>
              <w:jc w:val="right"/>
            </w:pPr>
            <w:r>
              <w:t>860 407</w:t>
            </w:r>
          </w:p>
        </w:tc>
        <w:tc>
          <w:tcPr>
            <w:tcW w:w="1080" w:type="dxa"/>
          </w:tcPr>
          <w:p w:rsidR="00557A6F" w:rsidRDefault="00557A6F" w:rsidP="004769CB">
            <w:pPr>
              <w:jc w:val="right"/>
            </w:pPr>
            <w:r>
              <w:t>785 079</w:t>
            </w:r>
          </w:p>
        </w:tc>
      </w:tr>
      <w:tr w:rsidR="00557A6F" w:rsidTr="00557A6F">
        <w:trPr>
          <w:trHeight w:val="640"/>
        </w:trPr>
        <w:tc>
          <w:tcPr>
            <w:tcW w:w="3900" w:type="dxa"/>
          </w:tcPr>
          <w:p w:rsidR="00557A6F" w:rsidRDefault="00557A6F" w:rsidP="004769CB">
            <w:r>
              <w:t xml:space="preserve">Rammetilskudd til kommunene, </w:t>
            </w:r>
            <w:r>
              <w:br/>
              <w:t xml:space="preserve">Distriktstilskudd Nord-Norge </w:t>
            </w:r>
          </w:p>
        </w:tc>
        <w:tc>
          <w:tcPr>
            <w:tcW w:w="600" w:type="dxa"/>
          </w:tcPr>
          <w:p w:rsidR="00557A6F" w:rsidRDefault="00557A6F" w:rsidP="004769CB">
            <w:pPr>
              <w:jc w:val="right"/>
            </w:pPr>
            <w:r>
              <w:t>KMD</w:t>
            </w:r>
          </w:p>
        </w:tc>
        <w:tc>
          <w:tcPr>
            <w:tcW w:w="640" w:type="dxa"/>
          </w:tcPr>
          <w:p w:rsidR="00557A6F" w:rsidRDefault="00557A6F" w:rsidP="004769CB">
            <w:pPr>
              <w:jc w:val="right"/>
            </w:pPr>
            <w:r>
              <w:t>A</w:t>
            </w:r>
          </w:p>
        </w:tc>
        <w:tc>
          <w:tcPr>
            <w:tcW w:w="1120" w:type="dxa"/>
          </w:tcPr>
          <w:p w:rsidR="00557A6F" w:rsidRDefault="00557A6F" w:rsidP="004769CB">
            <w:pPr>
              <w:jc w:val="right"/>
            </w:pPr>
            <w:r>
              <w:t>571/62</w:t>
            </w:r>
          </w:p>
        </w:tc>
        <w:tc>
          <w:tcPr>
            <w:tcW w:w="1080" w:type="dxa"/>
          </w:tcPr>
          <w:p w:rsidR="00557A6F" w:rsidRDefault="00557A6F" w:rsidP="004769CB">
            <w:pPr>
              <w:jc w:val="right"/>
            </w:pPr>
            <w:r>
              <w:t>2 139 662</w:t>
            </w:r>
          </w:p>
        </w:tc>
        <w:tc>
          <w:tcPr>
            <w:tcW w:w="1080" w:type="dxa"/>
          </w:tcPr>
          <w:p w:rsidR="00557A6F" w:rsidRDefault="00557A6F" w:rsidP="004769CB">
            <w:pPr>
              <w:jc w:val="right"/>
            </w:pPr>
            <w:r>
              <w:t>2 199 842</w:t>
            </w:r>
          </w:p>
        </w:tc>
        <w:tc>
          <w:tcPr>
            <w:tcW w:w="1080" w:type="dxa"/>
          </w:tcPr>
          <w:p w:rsidR="00557A6F" w:rsidRDefault="00557A6F" w:rsidP="004769CB">
            <w:pPr>
              <w:jc w:val="right"/>
            </w:pPr>
            <w:r>
              <w:t>2 204 969</w:t>
            </w:r>
          </w:p>
        </w:tc>
      </w:tr>
      <w:tr w:rsidR="00557A6F" w:rsidTr="00557A6F">
        <w:trPr>
          <w:trHeight w:val="640"/>
        </w:trPr>
        <w:tc>
          <w:tcPr>
            <w:tcW w:w="3900" w:type="dxa"/>
          </w:tcPr>
          <w:p w:rsidR="00557A6F" w:rsidRDefault="00557A6F" w:rsidP="004769CB">
            <w:r>
              <w:t xml:space="preserve">Rammetilskudd til fylkeskommunene, </w:t>
            </w:r>
            <w:r>
              <w:br/>
              <w:t>Nord-Norge-tilskudd</w:t>
            </w:r>
          </w:p>
        </w:tc>
        <w:tc>
          <w:tcPr>
            <w:tcW w:w="600" w:type="dxa"/>
          </w:tcPr>
          <w:p w:rsidR="00557A6F" w:rsidRDefault="00557A6F" w:rsidP="004769CB">
            <w:pPr>
              <w:jc w:val="right"/>
            </w:pPr>
            <w:r>
              <w:t>KMD</w:t>
            </w:r>
          </w:p>
        </w:tc>
        <w:tc>
          <w:tcPr>
            <w:tcW w:w="640" w:type="dxa"/>
          </w:tcPr>
          <w:p w:rsidR="00557A6F" w:rsidRDefault="00557A6F" w:rsidP="004769CB">
            <w:pPr>
              <w:jc w:val="right"/>
            </w:pPr>
            <w:r>
              <w:t>A</w:t>
            </w:r>
          </w:p>
        </w:tc>
        <w:tc>
          <w:tcPr>
            <w:tcW w:w="1120" w:type="dxa"/>
          </w:tcPr>
          <w:p w:rsidR="00557A6F" w:rsidRDefault="00557A6F" w:rsidP="004769CB">
            <w:pPr>
              <w:jc w:val="right"/>
            </w:pPr>
            <w:r>
              <w:t>572/62</w:t>
            </w:r>
          </w:p>
        </w:tc>
        <w:tc>
          <w:tcPr>
            <w:tcW w:w="1080" w:type="dxa"/>
          </w:tcPr>
          <w:p w:rsidR="00557A6F" w:rsidRDefault="00557A6F" w:rsidP="004769CB">
            <w:pPr>
              <w:jc w:val="right"/>
            </w:pPr>
            <w:r>
              <w:t>655 923</w:t>
            </w:r>
          </w:p>
        </w:tc>
        <w:tc>
          <w:tcPr>
            <w:tcW w:w="1080" w:type="dxa"/>
          </w:tcPr>
          <w:p w:rsidR="00557A6F" w:rsidRDefault="00557A6F" w:rsidP="004769CB">
            <w:pPr>
              <w:jc w:val="right"/>
            </w:pPr>
            <w:r>
              <w:t>676 012</w:t>
            </w:r>
          </w:p>
        </w:tc>
        <w:tc>
          <w:tcPr>
            <w:tcW w:w="1080" w:type="dxa"/>
          </w:tcPr>
          <w:p w:rsidR="00557A6F" w:rsidRDefault="00557A6F" w:rsidP="004769CB">
            <w:pPr>
              <w:jc w:val="right"/>
            </w:pPr>
            <w:r>
              <w:t>697 702</w:t>
            </w:r>
          </w:p>
        </w:tc>
      </w:tr>
    </w:tbl>
    <w:p w:rsidR="00557A6F" w:rsidRDefault="00557A6F" w:rsidP="00557A6F"/>
    <w:p w:rsidR="00557A6F" w:rsidRDefault="00557A6F" w:rsidP="00557A6F">
      <w:pPr>
        <w:pStyle w:val="vedlegg-nr"/>
      </w:pPr>
      <w:r>
        <w:lastRenderedPageBreak/>
        <w:t xml:space="preserve"> </w:t>
      </w:r>
    </w:p>
    <w:p w:rsidR="00557A6F" w:rsidRDefault="00557A6F" w:rsidP="00557A6F">
      <w:pPr>
        <w:pStyle w:val="vedlegg-tit"/>
      </w:pPr>
      <w:r>
        <w:t>Gjeldende romertallsvedtak fra tidligere år</w:t>
      </w:r>
    </w:p>
    <w:p w:rsidR="00557A6F" w:rsidRDefault="00557A6F" w:rsidP="00557A6F">
      <w:r>
        <w:t>Nedenfor følger en oppstilling av romertallsvedtak for Kommunal- og moderniseringsdeparteme</w:t>
      </w:r>
      <w:r>
        <w:t>n</w:t>
      </w:r>
      <w:r>
        <w:t xml:space="preserve">tet som gjelder uten tidsavgrensing eller utover ett budsjettår. </w:t>
      </w:r>
    </w:p>
    <w:p w:rsidR="00557A6F" w:rsidRDefault="00557A6F" w:rsidP="00557A6F">
      <w:r>
        <w:t xml:space="preserve">Romertallsvedtak IX under Kommunal- og moderniseringsdepartementet i Prop. 1 S Tillegg 1 (2013–2014) </w:t>
      </w:r>
      <w:r>
        <w:rPr>
          <w:rStyle w:val="kursiv"/>
          <w:sz w:val="21"/>
          <w:szCs w:val="21"/>
        </w:rPr>
        <w:t>En</w:t>
      </w:r>
      <w:r>
        <w:rPr>
          <w:rStyle w:val="kursiv"/>
          <w:sz w:val="21"/>
          <w:szCs w:val="21"/>
        </w:rPr>
        <w:t>d</w:t>
      </w:r>
      <w:r>
        <w:rPr>
          <w:rStyle w:val="kursiv"/>
          <w:sz w:val="21"/>
          <w:szCs w:val="21"/>
        </w:rPr>
        <w:t>ring av Prop. 1 S (2013–2014) Statsbudsjettet 2014:</w:t>
      </w:r>
    </w:p>
    <w:p w:rsidR="00557A6F" w:rsidRDefault="00557A6F" w:rsidP="00557A6F">
      <w:pPr>
        <w:pStyle w:val="blokksit"/>
      </w:pPr>
      <w:r>
        <w:t>«Kostnadsramme for prosjektet «Jordobservatorium i Ny-Ålesund». Stortinget samtykker i at Kommunal- og moderniseringsdepartementet kan gjennomføre prosjektet «Jordobservatorium i Ny-Ålesund» innenfor en kostnadsramme på 355 mill. kroner.»</w:t>
      </w:r>
    </w:p>
    <w:p w:rsidR="00557A6F" w:rsidRDefault="00557A6F" w:rsidP="00557A6F">
      <w:r>
        <w:t>Romertallsvedtak XV i Prop. 1 S (2014–2015) for Kommunal- og moderniseringsdepartementet:</w:t>
      </w:r>
    </w:p>
    <w:p w:rsidR="00557A6F" w:rsidRPr="00AF5F55" w:rsidRDefault="00557A6F" w:rsidP="00AF5F55">
      <w:pPr>
        <w:pStyle w:val="blokksit"/>
      </w:pPr>
      <w:r>
        <w:t>«Avskrivninger under Statsbygg. Stortinget samtykker i at Kommunal- og moderniseringsdepa</w:t>
      </w:r>
      <w:r>
        <w:t>r</w:t>
      </w:r>
      <w:r>
        <w:t>tementet fra 2015 kan gi Statsbygg fullmakt til å starte avskrivning av et anleggsmiddel fra det tidspunktet dette tas i bruk, og dermed avvike hovedregelen om at forvaltningsbedriftene starter avskri</w:t>
      </w:r>
      <w:r>
        <w:t>v</w:t>
      </w:r>
      <w:r>
        <w:t>ning av anleggsmidler året etter at de er tatt i bruk, jf. St.prp. nr. 48 (2004–2005) og Innst. S. nr. 187 (2004–20</w:t>
      </w:r>
      <w:r w:rsidR="00AF5F55">
        <w:t>05) Om bevilgningsreglementet.»</w:t>
      </w:r>
    </w:p>
    <w:sectPr w:rsidR="00557A6F" w:rsidRPr="00AF5F55">
      <w:headerReference w:type="even" r:id="rId9"/>
      <w:headerReference w:type="default" r:id="rId10"/>
      <w:footerReference w:type="even" r:id="rId11"/>
      <w:footerReference w:type="default" r:id="rId12"/>
      <w:headerReference w:type="first" r:id="rId13"/>
      <w:footerReference w:type="first" r:id="rId14"/>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F55" w:rsidRDefault="00AF5F55">
      <w:pPr>
        <w:spacing w:after="0"/>
      </w:pPr>
      <w:r>
        <w:separator/>
      </w:r>
    </w:p>
  </w:endnote>
  <w:endnote w:type="continuationSeparator" w:id="0">
    <w:p w:rsidR="00AF5F55" w:rsidRDefault="00AF5F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55" w:rsidRDefault="00AF5F55">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55" w:rsidRDefault="00AF5F55">
    <w:pPr>
      <w:pStyle w:val="Bunn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55" w:rsidRDefault="00AF5F55" w:rsidP="00557A6F">
    <w:pPr>
      <w:pStyle w:val="Bunntekst"/>
      <w:jc w:val="center"/>
    </w:pPr>
    <w:r>
      <w:t xml:space="preserve">Side </w:t>
    </w:r>
    <w:r>
      <w:fldChar w:fldCharType="begin"/>
    </w:r>
    <w:r>
      <w:instrText xml:space="preserve"> PAGE  </w:instrText>
    </w:r>
    <w:r>
      <w:fldChar w:fldCharType="separate"/>
    </w:r>
    <w:r w:rsidR="00A833AD">
      <w:rPr>
        <w:noProof/>
      </w:rPr>
      <w:t>1</w:t>
    </w:r>
    <w:r>
      <w:fldChar w:fldCharType="end"/>
    </w:r>
    <w:r>
      <w:t xml:space="preserve"> av </w:t>
    </w:r>
    <w:r>
      <w:fldChar w:fldCharType="begin"/>
    </w:r>
    <w:r>
      <w:instrText xml:space="preserve"> NUMPAGES  </w:instrText>
    </w:r>
    <w:r>
      <w:fldChar w:fldCharType="separate"/>
    </w:r>
    <w:r w:rsidR="00A833AD">
      <w:rPr>
        <w:noProof/>
      </w:rPr>
      <w:t>334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F55" w:rsidRDefault="00AF5F55">
      <w:pPr>
        <w:spacing w:after="0"/>
      </w:pPr>
      <w:r>
        <w:separator/>
      </w:r>
    </w:p>
  </w:footnote>
  <w:footnote w:type="continuationSeparator" w:id="0">
    <w:p w:rsidR="00AF5F55" w:rsidRDefault="00AF5F55">
      <w:pPr>
        <w:spacing w:after="0"/>
      </w:pPr>
      <w:r>
        <w:continuationSeparator/>
      </w:r>
    </w:p>
  </w:footnote>
  <w:footnote w:id="1">
    <w:p w:rsidR="00AF5F55" w:rsidRPr="00AF5F55" w:rsidRDefault="00AF5F55">
      <w:pPr>
        <w:pStyle w:val="Fotnotetekst"/>
        <w:rPr>
          <w:sz w:val="17"/>
          <w:szCs w:val="17"/>
        </w:rPr>
      </w:pPr>
      <w:r>
        <w:rPr>
          <w:vertAlign w:val="superscript"/>
        </w:rPr>
        <w:footnoteRef/>
      </w:r>
      <w:r>
        <w:rPr>
          <w:sz w:val="17"/>
          <w:szCs w:val="17"/>
        </w:rPr>
        <w:t>Gitt ved kgl.res. 7. august 1981, endret ved kgl. res. 10. november 1988 og 6. juli 1999.</w:t>
      </w:r>
    </w:p>
  </w:footnote>
  <w:footnote w:id="2">
    <w:p w:rsidR="00AF5F55" w:rsidRPr="00AF5F55" w:rsidRDefault="00AF5F55">
      <w:pPr>
        <w:pStyle w:val="Fotnotetekst"/>
        <w:rPr>
          <w:sz w:val="17"/>
          <w:szCs w:val="17"/>
        </w:rPr>
      </w:pPr>
      <w:r>
        <w:rPr>
          <w:vertAlign w:val="superscript"/>
        </w:rPr>
        <w:footnoteRef/>
      </w:r>
      <w:r>
        <w:rPr>
          <w:sz w:val="17"/>
          <w:szCs w:val="17"/>
        </w:rPr>
        <w:t xml:space="preserve">Den digitale borger. Kantar 2019. </w:t>
      </w:r>
    </w:p>
  </w:footnote>
  <w:footnote w:id="3">
    <w:p w:rsidR="00AF5F55" w:rsidRPr="00AF5F55" w:rsidRDefault="00AF5F55">
      <w:pPr>
        <w:pStyle w:val="Fotnotetekst"/>
        <w:rPr>
          <w:sz w:val="17"/>
          <w:szCs w:val="17"/>
        </w:rPr>
      </w:pPr>
      <w:r>
        <w:rPr>
          <w:vertAlign w:val="superscript"/>
        </w:rPr>
        <w:footnoteRef/>
      </w:r>
      <w:r>
        <w:rPr>
          <w:sz w:val="17"/>
          <w:szCs w:val="17"/>
        </w:rPr>
        <w:t>Regional Innovation Scoreboard 2019</w:t>
      </w:r>
    </w:p>
  </w:footnote>
  <w:footnote w:id="4">
    <w:p w:rsidR="00AF5F55" w:rsidRPr="00AF5F55" w:rsidRDefault="00AF5F55">
      <w:pPr>
        <w:pStyle w:val="Fotnotetekst"/>
        <w:rPr>
          <w:sz w:val="17"/>
          <w:szCs w:val="17"/>
        </w:rPr>
      </w:pPr>
      <w:r>
        <w:rPr>
          <w:vertAlign w:val="superscript"/>
        </w:rPr>
        <w:footnoteRef/>
      </w:r>
      <w:r>
        <w:rPr>
          <w:sz w:val="17"/>
          <w:szCs w:val="17"/>
        </w:rPr>
        <w:t>Regionale utviklingstrekk 2018 fra Kommunal- og moderniseringsdepartementet</w:t>
      </w:r>
    </w:p>
  </w:footnote>
  <w:footnote w:id="5">
    <w:p w:rsidR="00AF5F55" w:rsidRPr="00AF5F55" w:rsidRDefault="00AF5F55">
      <w:pPr>
        <w:pStyle w:val="Fotnotetekst"/>
        <w:rPr>
          <w:sz w:val="17"/>
          <w:szCs w:val="17"/>
        </w:rPr>
      </w:pPr>
      <w:r>
        <w:rPr>
          <w:vertAlign w:val="superscript"/>
        </w:rPr>
        <w:footnoteRef/>
      </w:r>
      <w:r>
        <w:rPr>
          <w:sz w:val="17"/>
          <w:szCs w:val="17"/>
        </w:rPr>
        <w:t>NOU 2018: 5 Kapital i omstillingens tid – Næringslivets tilgang til kapital</w:t>
      </w:r>
    </w:p>
  </w:footnote>
  <w:footnote w:id="6">
    <w:p w:rsidR="00AF5F55" w:rsidRPr="00AF5F55" w:rsidRDefault="00AF5F55">
      <w:pPr>
        <w:pStyle w:val="Fotnotetekst"/>
        <w:rPr>
          <w:sz w:val="17"/>
          <w:szCs w:val="17"/>
          <w:lang w:val="en-US"/>
        </w:rPr>
      </w:pPr>
      <w:r>
        <w:rPr>
          <w:vertAlign w:val="superscript"/>
        </w:rPr>
        <w:footnoteRef/>
      </w:r>
      <w:r>
        <w:rPr>
          <w:sz w:val="17"/>
          <w:szCs w:val="17"/>
        </w:rPr>
        <w:t xml:space="preserve">Grimsby, Grünfeld og Jakobsen (2009): 99 % SMB: Grunnfjell og vekstmotorer i norsk næringsliv. </w:t>
      </w:r>
      <w:proofErr w:type="gramStart"/>
      <w:r>
        <w:rPr>
          <w:sz w:val="17"/>
          <w:szCs w:val="17"/>
          <w:lang w:val="en-US"/>
        </w:rPr>
        <w:t>MENON publikasjon nr.</w:t>
      </w:r>
      <w:proofErr w:type="gramEnd"/>
      <w:r>
        <w:rPr>
          <w:sz w:val="17"/>
          <w:szCs w:val="17"/>
          <w:lang w:val="en-US"/>
        </w:rPr>
        <w:t xml:space="preserve"> 13/2009</w:t>
      </w:r>
    </w:p>
  </w:footnote>
  <w:footnote w:id="7">
    <w:p w:rsidR="00AF5F55" w:rsidRPr="00AF5F55" w:rsidRDefault="00AF5F55">
      <w:pPr>
        <w:pStyle w:val="Fotnotetekst"/>
        <w:rPr>
          <w:sz w:val="17"/>
          <w:szCs w:val="17"/>
          <w:lang w:val="en-US"/>
        </w:rPr>
      </w:pPr>
      <w:r>
        <w:rPr>
          <w:vertAlign w:val="superscript"/>
        </w:rPr>
        <w:footnoteRef/>
      </w:r>
      <w:r w:rsidRPr="00557A6F">
        <w:rPr>
          <w:sz w:val="17"/>
          <w:szCs w:val="17"/>
          <w:lang w:val="en-US"/>
        </w:rPr>
        <w:t>OECD, Growth pro</w:t>
      </w:r>
      <w:r>
        <w:rPr>
          <w:sz w:val="17"/>
          <w:szCs w:val="17"/>
          <w:lang w:val="en-US"/>
        </w:rPr>
        <w:t xml:space="preserve">ject (2001)  </w:t>
      </w:r>
    </w:p>
  </w:footnote>
  <w:footnote w:id="8">
    <w:p w:rsidR="00AF5F55" w:rsidRPr="00AF5F55" w:rsidRDefault="00AF5F55">
      <w:pPr>
        <w:pStyle w:val="Fotnotetekst"/>
        <w:rPr>
          <w:sz w:val="17"/>
          <w:szCs w:val="17"/>
        </w:rPr>
      </w:pPr>
      <w:r>
        <w:rPr>
          <w:vertAlign w:val="superscript"/>
        </w:rPr>
        <w:footnoteRef/>
      </w:r>
      <w:r w:rsidRPr="00557A6F">
        <w:rPr>
          <w:sz w:val="17"/>
          <w:szCs w:val="17"/>
          <w:lang w:val="en-US"/>
        </w:rPr>
        <w:t xml:space="preserve">P. Engesæter, S-E. </w:t>
      </w:r>
      <w:r>
        <w:rPr>
          <w:sz w:val="17"/>
          <w:szCs w:val="17"/>
        </w:rPr>
        <w:t>Jakobsen et.al, Midtveisevaluering av Sivas Inkubatorprogram og Næringshageprogram, SNF-rapport nr. 01/17, Sa</w:t>
      </w:r>
      <w:r>
        <w:rPr>
          <w:sz w:val="17"/>
          <w:szCs w:val="17"/>
        </w:rPr>
        <w:t>m</w:t>
      </w:r>
      <w:r>
        <w:rPr>
          <w:sz w:val="17"/>
          <w:szCs w:val="17"/>
        </w:rPr>
        <w:t>funns- og næringslivsforskning AS.</w:t>
      </w:r>
    </w:p>
  </w:footnote>
  <w:footnote w:id="9">
    <w:p w:rsidR="00AF5F55" w:rsidRPr="00AF5F55" w:rsidRDefault="00AF5F55">
      <w:pPr>
        <w:pStyle w:val="Fotnotetekst"/>
        <w:rPr>
          <w:sz w:val="17"/>
          <w:szCs w:val="17"/>
        </w:rPr>
      </w:pPr>
      <w:r>
        <w:rPr>
          <w:vertAlign w:val="superscript"/>
        </w:rPr>
        <w:footnoteRef/>
      </w:r>
      <w:r>
        <w:rPr>
          <w:sz w:val="17"/>
          <w:szCs w:val="17"/>
        </w:rPr>
        <w:t>Virkeområdet for distriktspolitisk begrunnet investeringsstøtte er fastsatt av departementet og godkjent av ESA i henhold til EUs retning</w:t>
      </w:r>
      <w:r>
        <w:rPr>
          <w:sz w:val="17"/>
          <w:szCs w:val="17"/>
        </w:rPr>
        <w:t>s</w:t>
      </w:r>
      <w:r>
        <w:rPr>
          <w:sz w:val="17"/>
          <w:szCs w:val="17"/>
        </w:rPr>
        <w:t>linjer om regionalstøtte.</w:t>
      </w:r>
    </w:p>
  </w:footnote>
  <w:footnote w:id="10">
    <w:p w:rsidR="00AF5F55" w:rsidRPr="00AF5F55" w:rsidRDefault="00AF5F55">
      <w:pPr>
        <w:pStyle w:val="Fotnotetekst"/>
        <w:rPr>
          <w:sz w:val="17"/>
          <w:szCs w:val="17"/>
        </w:rPr>
      </w:pPr>
      <w:r>
        <w:rPr>
          <w:vertAlign w:val="superscript"/>
        </w:rPr>
        <w:footnoteRef/>
      </w:r>
      <w:r>
        <w:rPr>
          <w:sz w:val="17"/>
          <w:szCs w:val="17"/>
        </w:rPr>
        <w:t>EUs forordning for europeisk territorielt samarbeid, Regulation (EU) No 1299/2013, EUs forordning om implementering av grensekry</w:t>
      </w:r>
      <w:r>
        <w:rPr>
          <w:sz w:val="17"/>
          <w:szCs w:val="17"/>
        </w:rPr>
        <w:t>s</w:t>
      </w:r>
      <w:r>
        <w:rPr>
          <w:sz w:val="17"/>
          <w:szCs w:val="17"/>
        </w:rPr>
        <w:t>sende programmer Regulation (EU) No 897/2014- (med henvisning til Regulation (EU) No 232/2014 – finansiering av ENI instrumentet)</w:t>
      </w:r>
    </w:p>
  </w:footnote>
  <w:footnote w:id="11">
    <w:p w:rsidR="00AF5F55" w:rsidRPr="00AF5F55" w:rsidRDefault="00AF5F55">
      <w:pPr>
        <w:pStyle w:val="Fotnotetekst"/>
        <w:rPr>
          <w:sz w:val="17"/>
          <w:szCs w:val="17"/>
        </w:rPr>
      </w:pPr>
      <w:r>
        <w:rPr>
          <w:vertAlign w:val="superscript"/>
        </w:rPr>
        <w:footnoteRef/>
      </w:r>
      <w:r>
        <w:rPr>
          <w:sz w:val="17"/>
          <w:szCs w:val="17"/>
        </w:rPr>
        <w:t>E. Fjærli, D. Iancu og A. Raknerud (2018), Effekten av Sivas virkemidler på vekst og verdiskaping, Rapporter 2018/17, Statistisk Sen</w:t>
      </w:r>
      <w:r>
        <w:rPr>
          <w:sz w:val="17"/>
          <w:szCs w:val="17"/>
        </w:rPr>
        <w:t>t</w:t>
      </w:r>
      <w:r>
        <w:rPr>
          <w:sz w:val="17"/>
          <w:szCs w:val="17"/>
        </w:rPr>
        <w:t>ralbyrå.</w:t>
      </w:r>
    </w:p>
  </w:footnote>
  <w:footnote w:id="12">
    <w:p w:rsidR="00AF5F55" w:rsidRPr="00AF5F55" w:rsidRDefault="00AF5F55">
      <w:pPr>
        <w:pStyle w:val="Fotnotetekst"/>
        <w:rPr>
          <w:sz w:val="17"/>
          <w:szCs w:val="17"/>
        </w:rPr>
      </w:pPr>
      <w:r>
        <w:rPr>
          <w:vertAlign w:val="superscript"/>
        </w:rPr>
        <w:footnoteRef/>
      </w:r>
      <w:r>
        <w:rPr>
          <w:sz w:val="17"/>
          <w:szCs w:val="17"/>
        </w:rPr>
        <w:t>P. Engesæter, S-E. Jakobsen et.al, Midtveisevaluering av Sivas Inkubatorprogram og Næringshageprogram, SNF-rapport nr. 01/17, Sa</w:t>
      </w:r>
      <w:r>
        <w:rPr>
          <w:sz w:val="17"/>
          <w:szCs w:val="17"/>
        </w:rPr>
        <w:t>m</w:t>
      </w:r>
      <w:r>
        <w:rPr>
          <w:sz w:val="17"/>
          <w:szCs w:val="17"/>
        </w:rPr>
        <w:t>funns- og næringslivsforskning AS.</w:t>
      </w:r>
    </w:p>
  </w:footnote>
  <w:footnote w:id="13">
    <w:p w:rsidR="00AF5F55" w:rsidRPr="00AF5F55" w:rsidRDefault="00AF5F55">
      <w:pPr>
        <w:pStyle w:val="Fotnotetekst"/>
        <w:rPr>
          <w:sz w:val="17"/>
          <w:szCs w:val="17"/>
        </w:rPr>
      </w:pPr>
      <w:r>
        <w:rPr>
          <w:vertAlign w:val="superscript"/>
        </w:rPr>
        <w:footnoteRef/>
      </w:r>
      <w:r>
        <w:rPr>
          <w:sz w:val="17"/>
          <w:szCs w:val="17"/>
        </w:rPr>
        <w:t>Analyser fra Institutt for bransjeanalyser (2017)</w:t>
      </w:r>
    </w:p>
  </w:footnote>
  <w:footnote w:id="14">
    <w:p w:rsidR="00AF5F55" w:rsidRPr="00AF5F55" w:rsidRDefault="00AF5F55">
      <w:pPr>
        <w:pStyle w:val="Fotnotetekst"/>
        <w:rPr>
          <w:sz w:val="17"/>
          <w:szCs w:val="17"/>
        </w:rPr>
      </w:pPr>
      <w:r>
        <w:rPr>
          <w:vertAlign w:val="superscript"/>
        </w:rPr>
        <w:footnoteRef/>
      </w:r>
      <w:r>
        <w:rPr>
          <w:sz w:val="17"/>
          <w:szCs w:val="17"/>
        </w:rPr>
        <w:t>Som bostedsløse regnes personer som ikke disponerer en egen bolig og er henvist til tilfeldige og midlertidige botilbud, personer som skal løslates fra institusjon eller kriminalomsorgen innen to måneder og er uten bolig, og personer som sover ute. Antall bostedsløse i Norge kartlegges hvert fjerde år. Nye målinger vil foreligge i 2020.</w:t>
      </w:r>
    </w:p>
  </w:footnote>
  <w:footnote w:id="15">
    <w:p w:rsidR="00AF5F55" w:rsidRPr="00AF5F55" w:rsidRDefault="00AF5F55">
      <w:pPr>
        <w:pStyle w:val="Fotnotetekst"/>
        <w:rPr>
          <w:sz w:val="17"/>
          <w:szCs w:val="17"/>
        </w:rPr>
      </w:pPr>
      <w:r>
        <w:rPr>
          <w:vertAlign w:val="superscript"/>
        </w:rPr>
        <w:footnoteRef/>
      </w:r>
      <w:r>
        <w:rPr>
          <w:sz w:val="17"/>
          <w:szCs w:val="17"/>
        </w:rPr>
        <w:t xml:space="preserve">Omsetningsutvikling i varehandel og tjenesteyting i et utvalg norske byer for perioden 2008–2017. Vista Analyse AS, rapport 2019/30 for Kommunal- og moderniseringsdepartementet. </w:t>
      </w:r>
    </w:p>
  </w:footnote>
  <w:footnote w:id="16">
    <w:p w:rsidR="00AF5F55" w:rsidRPr="00AF5F55" w:rsidRDefault="00AF5F55">
      <w:pPr>
        <w:pStyle w:val="Fotnotetekst"/>
        <w:rPr>
          <w:sz w:val="17"/>
          <w:szCs w:val="17"/>
        </w:rPr>
      </w:pPr>
      <w:r>
        <w:rPr>
          <w:vertAlign w:val="superscript"/>
        </w:rPr>
        <w:footnoteRef/>
      </w:r>
      <w:r>
        <w:rPr>
          <w:sz w:val="17"/>
          <w:szCs w:val="17"/>
        </w:rPr>
        <w:t>Riksrevisjonens undersøkelse av myndighetenes arbeid med å redusere planleggingstiden for store samferdselsprosjekter, D</w:t>
      </w:r>
      <w:r>
        <w:rPr>
          <w:sz w:val="17"/>
          <w:szCs w:val="17"/>
        </w:rPr>
        <w:t>o</w:t>
      </w:r>
      <w:r>
        <w:rPr>
          <w:sz w:val="17"/>
          <w:szCs w:val="17"/>
        </w:rPr>
        <w:t>kument 3:4 (2018–2019).</w:t>
      </w:r>
    </w:p>
  </w:footnote>
  <w:footnote w:id="17">
    <w:p w:rsidR="00AF5F55" w:rsidRPr="00AF5F55" w:rsidRDefault="00AF5F55">
      <w:pPr>
        <w:pStyle w:val="Fotnotetekst"/>
        <w:rPr>
          <w:sz w:val="17"/>
          <w:szCs w:val="17"/>
        </w:rPr>
      </w:pPr>
      <w:r>
        <w:rPr>
          <w:vertAlign w:val="superscript"/>
        </w:rPr>
        <w:footnoteRef/>
      </w:r>
      <w:r>
        <w:rPr>
          <w:sz w:val="17"/>
          <w:szCs w:val="17"/>
        </w:rPr>
        <w:t>Plan- og bygningsloven 2008, Universitetsforlaget 2018.</w:t>
      </w:r>
    </w:p>
  </w:footnote>
  <w:footnote w:id="18">
    <w:p w:rsidR="00AF5F55" w:rsidRPr="00AF5F55" w:rsidRDefault="00AF5F55">
      <w:pPr>
        <w:pStyle w:val="Fotnotetekst"/>
        <w:rPr>
          <w:sz w:val="17"/>
          <w:szCs w:val="17"/>
        </w:rPr>
      </w:pPr>
      <w:r>
        <w:rPr>
          <w:vertAlign w:val="superscript"/>
        </w:rPr>
        <w:footnoteRef/>
      </w:r>
      <w:r>
        <w:rPr>
          <w:sz w:val="17"/>
          <w:szCs w:val="17"/>
        </w:rPr>
        <w:t>Riksrevisjonens årlige revisjon og kontroll – budsjettåret 2017, Dokument 1 (2018–2019)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55" w:rsidRDefault="00AF5F55">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55" w:rsidRDefault="00AF5F55">
    <w:pPr>
      <w:pStyle w:val="Top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55" w:rsidRDefault="00AF5F55">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nsid w:val="04834802"/>
    <w:multiLevelType w:val="multilevel"/>
    <w:tmpl w:val="86DAF25C"/>
    <w:numStyleLink w:val="l-AlfaListeStil"/>
  </w:abstractNum>
  <w:abstractNum w:abstractNumId="3">
    <w:nsid w:val="0CF53A85"/>
    <w:multiLevelType w:val="singleLevel"/>
    <w:tmpl w:val="E53A92AE"/>
    <w:lvl w:ilvl="0">
      <w:start w:val="1"/>
      <w:numFmt w:val="bullet"/>
      <w:pStyle w:val="Punktmerketliste2"/>
      <w:lvlText w:val="*"/>
      <w:lvlJc w:val="left"/>
      <w:pPr>
        <w:tabs>
          <w:tab w:val="num" w:pos="800"/>
        </w:tabs>
        <w:ind w:left="800" w:hanging="400"/>
      </w:pPr>
    </w:lvl>
  </w:abstractNum>
  <w:abstractNum w:abstractNumId="4">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5">
    <w:nsid w:val="11FF2784"/>
    <w:multiLevelType w:val="multilevel"/>
    <w:tmpl w:val="E0965760"/>
    <w:styleLink w:val="OverskrifterListeStil"/>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6">
    <w:nsid w:val="1B9A1E94"/>
    <w:multiLevelType w:val="singleLevel"/>
    <w:tmpl w:val="A0D6DDB8"/>
    <w:lvl w:ilvl="0">
      <w:start w:val="1"/>
      <w:numFmt w:val="bullet"/>
      <w:pStyle w:val="Punktmerketliste3"/>
      <w:lvlText w:val="*"/>
      <w:lvlJc w:val="left"/>
      <w:pPr>
        <w:tabs>
          <w:tab w:val="num" w:pos="1200"/>
        </w:tabs>
        <w:ind w:left="1200" w:hanging="400"/>
      </w:pPr>
    </w:lvl>
  </w:abstractNum>
  <w:abstractNum w:abstractNumId="7">
    <w:nsid w:val="20AB6513"/>
    <w:multiLevelType w:val="singleLevel"/>
    <w:tmpl w:val="7E146D84"/>
    <w:lvl w:ilvl="0">
      <w:start w:val="1"/>
      <w:numFmt w:val="bullet"/>
      <w:pStyle w:val="Punktmerketliste4"/>
      <w:lvlText w:val="*"/>
      <w:lvlJc w:val="left"/>
      <w:pPr>
        <w:tabs>
          <w:tab w:val="num" w:pos="1600"/>
        </w:tabs>
        <w:ind w:left="1600" w:hanging="400"/>
      </w:pPr>
    </w:lvl>
  </w:abstractNum>
  <w:abstractNum w:abstractNumId="8">
    <w:nsid w:val="30487BC3"/>
    <w:multiLevelType w:val="singleLevel"/>
    <w:tmpl w:val="879A89E6"/>
    <w:lvl w:ilvl="0">
      <w:start w:val="1"/>
      <w:numFmt w:val="bullet"/>
      <w:pStyle w:val="Punktmerketliste"/>
      <w:lvlText w:val="*"/>
      <w:lvlJc w:val="left"/>
      <w:pPr>
        <w:tabs>
          <w:tab w:val="num" w:pos="400"/>
        </w:tabs>
        <w:ind w:left="400" w:hanging="400"/>
      </w:pPr>
    </w:lvl>
  </w:abstractNum>
  <w:abstractNum w:abstractNumId="9">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0">
    <w:nsid w:val="3D760B31"/>
    <w:multiLevelType w:val="singleLevel"/>
    <w:tmpl w:val="D3F87858"/>
    <w:lvl w:ilvl="0">
      <w:start w:val="1"/>
      <w:numFmt w:val="bullet"/>
      <w:pStyle w:val="Punktmerketliste5"/>
      <w:lvlText w:val="*"/>
      <w:lvlJc w:val="left"/>
      <w:pPr>
        <w:tabs>
          <w:tab w:val="num" w:pos="2000"/>
        </w:tabs>
        <w:ind w:left="2000" w:hanging="400"/>
      </w:pPr>
    </w:lvl>
  </w:abstractNum>
  <w:abstractNum w:abstractNumId="11">
    <w:nsid w:val="404D1609"/>
    <w:multiLevelType w:val="multilevel"/>
    <w:tmpl w:val="44BC5E9E"/>
    <w:lvl w:ilvl="0">
      <w:start w:val="1"/>
      <w:numFmt w:val="decimal"/>
      <w:lvlText w:val="%1"/>
      <w:lvlJc w:val="left"/>
      <w:pPr>
        <w:tabs>
          <w:tab w:val="num" w:pos="800"/>
        </w:tabs>
        <w:ind w:left="800" w:hanging="800"/>
      </w:pPr>
    </w:lvl>
    <w:lvl w:ilvl="1">
      <w:start w:val="1"/>
      <w:numFmt w:val="decimal"/>
      <w:lvlText w:val="%1.%2"/>
      <w:lvlJc w:val="left"/>
      <w:pPr>
        <w:tabs>
          <w:tab w:val="num" w:pos="800"/>
        </w:tabs>
        <w:ind w:left="800" w:hanging="800"/>
      </w:pPr>
    </w:lvl>
    <w:lvl w:ilvl="2">
      <w:start w:val="1"/>
      <w:numFmt w:val="decimal"/>
      <w:lvlText w:val="%1.%2.%3"/>
      <w:lvlJc w:val="left"/>
      <w:pPr>
        <w:tabs>
          <w:tab w:val="num" w:pos="800"/>
        </w:tabs>
        <w:ind w:left="800" w:hanging="800"/>
      </w:pPr>
    </w:lvl>
    <w:lvl w:ilvl="3">
      <w:start w:val="1"/>
      <w:numFmt w:val="decimal"/>
      <w:lvlText w:val="%1.%2.%3.%4"/>
      <w:lvlJc w:val="left"/>
      <w:pPr>
        <w:tabs>
          <w:tab w:val="num" w:pos="800"/>
        </w:tabs>
        <w:ind w:left="800" w:hanging="800"/>
      </w:pPr>
    </w:lvl>
    <w:lvl w:ilvl="4">
      <w:start w:val="1"/>
      <w:numFmt w:val="decimal"/>
      <w:lvlText w:val="%1.%2.%3.%4.%5"/>
      <w:lvlJc w:val="left"/>
      <w:pPr>
        <w:tabs>
          <w:tab w:val="num" w:pos="1200"/>
        </w:tabs>
        <w:ind w:left="1200" w:hanging="1200"/>
      </w:pPr>
    </w:lvl>
    <w:lvl w:ilvl="5">
      <w:start w:val="1"/>
      <w:numFmt w:val="lowerLetter"/>
      <w:pStyle w:val="Overskrift6"/>
      <w:lvlText w:val="%6)"/>
      <w:lvlJc w:val="left"/>
      <w:pPr>
        <w:tabs>
          <w:tab w:val="num" w:pos="1152"/>
        </w:tabs>
        <w:ind w:left="1152" w:hanging="432"/>
      </w:pPr>
    </w:lvl>
    <w:lvl w:ilvl="6">
      <w:start w:val="1"/>
      <w:numFmt w:val="lowerRoman"/>
      <w:pStyle w:val="Overskrift7"/>
      <w:lvlText w:val="%7)"/>
      <w:lvlJc w:val="right"/>
      <w:pPr>
        <w:tabs>
          <w:tab w:val="num" w:pos="1296"/>
        </w:tabs>
        <w:ind w:left="1296" w:hanging="288"/>
      </w:pPr>
    </w:lvl>
    <w:lvl w:ilvl="7">
      <w:start w:val="1"/>
      <w:numFmt w:val="lowerLetter"/>
      <w:pStyle w:val="Overskrift8"/>
      <w:lvlText w:val="%8."/>
      <w:lvlJc w:val="left"/>
      <w:pPr>
        <w:tabs>
          <w:tab w:val="num" w:pos="1440"/>
        </w:tabs>
        <w:ind w:left="1440" w:hanging="432"/>
      </w:pPr>
    </w:lvl>
    <w:lvl w:ilvl="8">
      <w:start w:val="1"/>
      <w:numFmt w:val="lowerRoman"/>
      <w:pStyle w:val="Overskrift9"/>
      <w:lvlText w:val="%9."/>
      <w:lvlJc w:val="right"/>
      <w:pPr>
        <w:tabs>
          <w:tab w:val="num" w:pos="1584"/>
        </w:tabs>
        <w:ind w:left="1584" w:hanging="144"/>
      </w:pPr>
    </w:lvl>
  </w:abstractNum>
  <w:abstractNum w:abstractNumId="12">
    <w:nsid w:val="410814BA"/>
    <w:multiLevelType w:val="multilevel"/>
    <w:tmpl w:val="D1A67C74"/>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3">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4">
    <w:nsid w:val="44F958B3"/>
    <w:multiLevelType w:val="multilevel"/>
    <w:tmpl w:val="F5D4913C"/>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5">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6">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nsid w:val="62A6542F"/>
    <w:multiLevelType w:val="multilevel"/>
    <w:tmpl w:val="F5D4913C"/>
    <w:numStyleLink w:val="RomListeStil"/>
  </w:abstractNum>
  <w:num w:numId="1">
    <w:abstractNumId w:val="11"/>
  </w:num>
  <w:num w:numId="2">
    <w:abstractNumId w:val="8"/>
  </w:num>
  <w:num w:numId="3">
    <w:abstractNumId w:val="3"/>
  </w:num>
  <w:num w:numId="4">
    <w:abstractNumId w:val="6"/>
  </w:num>
  <w:num w:numId="5">
    <w:abstractNumId w:val="7"/>
  </w:num>
  <w:num w:numId="6">
    <w:abstractNumId w:val="10"/>
  </w:num>
  <w:num w:numId="7">
    <w:abstractNumId w:val="16"/>
  </w:num>
  <w:num w:numId="8">
    <w:abstractNumId w:val="15"/>
  </w:num>
  <w:num w:numId="9">
    <w:abstractNumId w:val="13"/>
  </w:num>
  <w:num w:numId="10">
    <w:abstractNumId w:val="1"/>
  </w:num>
  <w:num w:numId="11">
    <w:abstractNumId w:val="9"/>
  </w:num>
  <w:num w:numId="12">
    <w:abstractNumId w:val="4"/>
  </w:num>
  <w:num w:numId="13">
    <w:abstractNumId w:val="5"/>
  </w:num>
  <w:num w:numId="14">
    <w:abstractNumId w:val="14"/>
  </w:num>
  <w:num w:numId="15">
    <w:abstractNumId w:val="17"/>
  </w:num>
  <w:num w:numId="16">
    <w:abstractNumId w:val="2"/>
  </w:num>
  <w:num w:numId="17">
    <w:abstractNumId w:val="18"/>
  </w:num>
  <w:num w:numId="18">
    <w:abstractNumId w:val="0"/>
  </w:num>
  <w:num w:numId="19">
    <w:abstractNumId w:val="12"/>
  </w:num>
  <w:num w:numId="20">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hideSpellingErrors/>
  <w:proofState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Fagproposisjon"/>
    <w:docVar w:name="PMPmalkonvensjon" w:val="FagPr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557A6F"/>
    <w:rsid w:val="002A3A77"/>
    <w:rsid w:val="004769CB"/>
    <w:rsid w:val="00557A6F"/>
    <w:rsid w:val="007F3140"/>
    <w:rsid w:val="009017E2"/>
    <w:rsid w:val="00A833AD"/>
    <w:rsid w:val="00AF5F55"/>
    <w:rsid w:val="00B970C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annotation text" w:uiPriority="0" w:unhideWhenUsed="1"/>
    <w:lsdException w:name="header" w:uiPriority="0"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0"/>
    <w:lsdException w:name="annotation reference" w:uiPriority="0" w:unhideWhenUsed="1"/>
    <w:lsdException w:name="line number" w:unhideWhenUsed="1"/>
    <w:lsdException w:name="page number"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lsdException w:name="List Bullet" w:uiPriority="0" w:unhideWhenUsed="1"/>
    <w:lsdException w:name="List Number" w:uiPriority="0"/>
    <w:lsdException w:name="List 2" w:uiPriority="0"/>
    <w:lsdException w:name="List 3" w:uiPriority="0"/>
    <w:lsdException w:name="List 4" w:uiPriority="0"/>
    <w:lsdException w:name="List 5" w:uiPriority="0"/>
    <w:lsdException w:name="List Bullet 2" w:uiPriority="0" w:unhideWhenUsed="1"/>
    <w:lsdException w:name="List Bullet 3" w:uiPriority="0" w:unhideWhenUsed="1"/>
    <w:lsdException w:name="List Bullet 4" w:uiPriority="0" w:unhideWhenUsed="1"/>
    <w:lsdException w:name="List Bullet 5" w:uiPriority="0" w:unhideWhenUsed="1"/>
    <w:lsdException w:name="List Number 2" w:uiPriority="0"/>
    <w:lsdException w:name="List Number 3" w:uiPriority="0"/>
    <w:lsdException w:name="List Number 4" w:uiPriority="0"/>
    <w:lsdException w:name="List Number 5" w:uiPriority="0"/>
    <w:lsdException w:name="Title" w:semiHidden="0" w:uiPriority="10" w:qFormat="1"/>
    <w:lsdException w:name="Closing" w:unhideWhenUsed="1"/>
    <w:lsdException w:name="Signature" w:unhideWhenUsed="1"/>
    <w:lsdException w:name="Default Paragraph Font" w:uiPriority="1"/>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iPriority="0"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557A6F"/>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557A6F"/>
    <w:pPr>
      <w:keepNext/>
      <w:numPr>
        <w:numId w:val="19"/>
      </w:numPr>
      <w:spacing w:before="360" w:after="80"/>
      <w:jc w:val="center"/>
      <w:outlineLvl w:val="0"/>
    </w:pPr>
    <w:rPr>
      <w:rFonts w:ascii="Arial" w:hAnsi="Arial"/>
      <w:b/>
      <w:kern w:val="28"/>
      <w:sz w:val="32"/>
    </w:rPr>
  </w:style>
  <w:style w:type="paragraph" w:styleId="Overskrift2">
    <w:name w:val="heading 2"/>
    <w:basedOn w:val="Normal"/>
    <w:next w:val="Normal"/>
    <w:link w:val="Overskrift2Tegn"/>
    <w:qFormat/>
    <w:rsid w:val="00557A6F"/>
    <w:pPr>
      <w:keepNext/>
      <w:numPr>
        <w:ilvl w:val="1"/>
        <w:numId w:val="19"/>
      </w:numPr>
      <w:spacing w:before="360" w:after="80"/>
      <w:outlineLvl w:val="1"/>
    </w:pPr>
    <w:rPr>
      <w:rFonts w:ascii="Arial" w:hAnsi="Arial"/>
      <w:b/>
      <w:sz w:val="26"/>
    </w:rPr>
  </w:style>
  <w:style w:type="paragraph" w:styleId="Overskrift3">
    <w:name w:val="heading 3"/>
    <w:basedOn w:val="Normal"/>
    <w:next w:val="Normal"/>
    <w:link w:val="Overskrift3Tegn"/>
    <w:qFormat/>
    <w:rsid w:val="00557A6F"/>
    <w:pPr>
      <w:keepNext/>
      <w:numPr>
        <w:ilvl w:val="2"/>
        <w:numId w:val="19"/>
      </w:numPr>
      <w:spacing w:before="200" w:after="80"/>
      <w:outlineLvl w:val="2"/>
    </w:pPr>
    <w:rPr>
      <w:rFonts w:ascii="Arial" w:hAnsi="Arial"/>
      <w:b/>
    </w:rPr>
  </w:style>
  <w:style w:type="paragraph" w:styleId="Overskrift4">
    <w:name w:val="heading 4"/>
    <w:basedOn w:val="Normal"/>
    <w:next w:val="Normal"/>
    <w:link w:val="Overskrift4Tegn"/>
    <w:qFormat/>
    <w:rsid w:val="00557A6F"/>
    <w:pPr>
      <w:keepNext/>
      <w:numPr>
        <w:ilvl w:val="3"/>
        <w:numId w:val="19"/>
      </w:numPr>
      <w:spacing w:before="120" w:after="80"/>
      <w:outlineLvl w:val="3"/>
    </w:pPr>
    <w:rPr>
      <w:rFonts w:ascii="Arial" w:hAnsi="Arial"/>
      <w:i/>
    </w:rPr>
  </w:style>
  <w:style w:type="paragraph" w:styleId="Overskrift5">
    <w:name w:val="heading 5"/>
    <w:basedOn w:val="Normal"/>
    <w:next w:val="Normal"/>
    <w:link w:val="Overskrift5Tegn"/>
    <w:qFormat/>
    <w:rsid w:val="00557A6F"/>
    <w:pPr>
      <w:keepNext/>
      <w:numPr>
        <w:ilvl w:val="4"/>
        <w:numId w:val="19"/>
      </w:numPr>
      <w:spacing w:before="120" w:after="0" w:line="276" w:lineRule="auto"/>
      <w:outlineLvl w:val="4"/>
    </w:pPr>
    <w:rPr>
      <w:rFonts w:ascii="Arial" w:eastAsia="Times New Roman" w:hAnsi="Arial"/>
      <w:i/>
      <w:szCs w:val="22"/>
    </w:rPr>
  </w:style>
  <w:style w:type="paragraph" w:styleId="Overskrift6">
    <w:name w:val="heading 6"/>
    <w:basedOn w:val="Normal"/>
    <w:next w:val="Normal"/>
    <w:link w:val="Overskrift6Tegn"/>
    <w:qFormat/>
    <w:rsid w:val="00557A6F"/>
    <w:pPr>
      <w:numPr>
        <w:ilvl w:val="5"/>
        <w:numId w:val="1"/>
      </w:numPr>
      <w:spacing w:before="240" w:after="60"/>
      <w:outlineLvl w:val="5"/>
    </w:pPr>
    <w:rPr>
      <w:i/>
      <w:sz w:val="22"/>
    </w:rPr>
  </w:style>
  <w:style w:type="paragraph" w:styleId="Overskrift7">
    <w:name w:val="heading 7"/>
    <w:basedOn w:val="Normal"/>
    <w:next w:val="Normal"/>
    <w:link w:val="Overskrift7Tegn"/>
    <w:qFormat/>
    <w:rsid w:val="00557A6F"/>
    <w:pPr>
      <w:numPr>
        <w:ilvl w:val="6"/>
        <w:numId w:val="1"/>
      </w:numPr>
      <w:spacing w:before="240" w:after="60"/>
      <w:outlineLvl w:val="6"/>
    </w:pPr>
    <w:rPr>
      <w:rFonts w:ascii="Arial" w:hAnsi="Arial"/>
      <w:sz w:val="20"/>
    </w:rPr>
  </w:style>
  <w:style w:type="paragraph" w:styleId="Overskrift8">
    <w:name w:val="heading 8"/>
    <w:basedOn w:val="Normal"/>
    <w:next w:val="Normal"/>
    <w:link w:val="Overskrift8Tegn"/>
    <w:qFormat/>
    <w:rsid w:val="00557A6F"/>
    <w:pPr>
      <w:numPr>
        <w:ilvl w:val="7"/>
        <w:numId w:val="1"/>
      </w:numPr>
      <w:spacing w:before="240" w:after="60"/>
      <w:outlineLvl w:val="7"/>
    </w:pPr>
    <w:rPr>
      <w:rFonts w:ascii="Arial" w:hAnsi="Arial"/>
      <w:i/>
      <w:sz w:val="20"/>
    </w:rPr>
  </w:style>
  <w:style w:type="paragraph" w:styleId="Overskrift9">
    <w:name w:val="heading 9"/>
    <w:basedOn w:val="Normal"/>
    <w:next w:val="Normal"/>
    <w:link w:val="Overskrift9Tegn"/>
    <w:qFormat/>
    <w:rsid w:val="00557A6F"/>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unhideWhenUsed/>
    <w:rsid w:val="00557A6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57A6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557A6F"/>
    <w:pPr>
      <w:keepNext/>
      <w:keepLines/>
      <w:spacing w:before="240" w:after="240" w:line="276" w:lineRule="auto"/>
    </w:pPr>
    <w:rPr>
      <w:rFonts w:ascii="Times New Roman" w:eastAsia="Times New Roman" w:hAnsi="Times New Roman"/>
      <w:spacing w:val="4"/>
      <w:szCs w:val="22"/>
    </w:rPr>
  </w:style>
  <w:style w:type="paragraph" w:customStyle="1" w:styleId="a-konge-tit">
    <w:name w:val="a-konge-tit"/>
    <w:basedOn w:val="Normal"/>
    <w:next w:val="Normal"/>
    <w:rsid w:val="00557A6F"/>
    <w:pPr>
      <w:keepNext/>
      <w:keepLines/>
      <w:spacing w:before="240" w:line="276" w:lineRule="auto"/>
      <w:jc w:val="center"/>
    </w:pPr>
    <w:rPr>
      <w:rFonts w:ascii="Times New Roman" w:eastAsia="Times New Roman" w:hAnsi="Times New Roman"/>
      <w:spacing w:val="30"/>
      <w:szCs w:val="22"/>
    </w:rPr>
  </w:style>
  <w:style w:type="paragraph" w:customStyle="1" w:styleId="a-tilraar-dep">
    <w:name w:val="a-tilraar-dep"/>
    <w:basedOn w:val="Normal"/>
    <w:next w:val="Normal"/>
    <w:rsid w:val="00557A6F"/>
    <w:pPr>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557A6F"/>
    <w:pPr>
      <w:spacing w:before="240" w:line="276" w:lineRule="auto"/>
      <w:jc w:val="center"/>
    </w:pPr>
    <w:rPr>
      <w:rFonts w:ascii="Times New Roman" w:eastAsia="Times New Roman" w:hAnsi="Times New Roman"/>
      <w:spacing w:val="30"/>
      <w:szCs w:val="22"/>
    </w:rPr>
  </w:style>
  <w:style w:type="paragraph" w:customStyle="1" w:styleId="a-tilraar-tit-2">
    <w:name w:val="a-tilraar-tit-2"/>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557A6F"/>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basedOn w:val="Normal"/>
    <w:next w:val="Normal"/>
    <w:rsid w:val="00557A6F"/>
    <w:pPr>
      <w:keepNext/>
      <w:spacing w:before="360" w:after="60"/>
      <w:jc w:val="center"/>
    </w:pPr>
    <w:rPr>
      <w:b/>
    </w:rPr>
  </w:style>
  <w:style w:type="paragraph" w:customStyle="1" w:styleId="a-vedtak-tekst">
    <w:name w:val="a-vedtak-tekst"/>
    <w:basedOn w:val="Normal"/>
    <w:next w:val="Normal"/>
    <w:rsid w:val="00557A6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basedOn w:val="a-vedtak-tit"/>
    <w:qFormat/>
    <w:rsid w:val="00557A6F"/>
    <w:pPr>
      <w:spacing w:before="120"/>
    </w:pPr>
    <w:rPr>
      <w:b w:val="0"/>
      <w:sz w:val="24"/>
    </w:rPr>
  </w:style>
  <w:style w:type="paragraph" w:customStyle="1" w:styleId="a-vedtakkap-tit">
    <w:name w:val="a-vedtakkap-tit"/>
    <w:basedOn w:val="a-vedtak-tit"/>
    <w:qFormat/>
    <w:rsid w:val="00557A6F"/>
    <w:pPr>
      <w:spacing w:before="120"/>
    </w:pPr>
    <w:rPr>
      <w:sz w:val="24"/>
    </w:rPr>
  </w:style>
  <w:style w:type="paragraph" w:customStyle="1" w:styleId="a-vedtak-tit">
    <w:name w:val="a-vedtak-tit"/>
    <w:basedOn w:val="Normal"/>
    <w:next w:val="Normal"/>
    <w:rsid w:val="00557A6F"/>
    <w:pPr>
      <w:keepNext/>
      <w:jc w:val="center"/>
    </w:pPr>
    <w:rPr>
      <w:rFonts w:ascii="Arial" w:hAnsi="Arial"/>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557A6F"/>
    <w:pPr>
      <w:tabs>
        <w:tab w:val="left" w:pos="284"/>
      </w:tabs>
      <w:spacing w:before="120"/>
      <w:contextualSpacing/>
    </w:pPr>
    <w:rPr>
      <w:sz w:val="20"/>
    </w:rPr>
  </w:style>
  <w:style w:type="paragraph" w:customStyle="1" w:styleId="tabell-tittel">
    <w:name w:val="tabell-tittel"/>
    <w:basedOn w:val="Normal"/>
    <w:next w:val="Normal"/>
    <w:rsid w:val="00557A6F"/>
    <w:pPr>
      <w:keepNext/>
      <w:keepLines/>
      <w:numPr>
        <w:ilvl w:val="6"/>
        <w:numId w:val="19"/>
      </w:numPr>
      <w:spacing w:before="240" w:line="276" w:lineRule="auto"/>
    </w:pPr>
    <w:rPr>
      <w:rFonts w:ascii="Arial" w:eastAsia="Times New Roman" w:hAnsi="Arial"/>
      <w:spacing w:val="4"/>
      <w:szCs w:val="22"/>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557A6F"/>
    <w:pPr>
      <w:numPr>
        <w:ilvl w:val="5"/>
        <w:numId w:val="19"/>
      </w:numPr>
      <w:spacing w:line="276" w:lineRule="auto"/>
    </w:pPr>
    <w:rPr>
      <w:rFonts w:ascii="Arial" w:eastAsia="Times New Roman" w:hAnsi="Arial"/>
      <w:spacing w:val="4"/>
      <w:szCs w:val="22"/>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557A6F"/>
    <w:pPr>
      <w:keepNext/>
      <w:spacing w:before="240" w:after="60"/>
    </w:pPr>
    <w:rPr>
      <w:rFonts w:ascii="Arial" w:hAnsi="Arial"/>
      <w:b/>
      <w:sz w:val="28"/>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557A6F"/>
    <w:pPr>
      <w:keepNext/>
      <w:keepLines/>
      <w:spacing w:before="360" w:line="276" w:lineRule="auto"/>
      <w:ind w:left="1021" w:hanging="1021"/>
    </w:pPr>
    <w:rPr>
      <w:rFonts w:ascii="Arial" w:eastAsia="Times New Roman" w:hAnsi="Arial"/>
      <w:b/>
      <w:szCs w:val="22"/>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557A6F"/>
    <w:pPr>
      <w:keepNext/>
      <w:spacing w:before="360" w:after="80"/>
      <w:jc w:val="center"/>
    </w:pPr>
    <w:rPr>
      <w:rFonts w:ascii="Arial" w:hAnsi="Arial"/>
      <w:b/>
      <w:sz w:val="3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557A6F"/>
    <w:pPr>
      <w:keepNext/>
      <w:spacing w:before="360" w:after="80"/>
      <w:jc w:val="center"/>
    </w:pPr>
    <w:rPr>
      <w:rFonts w:ascii="Arial" w:hAnsi="Arial"/>
      <w:b/>
      <w:sz w:val="3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basedOn w:val="Normal"/>
    <w:next w:val="Normal"/>
    <w:rsid w:val="00557A6F"/>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basedOn w:val="Normal"/>
    <w:next w:val="Normal"/>
    <w:rsid w:val="00557A6F"/>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hengende-innrykk"/>
    <w:rsid w:val="00557A6F"/>
    <w:pPr>
      <w:ind w:left="0" w:firstLine="0"/>
    </w:pPr>
  </w:style>
  <w:style w:type="paragraph" w:customStyle="1" w:styleId="del-nr">
    <w:name w:val="del-nr"/>
    <w:basedOn w:val="Normal"/>
    <w:qFormat/>
    <w:rsid w:val="00557A6F"/>
    <w:pPr>
      <w:keepNext/>
      <w:keepLines/>
      <w:spacing w:before="360" w:after="0"/>
      <w:jc w:val="center"/>
    </w:pPr>
    <w:rPr>
      <w:rFonts w:ascii="Times New Roman" w:hAnsi="Times New Roman"/>
      <w:i/>
      <w:sz w:val="48"/>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557A6F"/>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557A6F"/>
  </w:style>
  <w:style w:type="paragraph" w:customStyle="1" w:styleId="figur-noter">
    <w:name w:val="figur-noter"/>
    <w:basedOn w:val="Normal"/>
    <w:next w:val="Normal"/>
    <w:rsid w:val="00557A6F"/>
    <w:pPr>
      <w:tabs>
        <w:tab w:val="left" w:pos="284"/>
      </w:tabs>
      <w:spacing w:before="120"/>
      <w:contextualSpacing/>
    </w:pPr>
    <w:rPr>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557A6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basedOn w:val="Normal"/>
    <w:next w:val="Normal"/>
    <w:rsid w:val="00557A6F"/>
    <w:pPr>
      <w:keepNext/>
      <w:spacing w:before="360" w:after="60"/>
      <w:jc w:val="center"/>
    </w:pPr>
    <w:rPr>
      <w:b/>
    </w:rPr>
  </w:style>
  <w:style w:type="paragraph" w:styleId="Fotnotetekst">
    <w:name w:val="footnote text"/>
    <w:basedOn w:val="Normal"/>
    <w:link w:val="FotnotetekstTegn"/>
    <w:rsid w:val="00557A6F"/>
    <w:rPr>
      <w:sz w:val="20"/>
    </w:rPr>
  </w:style>
  <w:style w:type="character" w:customStyle="1" w:styleId="FotnotetekstTegn">
    <w:name w:val="Fotnotetekst Tegn"/>
    <w:link w:val="Fotnotetekst"/>
    <w:rsid w:val="00557A6F"/>
    <w:rPr>
      <w:rFonts w:ascii="Times" w:eastAsia="Batang" w:hAnsi="Times" w:cs="Times New Roman"/>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basedOn w:val="Normal"/>
    <w:next w:val="Normal"/>
    <w:rsid w:val="00557A6F"/>
    <w:pPr>
      <w:keepNext/>
      <w:spacing w:before="60" w:after="60"/>
      <w:jc w:val="center"/>
    </w:pPr>
    <w:rPr>
      <w:i/>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557A6F"/>
    <w:pPr>
      <w:ind w:left="709" w:hanging="709"/>
    </w:pPr>
  </w:style>
  <w:style w:type="paragraph" w:customStyle="1" w:styleId="i-budkap-over">
    <w:name w:val="i-budkap-over"/>
    <w:basedOn w:val="Normal"/>
    <w:next w:val="Normal"/>
    <w:rsid w:val="00557A6F"/>
    <w:pPr>
      <w:jc w:val="right"/>
    </w:pPr>
    <w:rPr>
      <w:b/>
    </w:rPr>
  </w:style>
  <w:style w:type="paragraph" w:customStyle="1" w:styleId="i-dep">
    <w:name w:val="i-dep"/>
    <w:basedOn w:val="Normal"/>
    <w:next w:val="Normal"/>
    <w:rsid w:val="00557A6F"/>
    <w:pPr>
      <w:jc w:val="right"/>
    </w:pPr>
    <w:rPr>
      <w:b/>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557A6F"/>
    <w:pPr>
      <w:spacing w:before="120"/>
      <w:jc w:val="center"/>
    </w:pPr>
    <w:rPr>
      <w:b/>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557A6F"/>
    <w:pPr>
      <w:ind w:left="1985" w:hanging="1985"/>
    </w:pPr>
  </w:style>
  <w:style w:type="paragraph" w:customStyle="1" w:styleId="i-statsrdato">
    <w:name w:val="i-statsr.dato"/>
    <w:basedOn w:val="Normal"/>
    <w:next w:val="Normal"/>
    <w:rsid w:val="00557A6F"/>
    <w:pPr>
      <w:spacing w:after="0"/>
      <w:jc w:val="center"/>
    </w:pPr>
    <w:rPr>
      <w:i/>
    </w:rPr>
  </w:style>
  <w:style w:type="paragraph" w:customStyle="1" w:styleId="i-termin">
    <w:name w:val="i-termin"/>
    <w:basedOn w:val="Normal"/>
    <w:next w:val="Normal"/>
    <w:rsid w:val="00557A6F"/>
    <w:pPr>
      <w:spacing w:before="360"/>
      <w:jc w:val="center"/>
    </w:pPr>
    <w:rPr>
      <w:b/>
      <w:sz w:val="28"/>
    </w:rPr>
  </w:style>
  <w:style w:type="paragraph" w:customStyle="1" w:styleId="i-tit">
    <w:name w:val="i-tit"/>
    <w:basedOn w:val="Normal"/>
    <w:next w:val="i-statsrdato"/>
    <w:rsid w:val="00557A6F"/>
    <w:pPr>
      <w:spacing w:before="360" w:after="240"/>
      <w:jc w:val="center"/>
    </w:pPr>
    <w:rPr>
      <w:b/>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rsid w:val="00557A6F"/>
  </w:style>
  <w:style w:type="paragraph" w:customStyle="1" w:styleId="Kilde">
    <w:name w:val="Kilde"/>
    <w:basedOn w:val="Normal"/>
    <w:next w:val="Normal"/>
    <w:rsid w:val="00557A6F"/>
    <w:pPr>
      <w:spacing w:after="240"/>
    </w:pPr>
    <w:rPr>
      <w:sz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basedOn w:val="Normal"/>
    <w:rsid w:val="00557A6F"/>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557A6F"/>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557A6F"/>
    <w:pPr>
      <w:spacing w:before="120" w:after="60" w:line="276" w:lineRule="auto"/>
    </w:pPr>
    <w:rPr>
      <w:rFonts w:ascii="Times New Roman" w:eastAsia="Times New Roman" w:hAnsi="Times New Roman"/>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557A6F"/>
    <w:pPr>
      <w:spacing w:before="240" w:after="40" w:line="276" w:lineRule="auto"/>
    </w:pPr>
    <w:rPr>
      <w:rFonts w:ascii="Times New Roman" w:eastAsia="Times New Roman" w:hAnsi="Times New Roman"/>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557A6F"/>
    <w:pPr>
      <w:spacing w:before="120" w:after="60" w:line="276" w:lineRule="auto"/>
    </w:pPr>
    <w:rPr>
      <w:rFonts w:ascii="Times New Roman" w:eastAsia="Times New Roman" w:hAnsi="Times New Roman"/>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557A6F"/>
    <w:pPr>
      <w:spacing w:after="0" w:line="276" w:lineRule="auto"/>
    </w:pPr>
    <w:rPr>
      <w:rFonts w:ascii="Times New Roman" w:eastAsia="Times New Roman" w:hAnsi="Times New Roman"/>
      <w:spacing w:val="4"/>
      <w:szCs w:val="22"/>
    </w:rPr>
  </w:style>
  <w:style w:type="paragraph" w:customStyle="1" w:styleId="l-tit-endr-avsnitt">
    <w:name w:val="l-tit-endr-avsnitt"/>
    <w:basedOn w:val="l-tit-endr-lovkap"/>
    <w:qFormat/>
    <w:rsid w:val="00557A6F"/>
  </w:style>
  <w:style w:type="paragraph" w:customStyle="1" w:styleId="l-tit-endr-ledd">
    <w:name w:val="l-tit-endr-ledd"/>
    <w:basedOn w:val="Normal"/>
    <w:qFormat/>
    <w:rsid w:val="00557A6F"/>
    <w:pPr>
      <w:keepNext/>
      <w:spacing w:before="240" w:after="0"/>
    </w:pPr>
    <w:rPr>
      <w:rFonts w:eastAsia="Times New Roman"/>
      <w:noProof/>
      <w:spacing w:val="4"/>
      <w:szCs w:val="22"/>
      <w:lang w:val="nn-NO"/>
    </w:rPr>
  </w:style>
  <w:style w:type="paragraph" w:customStyle="1" w:styleId="l-tit-endr-lov">
    <w:name w:val="l-tit-endr-lov"/>
    <w:basedOn w:val="Normal"/>
    <w:qFormat/>
    <w:rsid w:val="00557A6F"/>
    <w:pPr>
      <w:keepNext/>
      <w:spacing w:before="240" w:after="0"/>
    </w:pPr>
    <w:rPr>
      <w:rFonts w:eastAsia="Times New Roman"/>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557A6F"/>
    <w:pPr>
      <w:keepNext/>
      <w:spacing w:before="240" w:after="0"/>
    </w:pPr>
    <w:rPr>
      <w:rFonts w:eastAsia="Times New Roman"/>
      <w:noProof/>
      <w:spacing w:val="4"/>
      <w:szCs w:val="22"/>
      <w:lang w:val="nn-NO"/>
    </w:rPr>
  </w:style>
  <w:style w:type="paragraph" w:customStyle="1" w:styleId="l-tit-endr-lovkap">
    <w:name w:val="l-tit-endr-lovkap"/>
    <w:basedOn w:val="Normal"/>
    <w:qFormat/>
    <w:rsid w:val="00557A6F"/>
    <w:pPr>
      <w:keepNext/>
      <w:spacing w:before="240" w:after="0"/>
    </w:pPr>
    <w:rPr>
      <w:rFonts w:eastAsia="Times New Roman"/>
      <w:noProof/>
      <w:spacing w:val="4"/>
      <w:szCs w:val="22"/>
      <w:lang w:val="nn-NO"/>
    </w:rPr>
  </w:style>
  <w:style w:type="paragraph" w:customStyle="1" w:styleId="l-tit-endr-punktum">
    <w:name w:val="l-tit-endr-punktum"/>
    <w:basedOn w:val="l-tit-endr-ledd"/>
    <w:qFormat/>
    <w:rsid w:val="00557A6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557A6F"/>
    <w:pPr>
      <w:spacing w:before="60" w:after="0" w:line="276" w:lineRule="auto"/>
      <w:ind w:left="397"/>
    </w:pPr>
    <w:rPr>
      <w:rFonts w:ascii="Times New Roman" w:eastAsia="Times New Roman" w:hAnsi="Times New Roman"/>
      <w:szCs w:val="22"/>
    </w:rPr>
  </w:style>
  <w:style w:type="paragraph" w:customStyle="1" w:styleId="Listeavsnitt2">
    <w:name w:val="Listeavsnitt 2"/>
    <w:basedOn w:val="Normal"/>
    <w:qFormat/>
    <w:rsid w:val="00557A6F"/>
    <w:pPr>
      <w:spacing w:before="60" w:after="0" w:line="276" w:lineRule="auto"/>
      <w:ind w:left="794"/>
    </w:pPr>
    <w:rPr>
      <w:rFonts w:ascii="Times New Roman" w:eastAsia="Times New Roman" w:hAnsi="Times New Roman"/>
      <w:szCs w:val="22"/>
    </w:rPr>
  </w:style>
  <w:style w:type="paragraph" w:customStyle="1" w:styleId="Listeavsnitt3">
    <w:name w:val="Listeavsnitt 3"/>
    <w:basedOn w:val="Normal"/>
    <w:qFormat/>
    <w:rsid w:val="00557A6F"/>
    <w:pPr>
      <w:spacing w:before="60" w:after="0" w:line="276" w:lineRule="auto"/>
      <w:ind w:left="1191"/>
    </w:pPr>
    <w:rPr>
      <w:rFonts w:ascii="Times New Roman" w:eastAsia="Times New Roman" w:hAnsi="Times New Roman"/>
      <w:szCs w:val="22"/>
    </w:rPr>
  </w:style>
  <w:style w:type="paragraph" w:customStyle="1" w:styleId="Listeavsnitt4">
    <w:name w:val="Listeavsnitt 4"/>
    <w:basedOn w:val="Normal"/>
    <w:qFormat/>
    <w:rsid w:val="00557A6F"/>
    <w:pPr>
      <w:spacing w:before="60" w:after="0" w:line="276" w:lineRule="auto"/>
      <w:ind w:left="1588"/>
    </w:pPr>
    <w:rPr>
      <w:rFonts w:ascii="Times New Roman" w:eastAsia="Times New Roman" w:hAnsi="Times New Roman"/>
      <w:szCs w:val="22"/>
    </w:rPr>
  </w:style>
  <w:style w:type="paragraph" w:customStyle="1" w:styleId="Listeavsnitt5">
    <w:name w:val="Listeavsnitt 5"/>
    <w:basedOn w:val="Normal"/>
    <w:qFormat/>
    <w:rsid w:val="00557A6F"/>
    <w:pPr>
      <w:spacing w:before="60" w:after="0" w:line="276" w:lineRule="auto"/>
      <w:ind w:left="1985"/>
    </w:pPr>
    <w:rPr>
      <w:rFonts w:ascii="Times New Roman" w:eastAsia="Times New Roman" w:hAnsi="Times New Roman"/>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uiPriority w:val="99"/>
    <w:pPr>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557A6F"/>
    <w:pPr>
      <w:keepNext/>
      <w:keepLines/>
      <w:spacing w:before="360" w:after="60" w:line="276" w:lineRule="auto"/>
    </w:pPr>
    <w:rPr>
      <w:rFonts w:ascii="Arial" w:eastAsia="Times New Roman" w:hAnsi="Arial"/>
      <w:spacing w:val="4"/>
      <w:sz w:val="26"/>
      <w:szCs w:val="22"/>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557A6F"/>
    <w:rPr>
      <w:rFonts w:ascii="Arial" w:eastAsia="Batang" w:hAnsi="Arial" w:cs="Times New Roman"/>
      <w:b/>
      <w:kern w:val="28"/>
      <w:sz w:val="32"/>
      <w:szCs w:val="2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557A6F"/>
    <w:pPr>
      <w:keepNext/>
      <w:keepLines/>
      <w:spacing w:before="360" w:line="276" w:lineRule="auto"/>
    </w:pPr>
    <w:rPr>
      <w:rFonts w:ascii="Arial" w:eastAsia="Times New Roman" w:hAnsi="Arial"/>
      <w:b/>
      <w:spacing w:val="4"/>
      <w:sz w:val="28"/>
      <w:szCs w:val="22"/>
    </w:rPr>
  </w:style>
  <w:style w:type="character" w:customStyle="1" w:styleId="UndertittelTegn">
    <w:name w:val="Undertittel Tegn"/>
    <w:link w:val="Undertittel"/>
    <w:rsid w:val="00557A6F"/>
    <w:rPr>
      <w:rFonts w:ascii="Arial" w:eastAsia="Times New Roman" w:hAnsi="Arial" w:cs="Times New Roman"/>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uiPriority w:val="99"/>
    <w:pPr>
      <w:autoSpaceDE w:val="0"/>
      <w:autoSpaceDN w:val="0"/>
      <w:adjustRightInd w:val="0"/>
      <w:spacing w:before="240" w:after="240" w:line="200" w:lineRule="atLeast"/>
      <w:ind w:firstLine="320"/>
      <w:jc w:val="both"/>
    </w:pPr>
    <w:rPr>
      <w:rFonts w:ascii="UniCentury Old Style" w:hAnsi="UniCentury Old Style" w:cs="UniCentury Old Style"/>
      <w:color w:val="000000"/>
      <w:w w:val="0"/>
      <w:sz w:val="16"/>
      <w:szCs w:val="16"/>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557A6F"/>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557A6F"/>
    <w:pPr>
      <w:tabs>
        <w:tab w:val="left" w:pos="284"/>
      </w:tabs>
      <w:spacing w:before="120"/>
      <w:contextualSpacing/>
    </w:pPr>
    <w:rPr>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557A6F"/>
    <w:pPr>
      <w:keepNext/>
    </w:pPr>
    <w:rPr>
      <w:vanish/>
      <w:color w:val="00800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557A6F"/>
    <w:pPr>
      <w:ind w:left="0" w:firstLine="0"/>
    </w:p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557A6F"/>
    <w:pPr>
      <w:keepNext/>
      <w:keepLines/>
      <w:spacing w:line="276" w:lineRule="auto"/>
      <w:jc w:val="center"/>
    </w:pPr>
    <w:rPr>
      <w:rFonts w:ascii="Arial" w:eastAsia="Times New Roman" w:hAnsi="Arial"/>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557A6F"/>
    <w:pPr>
      <w:keepNext/>
      <w:keepLines/>
      <w:spacing w:before="360" w:after="240" w:line="276" w:lineRule="auto"/>
      <w:jc w:val="center"/>
    </w:pPr>
    <w:rPr>
      <w:rFonts w:ascii="Arial" w:eastAsia="Times New Roman" w:hAnsi="Arial"/>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557A6F"/>
    <w:pPr>
      <w:keepNext/>
      <w:keepLines/>
      <w:spacing w:before="360" w:after="240" w:line="276" w:lineRule="auto"/>
      <w:jc w:val="center"/>
    </w:pPr>
    <w:rPr>
      <w:rFonts w:ascii="Arial" w:eastAsia="Times New Roman" w:hAnsi="Arial"/>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557A6F"/>
    <w:rPr>
      <w:b w:val="0"/>
      <w:i/>
    </w:rPr>
  </w:style>
  <w:style w:type="paragraph" w:customStyle="1" w:styleId="Undervedl-tittel">
    <w:name w:val="Undervedl-tittel"/>
    <w:basedOn w:val="Normal"/>
    <w:next w:val="Normal"/>
    <w:rsid w:val="00557A6F"/>
    <w:pPr>
      <w:keepNext/>
      <w:spacing w:before="360" w:after="240"/>
    </w:pPr>
    <w:rPr>
      <w:rFonts w:ascii="Arial" w:hAnsi="Arial"/>
      <w:b/>
      <w:sz w:val="28"/>
    </w:rPr>
  </w:style>
  <w:style w:type="paragraph" w:customStyle="1" w:styleId="v-Overskrift1">
    <w:name w:val="v-Overskrift 1"/>
    <w:basedOn w:val="Overskrift1"/>
    <w:next w:val="Normal"/>
    <w:rsid w:val="00557A6F"/>
    <w:pPr>
      <w:keepLines/>
      <w:numPr>
        <w:numId w:val="0"/>
      </w:numPr>
      <w:spacing w:line="276" w:lineRule="auto"/>
      <w:jc w:val="left"/>
      <w:outlineLvl w:val="9"/>
    </w:pPr>
    <w:rPr>
      <w:rFonts w:eastAsia="Times New Roman"/>
      <w:szCs w:val="22"/>
    </w:rPr>
  </w:style>
  <w:style w:type="paragraph" w:customStyle="1" w:styleId="v-Overskrift2">
    <w:name w:val="v-Overskrift 2"/>
    <w:basedOn w:val="Overskrift2"/>
    <w:next w:val="Normal"/>
    <w:rsid w:val="00557A6F"/>
    <w:pPr>
      <w:keepLines/>
      <w:numPr>
        <w:ilvl w:val="0"/>
        <w:numId w:val="0"/>
      </w:numPr>
      <w:spacing w:line="276" w:lineRule="auto"/>
      <w:outlineLvl w:val="9"/>
    </w:pPr>
    <w:rPr>
      <w:rFonts w:eastAsia="Times New Roman"/>
      <w:spacing w:val="4"/>
      <w:sz w:val="28"/>
      <w:szCs w:val="22"/>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557A6F"/>
    <w:pPr>
      <w:keepLines/>
      <w:numPr>
        <w:ilvl w:val="0"/>
        <w:numId w:val="0"/>
      </w:numPr>
      <w:spacing w:before="360" w:line="276" w:lineRule="auto"/>
      <w:outlineLvl w:val="9"/>
    </w:pPr>
    <w:rPr>
      <w:rFonts w:eastAsia="Times New Roman"/>
      <w:szCs w:val="22"/>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557A6F"/>
    <w:pPr>
      <w:keepNext/>
      <w:keepLines/>
      <w:numPr>
        <w:numId w:val="18"/>
      </w:numPr>
      <w:spacing w:line="276" w:lineRule="auto"/>
    </w:pPr>
    <w:rPr>
      <w:rFonts w:ascii="Arial" w:eastAsia="Times New Roman" w:hAnsi="Arial"/>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557A6F"/>
    <w:pPr>
      <w:keepNext/>
      <w:keepLines/>
      <w:spacing w:before="360" w:after="80" w:line="276" w:lineRule="auto"/>
      <w:jc w:val="center"/>
    </w:pPr>
    <w:rPr>
      <w:rFonts w:ascii="Arial" w:eastAsia="Times New Roman" w:hAnsi="Arial"/>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i-sesjon"/>
    <w:qFormat/>
    <w:rsid w:val="00557A6F"/>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557A6F"/>
    <w:pPr>
      <w:spacing w:before="720"/>
      <w:jc w:val="center"/>
    </w:pPr>
    <w:rPr>
      <w:b/>
      <w:sz w:val="56"/>
    </w:rPr>
  </w:style>
  <w:style w:type="paragraph" w:customStyle="1" w:styleId="i-sesjon">
    <w:name w:val="i-sesjon"/>
    <w:basedOn w:val="Normal"/>
    <w:next w:val="Normal"/>
    <w:rsid w:val="00557A6F"/>
    <w:pPr>
      <w:jc w:val="center"/>
    </w:pPr>
    <w:rPr>
      <w:b/>
      <w:sz w:val="28"/>
    </w:rPr>
  </w:style>
  <w:style w:type="paragraph" w:customStyle="1" w:styleId="i-mtit">
    <w:name w:val="i-mtit"/>
    <w:basedOn w:val="Normal"/>
    <w:next w:val="Normal"/>
    <w:rsid w:val="00557A6F"/>
    <w:pPr>
      <w:keepNext/>
      <w:keepLines/>
      <w:spacing w:before="360" w:line="276" w:lineRule="auto"/>
      <w:jc w:val="center"/>
    </w:pPr>
    <w:rPr>
      <w:rFonts w:eastAsia="Times New Roman"/>
      <w:b/>
      <w:noProof/>
      <w:spacing w:val="4"/>
      <w:szCs w:val="22"/>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557A6F"/>
    <w:rPr>
      <w:rFonts w:ascii="Arial" w:eastAsia="Batang" w:hAnsi="Arial" w:cs="Times New Roman"/>
      <w:b/>
      <w:sz w:val="26"/>
      <w:szCs w:val="20"/>
    </w:rPr>
  </w:style>
  <w:style w:type="character" w:customStyle="1" w:styleId="Overskrift3Tegn">
    <w:name w:val="Overskrift 3 Tegn"/>
    <w:link w:val="Overskrift3"/>
    <w:rsid w:val="00557A6F"/>
    <w:rPr>
      <w:rFonts w:ascii="Arial" w:eastAsia="Batang" w:hAnsi="Arial" w:cs="Times New Roman"/>
      <w:b/>
      <w:sz w:val="24"/>
      <w:szCs w:val="20"/>
    </w:rPr>
  </w:style>
  <w:style w:type="character" w:customStyle="1" w:styleId="Overskrift4Tegn">
    <w:name w:val="Overskrift 4 Tegn"/>
    <w:link w:val="Overskrift4"/>
    <w:rsid w:val="00557A6F"/>
    <w:rPr>
      <w:rFonts w:ascii="Arial" w:eastAsia="Batang" w:hAnsi="Arial" w:cs="Times New Roman"/>
      <w:i/>
      <w:sz w:val="24"/>
      <w:szCs w:val="20"/>
    </w:rPr>
  </w:style>
  <w:style w:type="character" w:customStyle="1" w:styleId="Overskrift5Tegn">
    <w:name w:val="Overskrift 5 Tegn"/>
    <w:link w:val="Overskrift5"/>
    <w:rsid w:val="00557A6F"/>
    <w:rPr>
      <w:rFonts w:ascii="Arial" w:eastAsia="Times New Roman" w:hAnsi="Arial" w:cs="Times New Roman"/>
      <w:i/>
      <w:sz w:val="24"/>
    </w:rPr>
  </w:style>
  <w:style w:type="paragraph" w:styleId="Liste">
    <w:name w:val="List"/>
    <w:basedOn w:val="Normal"/>
    <w:rsid w:val="00557A6F"/>
    <w:pPr>
      <w:numPr>
        <w:numId w:val="15"/>
      </w:numPr>
      <w:contextualSpacing/>
    </w:pPr>
    <w:rPr>
      <w:rFonts w:ascii="Times New Roman" w:eastAsia="Times New Roman" w:hAnsi="Times New Roman"/>
      <w:spacing w:val="4"/>
      <w:szCs w:val="22"/>
    </w:rPr>
  </w:style>
  <w:style w:type="paragraph" w:styleId="Liste2">
    <w:name w:val="List 2"/>
    <w:basedOn w:val="Normal"/>
    <w:rsid w:val="00557A6F"/>
    <w:pPr>
      <w:numPr>
        <w:ilvl w:val="1"/>
        <w:numId w:val="15"/>
      </w:numPr>
      <w:spacing w:after="0" w:line="276" w:lineRule="auto"/>
    </w:pPr>
    <w:rPr>
      <w:rFonts w:ascii="Times New Roman" w:eastAsia="Times New Roman" w:hAnsi="Times New Roman"/>
      <w:spacing w:val="4"/>
      <w:szCs w:val="22"/>
    </w:rPr>
  </w:style>
  <w:style w:type="paragraph" w:styleId="Liste3">
    <w:name w:val="List 3"/>
    <w:basedOn w:val="Normal"/>
    <w:rsid w:val="00557A6F"/>
    <w:pPr>
      <w:numPr>
        <w:ilvl w:val="2"/>
        <w:numId w:val="15"/>
      </w:numPr>
      <w:spacing w:after="0" w:line="276" w:lineRule="auto"/>
    </w:pPr>
    <w:rPr>
      <w:rFonts w:ascii="Times New Roman" w:eastAsia="Times New Roman" w:hAnsi="Times New Roman"/>
      <w:szCs w:val="22"/>
    </w:rPr>
  </w:style>
  <w:style w:type="paragraph" w:styleId="Liste4">
    <w:name w:val="List 4"/>
    <w:basedOn w:val="Normal"/>
    <w:rsid w:val="00557A6F"/>
    <w:pPr>
      <w:numPr>
        <w:ilvl w:val="3"/>
        <w:numId w:val="15"/>
      </w:numPr>
      <w:spacing w:after="0" w:line="276" w:lineRule="auto"/>
    </w:pPr>
    <w:rPr>
      <w:rFonts w:ascii="Times New Roman" w:eastAsia="Times New Roman" w:hAnsi="Times New Roman"/>
      <w:szCs w:val="22"/>
    </w:rPr>
  </w:style>
  <w:style w:type="paragraph" w:styleId="Liste5">
    <w:name w:val="List 5"/>
    <w:basedOn w:val="Normal"/>
    <w:rsid w:val="00557A6F"/>
    <w:pPr>
      <w:numPr>
        <w:ilvl w:val="4"/>
        <w:numId w:val="15"/>
      </w:numPr>
      <w:spacing w:after="0" w:line="276" w:lineRule="auto"/>
    </w:pPr>
    <w:rPr>
      <w:rFonts w:ascii="Times New Roman" w:eastAsia="Times New Roman" w:hAnsi="Times New Roman"/>
      <w:szCs w:val="22"/>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557A6F"/>
    <w:pPr>
      <w:numPr>
        <w:numId w:val="11"/>
      </w:numPr>
      <w:spacing w:after="0" w:line="276" w:lineRule="auto"/>
    </w:p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557A6F"/>
    <w:pPr>
      <w:numPr>
        <w:ilvl w:val="1"/>
        <w:numId w:val="11"/>
      </w:numPr>
      <w:spacing w:after="0"/>
    </w:p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557A6F"/>
    <w:pPr>
      <w:numPr>
        <w:ilvl w:val="2"/>
        <w:numId w:val="11"/>
      </w:numPr>
      <w:spacing w:after="0"/>
    </w:p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557A6F"/>
    <w:pPr>
      <w:numPr>
        <w:ilvl w:val="3"/>
        <w:numId w:val="11"/>
      </w:numPr>
      <w:spacing w:after="0"/>
    </w:p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557A6F"/>
    <w:pPr>
      <w:numPr>
        <w:ilvl w:val="4"/>
        <w:numId w:val="11"/>
      </w:numPr>
      <w:spacing w:after="0"/>
    </w:pPr>
  </w:style>
  <w:style w:type="paragraph" w:customStyle="1" w:styleId="Listebombe">
    <w:name w:val="Liste bomb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istebombe2">
    <w:name w:val="Liste bombe 2"/>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istebombe3">
    <w:name w:val="Liste bombe 3"/>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istebombe4">
    <w:name w:val="Liste bombe 4"/>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istebombe5">
    <w:name w:val="Liste bombe 5"/>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557A6F"/>
    <w:pPr>
      <w:numPr>
        <w:numId w:val="7"/>
      </w:numPr>
      <w:spacing w:after="0" w:line="276" w:lineRule="auto"/>
    </w:pPr>
    <w:rPr>
      <w:rFonts w:ascii="Times New Roman" w:eastAsia="Times New Roman" w:hAnsi="Times New Roman"/>
      <w:spacing w:val="4"/>
      <w:szCs w:val="22"/>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557A6F"/>
    <w:pPr>
      <w:numPr>
        <w:ilvl w:val="1"/>
        <w:numId w:val="7"/>
      </w:numPr>
      <w:spacing w:after="0"/>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557A6F"/>
    <w:pPr>
      <w:numPr>
        <w:ilvl w:val="2"/>
        <w:numId w:val="7"/>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557A6F"/>
    <w:pPr>
      <w:numPr>
        <w:ilvl w:val="3"/>
        <w:numId w:val="7"/>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557A6F"/>
    <w:pPr>
      <w:numPr>
        <w:ilvl w:val="4"/>
        <w:numId w:val="7"/>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557A6F"/>
    <w:pPr>
      <w:numPr>
        <w:numId w:val="17"/>
      </w:numPr>
      <w:spacing w:after="0"/>
    </w:p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557A6F"/>
    <w:pPr>
      <w:numPr>
        <w:ilvl w:val="1"/>
        <w:numId w:val="17"/>
      </w:numPr>
      <w:spacing w:after="0"/>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557A6F"/>
    <w:pPr>
      <w:numPr>
        <w:ilvl w:val="2"/>
        <w:numId w:val="17"/>
      </w:numPr>
      <w:spacing w:after="0"/>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557A6F"/>
    <w:pPr>
      <w:numPr>
        <w:ilvl w:val="3"/>
        <w:numId w:val="17"/>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557A6F"/>
    <w:pPr>
      <w:numPr>
        <w:ilvl w:val="4"/>
        <w:numId w:val="17"/>
      </w:numPr>
      <w:spacing w:after="0" w:line="276" w:lineRule="auto"/>
    </w:pPr>
    <w:rPr>
      <w:rFonts w:ascii="Times New Roman" w:eastAsia="Times New Roman" w:hAnsi="Times New Roman"/>
      <w:spacing w:val="4"/>
      <w:szCs w:val="22"/>
    </w:rPr>
  </w:style>
  <w:style w:type="paragraph" w:customStyle="1" w:styleId="opplisting">
    <w:name w:val="opplisting"/>
    <w:basedOn w:val="Normal"/>
    <w:rsid w:val="00557A6F"/>
    <w:pPr>
      <w:spacing w:after="0" w:line="276" w:lineRule="auto"/>
    </w:pPr>
    <w:rPr>
      <w:rFonts w:eastAsia="Times New Roman"/>
      <w:szCs w:val="22"/>
    </w:rPr>
  </w:style>
  <w:style w:type="paragraph" w:customStyle="1" w:styleId="opplisting2">
    <w:name w:val="opplisting 2"/>
    <w:basedOn w:val="Normal"/>
    <w:qFormat/>
    <w:rsid w:val="00557A6F"/>
    <w:pPr>
      <w:spacing w:after="0" w:line="276" w:lineRule="auto"/>
      <w:ind w:left="397"/>
    </w:pPr>
    <w:rPr>
      <w:rFonts w:ascii="Times New Roman" w:eastAsia="Times New Roman" w:hAnsi="Times New Roman"/>
      <w:szCs w:val="22"/>
      <w:lang w:val="en-US"/>
    </w:rPr>
  </w:style>
  <w:style w:type="paragraph" w:customStyle="1" w:styleId="opplisting3">
    <w:name w:val="opplisting 3"/>
    <w:basedOn w:val="Normal"/>
    <w:qFormat/>
    <w:rsid w:val="00557A6F"/>
    <w:pPr>
      <w:spacing w:after="0" w:line="276" w:lineRule="auto"/>
      <w:ind w:left="794"/>
    </w:pPr>
    <w:rPr>
      <w:rFonts w:ascii="Times New Roman" w:eastAsia="Times New Roman" w:hAnsi="Times New Roman"/>
      <w:szCs w:val="22"/>
    </w:rPr>
  </w:style>
  <w:style w:type="paragraph" w:customStyle="1" w:styleId="opplisting4">
    <w:name w:val="opplisting 4"/>
    <w:basedOn w:val="Normal"/>
    <w:qFormat/>
    <w:rsid w:val="00557A6F"/>
    <w:pPr>
      <w:spacing w:after="0" w:line="276" w:lineRule="auto"/>
      <w:ind w:left="1191"/>
    </w:pPr>
    <w:rPr>
      <w:rFonts w:ascii="Times New Roman" w:eastAsia="Times New Roman" w:hAnsi="Times New Roman"/>
      <w:szCs w:val="22"/>
    </w:rPr>
  </w:style>
  <w:style w:type="paragraph" w:customStyle="1" w:styleId="opplisting5">
    <w:name w:val="opplisting 5"/>
    <w:basedOn w:val="Normal"/>
    <w:qFormat/>
    <w:rsid w:val="00557A6F"/>
    <w:pPr>
      <w:spacing w:after="0" w:line="276" w:lineRule="auto"/>
      <w:ind w:left="1588"/>
    </w:pPr>
    <w:rPr>
      <w:rFonts w:ascii="Times New Roman" w:eastAsia="Times New Roman" w:hAnsi="Times New Roman"/>
      <w:szCs w:val="22"/>
    </w:rPr>
  </w:style>
  <w:style w:type="paragraph" w:customStyle="1" w:styleId="friliste">
    <w:name w:val="friliste"/>
    <w:basedOn w:val="Normal"/>
    <w:qFormat/>
    <w:rsid w:val="00557A6F"/>
    <w:pPr>
      <w:tabs>
        <w:tab w:val="left" w:pos="397"/>
      </w:tabs>
      <w:spacing w:after="0" w:line="276" w:lineRule="auto"/>
      <w:ind w:left="397" w:hanging="397"/>
    </w:pPr>
    <w:rPr>
      <w:rFonts w:ascii="Times New Roman" w:eastAsia="Times New Roman" w:hAnsi="Times New Roman"/>
      <w:szCs w:val="22"/>
    </w:rPr>
  </w:style>
  <w:style w:type="paragraph" w:customStyle="1" w:styleId="friliste2">
    <w:name w:val="friliste 2"/>
    <w:basedOn w:val="Normal"/>
    <w:qFormat/>
    <w:rsid w:val="00557A6F"/>
    <w:pPr>
      <w:tabs>
        <w:tab w:val="left" w:pos="794"/>
      </w:tabs>
      <w:spacing w:after="0" w:line="276" w:lineRule="auto"/>
      <w:ind w:left="794" w:hanging="397"/>
    </w:pPr>
    <w:rPr>
      <w:rFonts w:ascii="Times New Roman" w:eastAsia="Times New Roman" w:hAnsi="Times New Roman"/>
      <w:szCs w:val="22"/>
    </w:rPr>
  </w:style>
  <w:style w:type="paragraph" w:customStyle="1" w:styleId="friliste3">
    <w:name w:val="friliste 3"/>
    <w:basedOn w:val="Normal"/>
    <w:qFormat/>
    <w:rsid w:val="00557A6F"/>
    <w:pPr>
      <w:tabs>
        <w:tab w:val="left" w:pos="1191"/>
      </w:tabs>
      <w:spacing w:after="0" w:line="276" w:lineRule="auto"/>
      <w:ind w:left="1191" w:hanging="397"/>
    </w:pPr>
    <w:rPr>
      <w:rFonts w:ascii="Times New Roman" w:eastAsia="Times New Roman" w:hAnsi="Times New Roman"/>
      <w:szCs w:val="22"/>
    </w:rPr>
  </w:style>
  <w:style w:type="paragraph" w:customStyle="1" w:styleId="friliste4">
    <w:name w:val="friliste 4"/>
    <w:basedOn w:val="Normal"/>
    <w:qFormat/>
    <w:rsid w:val="00557A6F"/>
    <w:pPr>
      <w:tabs>
        <w:tab w:val="left" w:pos="1588"/>
      </w:tabs>
      <w:spacing w:after="0" w:line="276" w:lineRule="auto"/>
      <w:ind w:left="1588" w:hanging="397"/>
    </w:pPr>
    <w:rPr>
      <w:rFonts w:ascii="Times New Roman" w:eastAsia="Times New Roman" w:hAnsi="Times New Roman"/>
      <w:szCs w:val="22"/>
    </w:rPr>
  </w:style>
  <w:style w:type="paragraph" w:customStyle="1" w:styleId="friliste5">
    <w:name w:val="friliste 5"/>
    <w:basedOn w:val="Normal"/>
    <w:qFormat/>
    <w:rsid w:val="00557A6F"/>
    <w:pPr>
      <w:tabs>
        <w:tab w:val="left" w:pos="1985"/>
      </w:tabs>
      <w:spacing w:after="0" w:line="276" w:lineRule="auto"/>
      <w:ind w:left="1985" w:hanging="397"/>
    </w:pPr>
    <w:rPr>
      <w:rFonts w:ascii="Times New Roman" w:eastAsia="Times New Roman" w:hAnsi="Times New Roman"/>
      <w:szCs w:val="22"/>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557A6F"/>
    <w:pPr>
      <w:numPr>
        <w:numId w:val="16"/>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557A6F"/>
    <w:pPr>
      <w:numPr>
        <w:numId w:val="16"/>
      </w:numPr>
      <w:spacing w:line="276" w:lineRule="auto"/>
    </w:pPr>
    <w:rPr>
      <w:rFonts w:ascii="Times New Roman" w:eastAsia="Times New Roman" w:hAnsi="Times New Roman"/>
      <w:spacing w:val="4"/>
      <w:szCs w:val="22"/>
    </w:rPr>
  </w:style>
  <w:style w:type="paragraph" w:customStyle="1" w:styleId="avsnitt-undertittel">
    <w:name w:val="avsnitt-undertittel"/>
    <w:basedOn w:val="Normal"/>
    <w:next w:val="Normal"/>
    <w:rsid w:val="00557A6F"/>
    <w:pPr>
      <w:keepNext/>
      <w:keepLines/>
      <w:spacing w:before="360" w:after="60"/>
    </w:pPr>
    <w:rPr>
      <w:rFonts w:ascii="Arial" w:hAnsi="Arial"/>
      <w: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557A6F"/>
    <w:pPr>
      <w:numPr>
        <w:numId w:val="16"/>
      </w:numPr>
      <w:spacing w:line="276" w:lineRule="auto"/>
    </w:pPr>
    <w:rPr>
      <w:rFonts w:ascii="Times New Roman" w:eastAsia="Times New Roman" w:hAnsi="Times New Roman"/>
      <w:szCs w:val="22"/>
    </w:r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557A6F"/>
    <w:pPr>
      <w:numPr>
        <w:numId w:val="16"/>
      </w:numPr>
      <w:spacing w:line="276" w:lineRule="auto"/>
    </w:pPr>
    <w:rPr>
      <w:rFonts w:ascii="Times New Roman" w:eastAsia="Times New Roman" w:hAnsi="Times New Roman"/>
      <w:szCs w:val="22"/>
    </w:r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557A6F"/>
    <w:pPr>
      <w:numPr>
        <w:numId w:val="16"/>
      </w:numPr>
      <w:spacing w:line="276" w:lineRule="auto"/>
    </w:pPr>
    <w:rPr>
      <w:rFonts w:ascii="Times New Roman" w:eastAsia="Times New Roman" w:hAnsi="Times New Roman"/>
      <w:szCs w:val="22"/>
    </w:rPr>
  </w:style>
  <w:style w:type="paragraph" w:customStyle="1" w:styleId="avsnitt-under-undertittel">
    <w:name w:val="avsnitt-under-undertittel"/>
    <w:basedOn w:val="Normal"/>
    <w:next w:val="Normal"/>
    <w:rsid w:val="00557A6F"/>
    <w:pPr>
      <w:keepNext/>
      <w:keepLines/>
      <w:spacing w:before="360"/>
    </w:pPr>
    <w:rPr>
      <w:rFonts w:ascii="Times New Roman" w:hAnsi="Times New Roman"/>
      <w:i/>
    </w:rPr>
  </w:style>
  <w:style w:type="paragraph" w:customStyle="1" w:styleId="blokksit">
    <w:name w:val="blokksit"/>
    <w:basedOn w:val="Normal"/>
    <w:qFormat/>
    <w:rsid w:val="00557A6F"/>
    <w:pPr>
      <w:ind w:left="397"/>
    </w:pPr>
    <w:rPr>
      <w:rFonts w:eastAsia="Times New Roman"/>
      <w:spacing w:val="-2"/>
      <w:szCs w:val="2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557A6F"/>
    <w:pPr>
      <w:spacing w:before="180" w:after="0" w:line="276" w:lineRule="auto"/>
    </w:pPr>
    <w:rPr>
      <w:rFonts w:eastAsia="Times New Roman"/>
      <w:i/>
      <w:spacing w:val="4"/>
      <w:szCs w:val="22"/>
    </w:rPr>
  </w:style>
  <w:style w:type="paragraph" w:customStyle="1" w:styleId="l-ledd">
    <w:name w:val="l-ledd"/>
    <w:basedOn w:val="Normal"/>
    <w:qFormat/>
    <w:rsid w:val="00557A6F"/>
    <w:pPr>
      <w:spacing w:after="0" w:line="276" w:lineRule="auto"/>
      <w:ind w:firstLine="397"/>
    </w:pPr>
    <w:rPr>
      <w:rFonts w:eastAsia="Times New Roman"/>
      <w:spacing w:val="4"/>
      <w:szCs w:val="22"/>
    </w:rPr>
  </w:style>
  <w:style w:type="paragraph" w:customStyle="1" w:styleId="l-tit-endr-paragraf">
    <w:name w:val="l-tit-endr-paragraf"/>
    <w:basedOn w:val="Normal"/>
    <w:qFormat/>
    <w:rsid w:val="00557A6F"/>
    <w:pPr>
      <w:keepNext/>
      <w:spacing w:before="240" w:after="0"/>
    </w:pPr>
    <w:rPr>
      <w:rFonts w:eastAsia="Times New Roman"/>
      <w:noProof/>
      <w:spacing w:val="4"/>
      <w:szCs w:val="22"/>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557A6F"/>
    <w:pPr>
      <w:keepNext/>
      <w:keepLines/>
      <w:numPr>
        <w:ilvl w:val="7"/>
        <w:numId w:val="19"/>
      </w:numPr>
      <w:spacing w:before="360" w:after="80" w:line="276" w:lineRule="auto"/>
      <w:jc w:val="center"/>
    </w:pPr>
    <w:rPr>
      <w:rFonts w:ascii="Arial" w:eastAsia="Times New Roman" w:hAnsi="Arial"/>
      <w:b/>
      <w:spacing w:val="4"/>
      <w:szCs w:val="22"/>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557A6F"/>
    <w:rPr>
      <w:rFonts w:ascii="Times" w:eastAsia="Batang" w:hAnsi="Times" w:cs="Times New Roman"/>
      <w:spacing w:val="4"/>
      <w:sz w:val="20"/>
      <w:szCs w:val="20"/>
    </w:rPr>
  </w:style>
  <w:style w:type="character" w:customStyle="1" w:styleId="DatoTegn">
    <w:name w:val="Dato Tegn"/>
    <w:link w:val="Dato0"/>
    <w:rsid w:val="00557A6F"/>
    <w:rPr>
      <w:rFonts w:ascii="Times" w:eastAsia="Batang" w:hAnsi="Times" w:cs="Times New Roman"/>
      <w:sz w:val="24"/>
      <w:szCs w:val="20"/>
    </w:rPr>
  </w:style>
  <w:style w:type="character" w:styleId="Fotnotereferanse">
    <w:name w:val="footnote reference"/>
    <w:rsid w:val="00557A6F"/>
    <w:rPr>
      <w:vertAlign w:val="superscript"/>
    </w:rPr>
  </w:style>
  <w:style w:type="character" w:customStyle="1" w:styleId="gjennomstreket">
    <w:name w:val="gjennomstreket"/>
    <w:uiPriority w:val="99"/>
    <w:rPr>
      <w:strike/>
      <w:u w:val="none"/>
      <w:vertAlign w:val="baseline"/>
      <w:lang w:val="nb-NO"/>
    </w:rPr>
  </w:style>
  <w:style w:type="character" w:customStyle="1" w:styleId="halvfet0">
    <w:name w:val="halvfet"/>
    <w:rsid w:val="00557A6F"/>
    <w:rPr>
      <w:b/>
    </w:rPr>
  </w:style>
  <w:style w:type="character" w:styleId="Hyperkobling">
    <w:name w:val="Hyperlink"/>
    <w:uiPriority w:val="99"/>
    <w:unhideWhenUsed/>
    <w:rsid w:val="00557A6F"/>
    <w:rPr>
      <w:color w:val="0000FF"/>
      <w:u w:val="single"/>
    </w:rPr>
  </w:style>
  <w:style w:type="character" w:customStyle="1" w:styleId="kursiv">
    <w:name w:val="kursiv"/>
    <w:rsid w:val="00557A6F"/>
    <w:rPr>
      <w:i/>
    </w:rPr>
  </w:style>
  <w:style w:type="character" w:customStyle="1" w:styleId="l-endring">
    <w:name w:val="l-endring"/>
    <w:rsid w:val="00557A6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557A6F"/>
  </w:style>
  <w:style w:type="character" w:styleId="Plassholdertekst">
    <w:name w:val="Placeholder Text"/>
    <w:uiPriority w:val="99"/>
    <w:rsid w:val="00557A6F"/>
    <w:rPr>
      <w:color w:val="808080"/>
    </w:rPr>
  </w:style>
  <w:style w:type="character" w:customStyle="1" w:styleId="regular">
    <w:name w:val="regular"/>
    <w:uiPriority w:val="1"/>
    <w:qFormat/>
    <w:rsid w:val="00557A6F"/>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557A6F"/>
    <w:rPr>
      <w:vertAlign w:val="superscript"/>
    </w:rPr>
  </w:style>
  <w:style w:type="character" w:customStyle="1" w:styleId="skrift-senket">
    <w:name w:val="skrift-senket"/>
    <w:rsid w:val="00557A6F"/>
    <w:rPr>
      <w:vertAlign w:val="subscript"/>
    </w:rPr>
  </w:style>
  <w:style w:type="character" w:customStyle="1" w:styleId="SluttnotetekstTegn">
    <w:name w:val="Sluttnotetekst Tegn"/>
    <w:link w:val="Sluttnotetekst"/>
    <w:uiPriority w:val="99"/>
    <w:semiHidden/>
    <w:rsid w:val="00557A6F"/>
    <w:rPr>
      <w:rFonts w:ascii="Times" w:eastAsia="Batang" w:hAnsi="Times" w:cs="Times New Roman"/>
      <w:sz w:val="20"/>
      <w:szCs w:val="20"/>
    </w:rPr>
  </w:style>
  <w:style w:type="character" w:customStyle="1" w:styleId="sperret0">
    <w:name w:val="sperret"/>
    <w:rsid w:val="00557A6F"/>
    <w:rPr>
      <w:spacing w:val="30"/>
    </w:rPr>
  </w:style>
  <w:style w:type="character" w:customStyle="1" w:styleId="SterktsitatTegn">
    <w:name w:val="Sterkt sitat Tegn"/>
    <w:link w:val="Sterktsitat"/>
    <w:uiPriority w:val="30"/>
    <w:rsid w:val="00557A6F"/>
    <w:rPr>
      <w:rFonts w:ascii="Times" w:eastAsia="Batang" w:hAnsi="Times" w:cs="Times New Roman"/>
      <w:b/>
      <w:bCs/>
      <w:i/>
      <w:iCs/>
      <w:color w:val="4F81BD"/>
      <w:sz w:val="24"/>
      <w:szCs w:val="20"/>
    </w:rPr>
  </w:style>
  <w:style w:type="character" w:customStyle="1" w:styleId="Stikkord">
    <w:name w:val="Stikkord"/>
    <w:rsid w:val="00557A6F"/>
    <w:rPr>
      <w:color w:val="0000FF"/>
    </w:rPr>
  </w:style>
  <w:style w:type="character" w:customStyle="1" w:styleId="stikkord0">
    <w:name w:val="stikkord"/>
    <w:uiPriority w:val="99"/>
  </w:style>
  <w:style w:type="character" w:styleId="Sterk">
    <w:name w:val="Strong"/>
    <w:uiPriority w:val="22"/>
    <w:qFormat/>
    <w:rsid w:val="00557A6F"/>
    <w:rPr>
      <w:b/>
      <w:bCs/>
    </w:rPr>
  </w:style>
  <w:style w:type="character" w:customStyle="1" w:styleId="TopptekstTegn">
    <w:name w:val="Topptekst Tegn"/>
    <w:link w:val="Topptekst"/>
    <w:rsid w:val="00557A6F"/>
    <w:rPr>
      <w:rFonts w:ascii="Times" w:eastAsia="Batang" w:hAnsi="Times" w:cs="Times New Roman"/>
      <w:sz w:val="20"/>
      <w:szCs w:val="20"/>
    </w:rPr>
  </w:style>
  <w:style w:type="character" w:customStyle="1" w:styleId="UnderskriftTegn">
    <w:name w:val="Underskrift Tegn"/>
    <w:link w:val="Underskrift"/>
    <w:uiPriority w:val="99"/>
    <w:semiHidden/>
    <w:rsid w:val="00557A6F"/>
    <w:rPr>
      <w:rFonts w:ascii="Times" w:eastAsia="Batang" w:hAnsi="Times" w:cs="Times New Roman"/>
      <w:sz w:val="24"/>
      <w:szCs w:val="20"/>
    </w:rPr>
  </w:style>
  <w:style w:type="paragraph" w:styleId="Topptekst">
    <w:name w:val="header"/>
    <w:basedOn w:val="Normal"/>
    <w:link w:val="TopptekstTegn"/>
    <w:rsid w:val="00557A6F"/>
    <w:pPr>
      <w:tabs>
        <w:tab w:val="center" w:pos="4536"/>
        <w:tab w:val="right" w:pos="9072"/>
      </w:tabs>
    </w:pPr>
    <w:rPr>
      <w:sz w:val="20"/>
    </w:rPr>
  </w:style>
  <w:style w:type="character" w:customStyle="1" w:styleId="TopptekstTegn1">
    <w:name w:val="Topptekst Tegn1"/>
    <w:basedOn w:val="Standardskriftforavsnitt"/>
    <w:uiPriority w:val="99"/>
    <w:semiHidden/>
    <w:rsid w:val="00557A6F"/>
    <w:rPr>
      <w:rFonts w:ascii="UniCentury Old Style" w:hAnsi="UniCentury Old Style" w:cs="UniCentury Old Style"/>
      <w:color w:val="000000"/>
      <w:w w:val="0"/>
      <w:sz w:val="20"/>
      <w:szCs w:val="20"/>
    </w:rPr>
  </w:style>
  <w:style w:type="paragraph" w:styleId="Bunntekst">
    <w:name w:val="footer"/>
    <w:basedOn w:val="Normal"/>
    <w:link w:val="BunntekstTegn"/>
    <w:rsid w:val="00557A6F"/>
    <w:pPr>
      <w:tabs>
        <w:tab w:val="center" w:pos="4153"/>
        <w:tab w:val="right" w:pos="8306"/>
      </w:tabs>
    </w:pPr>
    <w:rPr>
      <w:spacing w:val="4"/>
      <w:sz w:val="20"/>
    </w:rPr>
  </w:style>
  <w:style w:type="character" w:customStyle="1" w:styleId="BunntekstTegn1">
    <w:name w:val="Bunntekst Tegn1"/>
    <w:basedOn w:val="Standardskriftforavsnitt"/>
    <w:uiPriority w:val="99"/>
    <w:semiHidden/>
    <w:rsid w:val="00557A6F"/>
    <w:rPr>
      <w:rFonts w:ascii="UniCentury Old Style" w:hAnsi="UniCentury Old Style" w:cs="UniCentury Old Style"/>
      <w:color w:val="000000"/>
      <w:w w:val="0"/>
      <w:sz w:val="20"/>
      <w:szCs w:val="20"/>
    </w:rPr>
  </w:style>
  <w:style w:type="character" w:customStyle="1" w:styleId="Overskrift6Tegn">
    <w:name w:val="Overskrift 6 Tegn"/>
    <w:link w:val="Overskrift6"/>
    <w:rsid w:val="00557A6F"/>
    <w:rPr>
      <w:rFonts w:ascii="Times" w:eastAsia="Batang" w:hAnsi="Times" w:cs="Times New Roman"/>
      <w:i/>
      <w:szCs w:val="20"/>
    </w:rPr>
  </w:style>
  <w:style w:type="character" w:customStyle="1" w:styleId="Overskrift7Tegn">
    <w:name w:val="Overskrift 7 Tegn"/>
    <w:link w:val="Overskrift7"/>
    <w:rsid w:val="00557A6F"/>
    <w:rPr>
      <w:rFonts w:ascii="Arial" w:eastAsia="Batang" w:hAnsi="Arial" w:cs="Times New Roman"/>
      <w:sz w:val="20"/>
      <w:szCs w:val="20"/>
    </w:rPr>
  </w:style>
  <w:style w:type="character" w:customStyle="1" w:styleId="Overskrift8Tegn">
    <w:name w:val="Overskrift 8 Tegn"/>
    <w:link w:val="Overskrift8"/>
    <w:rsid w:val="00557A6F"/>
    <w:rPr>
      <w:rFonts w:ascii="Arial" w:eastAsia="Batang" w:hAnsi="Arial" w:cs="Times New Roman"/>
      <w:i/>
      <w:sz w:val="20"/>
      <w:szCs w:val="20"/>
    </w:rPr>
  </w:style>
  <w:style w:type="character" w:customStyle="1" w:styleId="Overskrift9Tegn">
    <w:name w:val="Overskrift 9 Tegn"/>
    <w:link w:val="Overskrift9"/>
    <w:rsid w:val="00557A6F"/>
    <w:rPr>
      <w:rFonts w:ascii="Arial" w:eastAsia="Batang" w:hAnsi="Arial" w:cs="Times New Roman"/>
      <w:b/>
      <w:i/>
      <w:sz w:val="18"/>
      <w:szCs w:val="20"/>
    </w:rPr>
  </w:style>
  <w:style w:type="table" w:customStyle="1" w:styleId="Tabell-VM">
    <w:name w:val="Tabell-VM"/>
    <w:basedOn w:val="Tabelltemaer"/>
    <w:uiPriority w:val="99"/>
    <w:qFormat/>
    <w:rsid w:val="00557A6F"/>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557A6F"/>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57A6F"/>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557A6F"/>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57A6F"/>
    <w:pPr>
      <w:spacing w:after="0" w:line="240"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rdtekst">
    <w:name w:val="Body Text"/>
    <w:basedOn w:val="Normal"/>
    <w:link w:val="BrdtekstTegn"/>
    <w:rsid w:val="00557A6F"/>
    <w:pPr>
      <w:spacing w:before="120"/>
    </w:pPr>
  </w:style>
  <w:style w:type="character" w:customStyle="1" w:styleId="BrdtekstTegn">
    <w:name w:val="Brødtekst Tegn"/>
    <w:link w:val="Brdtekst"/>
    <w:rsid w:val="00557A6F"/>
    <w:rPr>
      <w:rFonts w:ascii="Times" w:eastAsia="Batang" w:hAnsi="Times" w:cs="Times New Roman"/>
      <w:sz w:val="24"/>
      <w:szCs w:val="20"/>
    </w:rPr>
  </w:style>
  <w:style w:type="paragraph" w:styleId="Dato0">
    <w:name w:val="Date"/>
    <w:basedOn w:val="Normal"/>
    <w:next w:val="Normal"/>
    <w:link w:val="DatoTegn"/>
    <w:rsid w:val="00557A6F"/>
  </w:style>
  <w:style w:type="character" w:customStyle="1" w:styleId="DatoTegn1">
    <w:name w:val="Dato Tegn1"/>
    <w:basedOn w:val="Standardskriftforavsnitt"/>
    <w:uiPriority w:val="99"/>
    <w:semiHidden/>
    <w:rsid w:val="00557A6F"/>
    <w:rPr>
      <w:rFonts w:ascii="Times" w:eastAsia="Batang" w:hAnsi="Times" w:cs="Times New Roman"/>
      <w:sz w:val="24"/>
      <w:szCs w:val="20"/>
    </w:rPr>
  </w:style>
  <w:style w:type="paragraph" w:styleId="INNH1">
    <w:name w:val="toc 1"/>
    <w:basedOn w:val="Normal"/>
    <w:next w:val="Normal"/>
    <w:autoRedefine/>
    <w:semiHidden/>
    <w:rsid w:val="00557A6F"/>
    <w:pPr>
      <w:tabs>
        <w:tab w:val="right" w:leader="dot" w:pos="8306"/>
      </w:tabs>
    </w:pPr>
  </w:style>
  <w:style w:type="paragraph" w:styleId="INNH2">
    <w:name w:val="toc 2"/>
    <w:basedOn w:val="Normal"/>
    <w:next w:val="Normal"/>
    <w:autoRedefine/>
    <w:semiHidden/>
    <w:rsid w:val="00557A6F"/>
    <w:pPr>
      <w:tabs>
        <w:tab w:val="right" w:leader="dot" w:pos="8306"/>
      </w:tabs>
      <w:ind w:left="200"/>
    </w:pPr>
  </w:style>
  <w:style w:type="paragraph" w:styleId="INNH3">
    <w:name w:val="toc 3"/>
    <w:basedOn w:val="Normal"/>
    <w:next w:val="Normal"/>
    <w:autoRedefine/>
    <w:semiHidden/>
    <w:rsid w:val="00557A6F"/>
    <w:pPr>
      <w:tabs>
        <w:tab w:val="right" w:leader="dot" w:pos="8306"/>
      </w:tabs>
      <w:ind w:left="400"/>
    </w:pPr>
  </w:style>
  <w:style w:type="paragraph" w:styleId="INNH4">
    <w:name w:val="toc 4"/>
    <w:basedOn w:val="Normal"/>
    <w:next w:val="Normal"/>
    <w:autoRedefine/>
    <w:semiHidden/>
    <w:rsid w:val="00557A6F"/>
    <w:pPr>
      <w:tabs>
        <w:tab w:val="right" w:leader="dot" w:pos="8306"/>
      </w:tabs>
      <w:ind w:left="600"/>
    </w:pPr>
  </w:style>
  <w:style w:type="paragraph" w:styleId="INNH5">
    <w:name w:val="toc 5"/>
    <w:basedOn w:val="Normal"/>
    <w:next w:val="Normal"/>
    <w:autoRedefine/>
    <w:semiHidden/>
    <w:rsid w:val="00557A6F"/>
    <w:pPr>
      <w:tabs>
        <w:tab w:val="right" w:leader="dot" w:pos="8306"/>
      </w:tabs>
      <w:ind w:left="800"/>
    </w:pPr>
  </w:style>
  <w:style w:type="character" w:styleId="Merknadsreferanse">
    <w:name w:val="annotation reference"/>
    <w:semiHidden/>
    <w:rsid w:val="00557A6F"/>
    <w:rPr>
      <w:sz w:val="16"/>
    </w:rPr>
  </w:style>
  <w:style w:type="paragraph" w:styleId="Merknadstekst">
    <w:name w:val="annotation text"/>
    <w:basedOn w:val="Normal"/>
    <w:link w:val="MerknadstekstTegn"/>
    <w:semiHidden/>
    <w:rsid w:val="00557A6F"/>
    <w:rPr>
      <w:sz w:val="20"/>
    </w:rPr>
  </w:style>
  <w:style w:type="character" w:customStyle="1" w:styleId="MerknadstekstTegn">
    <w:name w:val="Merknadstekst Tegn"/>
    <w:link w:val="Merknadstekst"/>
    <w:semiHidden/>
    <w:rsid w:val="00557A6F"/>
    <w:rPr>
      <w:rFonts w:ascii="Times" w:eastAsia="Batang" w:hAnsi="Times" w:cs="Times New Roman"/>
      <w:sz w:val="20"/>
      <w:szCs w:val="20"/>
    </w:rPr>
  </w:style>
  <w:style w:type="paragraph" w:styleId="NormalWeb">
    <w:name w:val="Normal (Web)"/>
    <w:basedOn w:val="Normal"/>
    <w:uiPriority w:val="99"/>
    <w:semiHidden/>
    <w:unhideWhenUsed/>
    <w:rsid w:val="00557A6F"/>
    <w:rPr>
      <w:szCs w:val="24"/>
    </w:rPr>
  </w:style>
  <w:style w:type="paragraph" w:styleId="Punktmerketliste">
    <w:name w:val="List Bullet"/>
    <w:basedOn w:val="Normal"/>
    <w:autoRedefine/>
    <w:rsid w:val="00557A6F"/>
    <w:pPr>
      <w:numPr>
        <w:numId w:val="2"/>
      </w:numPr>
      <w:spacing w:after="0"/>
    </w:pPr>
  </w:style>
  <w:style w:type="paragraph" w:styleId="Punktmerketliste2">
    <w:name w:val="List Bullet 2"/>
    <w:basedOn w:val="Normal"/>
    <w:rsid w:val="00557A6F"/>
    <w:pPr>
      <w:numPr>
        <w:numId w:val="3"/>
      </w:numPr>
      <w:spacing w:after="0"/>
    </w:pPr>
  </w:style>
  <w:style w:type="paragraph" w:styleId="Punktmerketliste3">
    <w:name w:val="List Bullet 3"/>
    <w:basedOn w:val="Normal"/>
    <w:autoRedefine/>
    <w:rsid w:val="00557A6F"/>
    <w:pPr>
      <w:numPr>
        <w:numId w:val="4"/>
      </w:numPr>
      <w:spacing w:after="0"/>
    </w:pPr>
  </w:style>
  <w:style w:type="paragraph" w:styleId="Punktmerketliste4">
    <w:name w:val="List Bullet 4"/>
    <w:basedOn w:val="Normal"/>
    <w:rsid w:val="00557A6F"/>
    <w:pPr>
      <w:numPr>
        <w:numId w:val="5"/>
      </w:numPr>
      <w:spacing w:after="0"/>
    </w:pPr>
  </w:style>
  <w:style w:type="paragraph" w:styleId="Punktmerketliste5">
    <w:name w:val="List Bullet 5"/>
    <w:basedOn w:val="Normal"/>
    <w:rsid w:val="00557A6F"/>
    <w:pPr>
      <w:numPr>
        <w:numId w:val="6"/>
      </w:numPr>
      <w:spacing w:after="0"/>
    </w:pPr>
  </w:style>
  <w:style w:type="paragraph" w:styleId="Rentekst">
    <w:name w:val="Plain Text"/>
    <w:basedOn w:val="Normal"/>
    <w:link w:val="RentekstTegn"/>
    <w:uiPriority w:val="99"/>
    <w:semiHidden/>
    <w:unhideWhenUsed/>
    <w:rsid w:val="00557A6F"/>
    <w:rPr>
      <w:rFonts w:ascii="Courier New" w:hAnsi="Courier New" w:cs="Courier New"/>
      <w:sz w:val="20"/>
    </w:rPr>
  </w:style>
  <w:style w:type="character" w:customStyle="1" w:styleId="RentekstTegn">
    <w:name w:val="Ren tekst Tegn"/>
    <w:link w:val="Rentekst"/>
    <w:uiPriority w:val="99"/>
    <w:semiHidden/>
    <w:rsid w:val="00557A6F"/>
    <w:rPr>
      <w:rFonts w:ascii="Courier New" w:eastAsia="Batang" w:hAnsi="Courier New" w:cs="Courier New"/>
      <w:sz w:val="20"/>
      <w:szCs w:val="20"/>
    </w:rPr>
  </w:style>
  <w:style w:type="table" w:styleId="Tabellrutenett">
    <w:name w:val="Table Grid"/>
    <w:basedOn w:val="Vanligtabell"/>
    <w:uiPriority w:val="59"/>
    <w:rsid w:val="00557A6F"/>
    <w:pPr>
      <w:spacing w:after="0" w:line="240" w:lineRule="auto"/>
    </w:pPr>
    <w:rPr>
      <w:rFonts w:ascii="Times" w:eastAsia="Batang" w:hAnsi="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blRad">
    <w:name w:val="tblRad"/>
    <w:rsid w:val="00557A6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557A6F"/>
  </w:style>
  <w:style w:type="paragraph" w:customStyle="1" w:styleId="tbl2LinjeSumBold">
    <w:name w:val="tbl2LinjeSumBold"/>
    <w:basedOn w:val="tblRad"/>
    <w:rsid w:val="00557A6F"/>
    <w:rPr>
      <w:b/>
    </w:rPr>
  </w:style>
  <w:style w:type="paragraph" w:customStyle="1" w:styleId="tblDelsum1">
    <w:name w:val="tblDelsum1"/>
    <w:basedOn w:val="tblRad"/>
    <w:rsid w:val="00557A6F"/>
    <w:rPr>
      <w:i/>
    </w:rPr>
  </w:style>
  <w:style w:type="paragraph" w:customStyle="1" w:styleId="tblDelsum1-Kapittel">
    <w:name w:val="tblDelsum1 - Kapittel"/>
    <w:basedOn w:val="tblDelsum1"/>
    <w:rsid w:val="00557A6F"/>
    <w:pPr>
      <w:keepNext w:val="0"/>
    </w:pPr>
  </w:style>
  <w:style w:type="paragraph" w:customStyle="1" w:styleId="tblDelsum2">
    <w:name w:val="tblDelsum2"/>
    <w:basedOn w:val="tblRad"/>
    <w:rsid w:val="00557A6F"/>
    <w:rPr>
      <w:b/>
      <w:i/>
    </w:rPr>
  </w:style>
  <w:style w:type="paragraph" w:customStyle="1" w:styleId="tblDelsum2-Kapittel">
    <w:name w:val="tblDelsum2 - Kapittel"/>
    <w:basedOn w:val="tblDelsum2"/>
    <w:rsid w:val="00557A6F"/>
    <w:pPr>
      <w:keepNext w:val="0"/>
    </w:pPr>
  </w:style>
  <w:style w:type="paragraph" w:customStyle="1" w:styleId="tblTabelloverskrift">
    <w:name w:val="tblTabelloverskrift"/>
    <w:rsid w:val="00557A6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557A6F"/>
    <w:pPr>
      <w:spacing w:after="0"/>
      <w:jc w:val="right"/>
    </w:pPr>
    <w:rPr>
      <w:b w:val="0"/>
      <w:caps w:val="0"/>
      <w:sz w:val="16"/>
    </w:rPr>
  </w:style>
  <w:style w:type="paragraph" w:customStyle="1" w:styleId="tblKategoriOverskrift">
    <w:name w:val="tblKategoriOverskrift"/>
    <w:basedOn w:val="tblRad"/>
    <w:rsid w:val="00557A6F"/>
    <w:pPr>
      <w:spacing w:before="120"/>
    </w:pPr>
    <w:rPr>
      <w:b/>
    </w:rPr>
  </w:style>
  <w:style w:type="paragraph" w:customStyle="1" w:styleId="tblKolonneoverskrift">
    <w:name w:val="tblKolonneoverskrift"/>
    <w:basedOn w:val="Normal"/>
    <w:rsid w:val="00557A6F"/>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557A6F"/>
    <w:pPr>
      <w:spacing w:after="360"/>
      <w:jc w:val="center"/>
    </w:pPr>
    <w:rPr>
      <w:b w:val="0"/>
      <w:caps w:val="0"/>
    </w:rPr>
  </w:style>
  <w:style w:type="paragraph" w:customStyle="1" w:styleId="tblKolonneoverskrift-Vedtak">
    <w:name w:val="tblKolonneoverskrift - Vedtak"/>
    <w:basedOn w:val="tblTabelloverskrift-Vedtak"/>
    <w:rsid w:val="00557A6F"/>
    <w:pPr>
      <w:spacing w:after="0"/>
    </w:pPr>
  </w:style>
  <w:style w:type="paragraph" w:customStyle="1" w:styleId="tblOverskrift-Vedtak">
    <w:name w:val="tblOverskrift - Vedtak"/>
    <w:basedOn w:val="tblRad"/>
    <w:rsid w:val="00557A6F"/>
    <w:pPr>
      <w:spacing w:before="360"/>
      <w:jc w:val="center"/>
    </w:pPr>
  </w:style>
  <w:style w:type="paragraph" w:customStyle="1" w:styleId="tblRadBold">
    <w:name w:val="tblRadBold"/>
    <w:basedOn w:val="tblRad"/>
    <w:rsid w:val="00557A6F"/>
    <w:rPr>
      <w:b/>
    </w:rPr>
  </w:style>
  <w:style w:type="paragraph" w:customStyle="1" w:styleId="tblRadItalic">
    <w:name w:val="tblRadItalic"/>
    <w:basedOn w:val="tblRad"/>
    <w:rsid w:val="00557A6F"/>
    <w:rPr>
      <w:i/>
    </w:rPr>
  </w:style>
  <w:style w:type="paragraph" w:customStyle="1" w:styleId="tblRadItalicSiste">
    <w:name w:val="tblRadItalicSiste"/>
    <w:basedOn w:val="tblRadItalic"/>
    <w:rsid w:val="00557A6F"/>
  </w:style>
  <w:style w:type="paragraph" w:customStyle="1" w:styleId="tblRadMedLuft">
    <w:name w:val="tblRadMedLuft"/>
    <w:basedOn w:val="tblRad"/>
    <w:rsid w:val="00557A6F"/>
    <w:pPr>
      <w:spacing w:before="120"/>
    </w:pPr>
  </w:style>
  <w:style w:type="paragraph" w:customStyle="1" w:styleId="tblRadMedLuftSiste">
    <w:name w:val="tblRadMedLuftSiste"/>
    <w:basedOn w:val="tblRadMedLuft"/>
    <w:rsid w:val="00557A6F"/>
    <w:pPr>
      <w:spacing w:after="120"/>
    </w:pPr>
  </w:style>
  <w:style w:type="paragraph" w:customStyle="1" w:styleId="tblRadMedLuftSiste-Vedtak">
    <w:name w:val="tblRadMedLuftSiste - Vedtak"/>
    <w:basedOn w:val="tblRadMedLuftSiste"/>
    <w:rsid w:val="00557A6F"/>
    <w:pPr>
      <w:keepNext w:val="0"/>
    </w:pPr>
  </w:style>
  <w:style w:type="paragraph" w:customStyle="1" w:styleId="tblRadSiste">
    <w:name w:val="tblRadSiste"/>
    <w:basedOn w:val="tblRad"/>
    <w:rsid w:val="00557A6F"/>
  </w:style>
  <w:style w:type="paragraph" w:customStyle="1" w:styleId="tblSluttsum">
    <w:name w:val="tblSluttsum"/>
    <w:basedOn w:val="tblRad"/>
    <w:rsid w:val="00557A6F"/>
    <w:pPr>
      <w:spacing w:before="120"/>
    </w:pPr>
    <w:rPr>
      <w:b/>
      <w:i/>
    </w:rPr>
  </w:style>
  <w:style w:type="table" w:customStyle="1" w:styleId="StandardTabell">
    <w:name w:val="StandardTabell"/>
    <w:basedOn w:val="Vanligtabell"/>
    <w:uiPriority w:val="99"/>
    <w:qFormat/>
    <w:rsid w:val="00557A6F"/>
    <w:pPr>
      <w:spacing w:after="0" w:line="240"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557A6F"/>
    <w:pPr>
      <w:spacing w:after="0" w:line="240"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Avsenderadresse">
    <w:name w:val="envelope return"/>
    <w:basedOn w:val="Normal"/>
    <w:uiPriority w:val="99"/>
    <w:semiHidden/>
    <w:unhideWhenUsed/>
    <w:rsid w:val="00557A6F"/>
    <w:pPr>
      <w:spacing w:after="0"/>
    </w:pPr>
    <w:rPr>
      <w:rFonts w:ascii="Cambria" w:eastAsia="Times New Roman" w:hAnsi="Cambria"/>
      <w:sz w:val="20"/>
    </w:rPr>
  </w:style>
  <w:style w:type="paragraph" w:styleId="Bibliografi">
    <w:name w:val="Bibliography"/>
    <w:basedOn w:val="Normal"/>
    <w:next w:val="Normal"/>
    <w:uiPriority w:val="37"/>
    <w:semiHidden/>
    <w:unhideWhenUsed/>
    <w:rsid w:val="00557A6F"/>
  </w:style>
  <w:style w:type="paragraph" w:styleId="Bildetekst">
    <w:name w:val="caption"/>
    <w:basedOn w:val="Normal"/>
    <w:next w:val="Normal"/>
    <w:uiPriority w:val="35"/>
    <w:semiHidden/>
    <w:unhideWhenUsed/>
    <w:qFormat/>
    <w:rsid w:val="00557A6F"/>
    <w:pPr>
      <w:spacing w:after="200"/>
    </w:pPr>
    <w:rPr>
      <w:b/>
      <w:bCs/>
      <w:color w:val="4F81BD"/>
      <w:sz w:val="18"/>
      <w:szCs w:val="18"/>
    </w:rPr>
  </w:style>
  <w:style w:type="paragraph" w:styleId="Blokktekst">
    <w:name w:val="Block Text"/>
    <w:basedOn w:val="Normal"/>
    <w:uiPriority w:val="99"/>
    <w:semiHidden/>
    <w:unhideWhenUsed/>
    <w:rsid w:val="00557A6F"/>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Times New Roman" w:hAnsi="Calibri"/>
      <w:i/>
      <w:iCs/>
      <w:color w:val="4F81BD"/>
    </w:rPr>
  </w:style>
  <w:style w:type="paragraph" w:styleId="Bobletekst">
    <w:name w:val="Balloon Text"/>
    <w:basedOn w:val="Normal"/>
    <w:link w:val="BobletekstTegn"/>
    <w:uiPriority w:val="99"/>
    <w:unhideWhenUsed/>
    <w:rsid w:val="00557A6F"/>
    <w:pPr>
      <w:spacing w:after="0"/>
    </w:pPr>
    <w:rPr>
      <w:rFonts w:ascii="Tahoma" w:hAnsi="Tahoma" w:cs="Tahoma"/>
      <w:sz w:val="16"/>
      <w:szCs w:val="16"/>
    </w:rPr>
  </w:style>
  <w:style w:type="character" w:customStyle="1" w:styleId="BobletekstTegn">
    <w:name w:val="Bobletekst Tegn"/>
    <w:link w:val="Bobletekst"/>
    <w:uiPriority w:val="99"/>
    <w:rsid w:val="00557A6F"/>
    <w:rPr>
      <w:rFonts w:ascii="Tahoma" w:eastAsia="Batang" w:hAnsi="Tahoma" w:cs="Tahoma"/>
      <w:sz w:val="16"/>
      <w:szCs w:val="16"/>
    </w:rPr>
  </w:style>
  <w:style w:type="character" w:styleId="Boktittel">
    <w:name w:val="Book Title"/>
    <w:uiPriority w:val="33"/>
    <w:qFormat/>
    <w:rsid w:val="00557A6F"/>
    <w:rPr>
      <w:b/>
      <w:bCs/>
      <w:smallCaps/>
      <w:spacing w:val="5"/>
    </w:rPr>
  </w:style>
  <w:style w:type="paragraph" w:styleId="Brdtekst-frsteinnrykk">
    <w:name w:val="Body Text First Indent"/>
    <w:basedOn w:val="Brdtekst"/>
    <w:link w:val="Brdtekst-frsteinnrykkTegn"/>
    <w:uiPriority w:val="99"/>
    <w:semiHidden/>
    <w:unhideWhenUsed/>
    <w:rsid w:val="00557A6F"/>
    <w:pPr>
      <w:spacing w:before="0"/>
      <w:ind w:firstLine="360"/>
    </w:pPr>
  </w:style>
  <w:style w:type="character" w:customStyle="1" w:styleId="Brdtekst-frsteinnrykkTegn">
    <w:name w:val="Brødtekst - første innrykk Tegn"/>
    <w:link w:val="Brdtekst-frsteinnrykk"/>
    <w:uiPriority w:val="99"/>
    <w:semiHidden/>
    <w:rsid w:val="00557A6F"/>
    <w:rPr>
      <w:rFonts w:ascii="Times" w:eastAsia="Batang" w:hAnsi="Times" w:cs="Times New Roman"/>
      <w:sz w:val="24"/>
      <w:szCs w:val="20"/>
    </w:rPr>
  </w:style>
  <w:style w:type="paragraph" w:styleId="Brdtekstinnrykk">
    <w:name w:val="Body Text Indent"/>
    <w:basedOn w:val="Normal"/>
    <w:link w:val="BrdtekstinnrykkTegn"/>
    <w:uiPriority w:val="99"/>
    <w:semiHidden/>
    <w:unhideWhenUsed/>
    <w:rsid w:val="00557A6F"/>
    <w:pPr>
      <w:ind w:left="283"/>
    </w:pPr>
  </w:style>
  <w:style w:type="character" w:customStyle="1" w:styleId="BrdtekstinnrykkTegn">
    <w:name w:val="Brødtekstinnrykk Tegn"/>
    <w:link w:val="Brdtekstinnrykk"/>
    <w:uiPriority w:val="99"/>
    <w:semiHidden/>
    <w:rsid w:val="00557A6F"/>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semiHidden/>
    <w:unhideWhenUsed/>
    <w:rsid w:val="00557A6F"/>
    <w:pPr>
      <w:ind w:left="360" w:firstLine="360"/>
    </w:pPr>
  </w:style>
  <w:style w:type="character" w:customStyle="1" w:styleId="Brdtekst-frsteinnrykk2Tegn">
    <w:name w:val="Brødtekst - første innrykk 2 Tegn"/>
    <w:link w:val="Brdtekst-frsteinnrykk2"/>
    <w:uiPriority w:val="99"/>
    <w:semiHidden/>
    <w:rsid w:val="00557A6F"/>
    <w:rPr>
      <w:rFonts w:ascii="Times" w:eastAsia="Batang" w:hAnsi="Times" w:cs="Times New Roman"/>
      <w:sz w:val="24"/>
      <w:szCs w:val="20"/>
    </w:rPr>
  </w:style>
  <w:style w:type="paragraph" w:styleId="Brdtekst2">
    <w:name w:val="Body Text 2"/>
    <w:basedOn w:val="Normal"/>
    <w:link w:val="Brdtekst2Tegn"/>
    <w:uiPriority w:val="99"/>
    <w:semiHidden/>
    <w:unhideWhenUsed/>
    <w:rsid w:val="00557A6F"/>
    <w:pPr>
      <w:spacing w:line="480" w:lineRule="auto"/>
    </w:pPr>
  </w:style>
  <w:style w:type="character" w:customStyle="1" w:styleId="Brdtekst2Tegn">
    <w:name w:val="Brødtekst 2 Tegn"/>
    <w:link w:val="Brdtekst2"/>
    <w:uiPriority w:val="99"/>
    <w:semiHidden/>
    <w:rsid w:val="00557A6F"/>
    <w:rPr>
      <w:rFonts w:ascii="Times" w:eastAsia="Batang" w:hAnsi="Times" w:cs="Times New Roman"/>
      <w:sz w:val="24"/>
      <w:szCs w:val="20"/>
    </w:rPr>
  </w:style>
  <w:style w:type="paragraph" w:styleId="Brdtekst3">
    <w:name w:val="Body Text 3"/>
    <w:basedOn w:val="Normal"/>
    <w:link w:val="Brdtekst3Tegn"/>
    <w:uiPriority w:val="99"/>
    <w:semiHidden/>
    <w:unhideWhenUsed/>
    <w:rsid w:val="00557A6F"/>
    <w:rPr>
      <w:sz w:val="16"/>
      <w:szCs w:val="16"/>
    </w:rPr>
  </w:style>
  <w:style w:type="character" w:customStyle="1" w:styleId="Brdtekst3Tegn">
    <w:name w:val="Brødtekst 3 Tegn"/>
    <w:link w:val="Brdtekst3"/>
    <w:uiPriority w:val="99"/>
    <w:semiHidden/>
    <w:rsid w:val="00557A6F"/>
    <w:rPr>
      <w:rFonts w:ascii="Times" w:eastAsia="Batang" w:hAnsi="Times" w:cs="Times New Roman"/>
      <w:sz w:val="16"/>
      <w:szCs w:val="16"/>
    </w:rPr>
  </w:style>
  <w:style w:type="paragraph" w:styleId="Brdtekstinnrykk2">
    <w:name w:val="Body Text Indent 2"/>
    <w:basedOn w:val="Normal"/>
    <w:link w:val="Brdtekstinnrykk2Tegn"/>
    <w:uiPriority w:val="99"/>
    <w:semiHidden/>
    <w:unhideWhenUsed/>
    <w:rsid w:val="00557A6F"/>
    <w:pPr>
      <w:spacing w:line="480" w:lineRule="auto"/>
      <w:ind w:left="283"/>
    </w:pPr>
  </w:style>
  <w:style w:type="character" w:customStyle="1" w:styleId="Brdtekstinnrykk2Tegn">
    <w:name w:val="Brødtekstinnrykk 2 Tegn"/>
    <w:link w:val="Brdtekstinnrykk2"/>
    <w:uiPriority w:val="99"/>
    <w:semiHidden/>
    <w:rsid w:val="00557A6F"/>
    <w:rPr>
      <w:rFonts w:ascii="Times" w:eastAsia="Batang" w:hAnsi="Times" w:cs="Times New Roman"/>
      <w:sz w:val="24"/>
      <w:szCs w:val="20"/>
    </w:rPr>
  </w:style>
  <w:style w:type="paragraph" w:styleId="Brdtekstinnrykk3">
    <w:name w:val="Body Text Indent 3"/>
    <w:basedOn w:val="Normal"/>
    <w:link w:val="Brdtekstinnrykk3Tegn"/>
    <w:uiPriority w:val="99"/>
    <w:semiHidden/>
    <w:unhideWhenUsed/>
    <w:rsid w:val="00557A6F"/>
    <w:pPr>
      <w:ind w:left="283"/>
    </w:pPr>
    <w:rPr>
      <w:sz w:val="16"/>
      <w:szCs w:val="16"/>
    </w:rPr>
  </w:style>
  <w:style w:type="character" w:customStyle="1" w:styleId="Brdtekstinnrykk3Tegn">
    <w:name w:val="Brødtekstinnrykk 3 Tegn"/>
    <w:link w:val="Brdtekstinnrykk3"/>
    <w:uiPriority w:val="99"/>
    <w:semiHidden/>
    <w:rsid w:val="00557A6F"/>
    <w:rPr>
      <w:rFonts w:ascii="Times" w:eastAsia="Batang" w:hAnsi="Times" w:cs="Times New Roman"/>
      <w:sz w:val="16"/>
      <w:szCs w:val="16"/>
    </w:rPr>
  </w:style>
  <w:style w:type="paragraph" w:styleId="Dokumentkart">
    <w:name w:val="Document Map"/>
    <w:basedOn w:val="Normal"/>
    <w:link w:val="DokumentkartTegn"/>
    <w:uiPriority w:val="99"/>
    <w:semiHidden/>
    <w:unhideWhenUsed/>
    <w:rsid w:val="00557A6F"/>
    <w:pPr>
      <w:spacing w:after="0"/>
    </w:pPr>
    <w:rPr>
      <w:rFonts w:ascii="Tahoma" w:hAnsi="Tahoma" w:cs="Tahoma"/>
      <w:sz w:val="16"/>
      <w:szCs w:val="16"/>
    </w:rPr>
  </w:style>
  <w:style w:type="character" w:customStyle="1" w:styleId="DokumentkartTegn">
    <w:name w:val="Dokumentkart Tegn"/>
    <w:link w:val="Dokumentkart"/>
    <w:uiPriority w:val="99"/>
    <w:semiHidden/>
    <w:rsid w:val="00557A6F"/>
    <w:rPr>
      <w:rFonts w:ascii="Tahoma" w:eastAsia="Batang" w:hAnsi="Tahoma" w:cs="Tahoma"/>
      <w:sz w:val="16"/>
      <w:szCs w:val="16"/>
    </w:rPr>
  </w:style>
  <w:style w:type="paragraph" w:styleId="E-postsignatur">
    <w:name w:val="E-mail Signature"/>
    <w:basedOn w:val="Normal"/>
    <w:link w:val="E-postsignaturTegn"/>
    <w:uiPriority w:val="99"/>
    <w:semiHidden/>
    <w:unhideWhenUsed/>
    <w:rsid w:val="00557A6F"/>
    <w:pPr>
      <w:spacing w:after="0"/>
    </w:pPr>
  </w:style>
  <w:style w:type="character" w:customStyle="1" w:styleId="E-postsignaturTegn">
    <w:name w:val="E-postsignatur Tegn"/>
    <w:link w:val="E-postsignatur"/>
    <w:uiPriority w:val="99"/>
    <w:semiHidden/>
    <w:rsid w:val="00557A6F"/>
    <w:rPr>
      <w:rFonts w:ascii="Times" w:eastAsia="Batang" w:hAnsi="Times" w:cs="Times New Roman"/>
      <w:sz w:val="24"/>
      <w:szCs w:val="20"/>
    </w:rPr>
  </w:style>
  <w:style w:type="paragraph" w:styleId="Figurliste">
    <w:name w:val="table of figures"/>
    <w:basedOn w:val="Normal"/>
    <w:next w:val="Normal"/>
    <w:uiPriority w:val="99"/>
    <w:semiHidden/>
    <w:unhideWhenUsed/>
    <w:rsid w:val="00557A6F"/>
    <w:pPr>
      <w:spacing w:after="0"/>
    </w:pPr>
  </w:style>
  <w:style w:type="character" w:styleId="Fulgthyperkobling">
    <w:name w:val="FollowedHyperlink"/>
    <w:uiPriority w:val="99"/>
    <w:semiHidden/>
    <w:unhideWhenUsed/>
    <w:rsid w:val="00557A6F"/>
    <w:rPr>
      <w:color w:val="800080"/>
      <w:u w:val="single"/>
    </w:rPr>
  </w:style>
  <w:style w:type="paragraph" w:styleId="Hilsen">
    <w:name w:val="Closing"/>
    <w:basedOn w:val="Normal"/>
    <w:link w:val="HilsenTegn"/>
    <w:uiPriority w:val="99"/>
    <w:semiHidden/>
    <w:unhideWhenUsed/>
    <w:rsid w:val="00557A6F"/>
    <w:pPr>
      <w:spacing w:after="0"/>
      <w:ind w:left="4252"/>
    </w:pPr>
  </w:style>
  <w:style w:type="character" w:customStyle="1" w:styleId="HilsenTegn">
    <w:name w:val="Hilsen Tegn"/>
    <w:link w:val="Hilsen"/>
    <w:uiPriority w:val="99"/>
    <w:semiHidden/>
    <w:rsid w:val="00557A6F"/>
    <w:rPr>
      <w:rFonts w:ascii="Times" w:eastAsia="Batang" w:hAnsi="Times" w:cs="Times New Roman"/>
      <w:sz w:val="24"/>
      <w:szCs w:val="20"/>
    </w:rPr>
  </w:style>
  <w:style w:type="paragraph" w:styleId="HTML-adresse">
    <w:name w:val="HTML Address"/>
    <w:basedOn w:val="Normal"/>
    <w:link w:val="HTML-adresseTegn"/>
    <w:uiPriority w:val="99"/>
    <w:semiHidden/>
    <w:unhideWhenUsed/>
    <w:rsid w:val="00557A6F"/>
    <w:pPr>
      <w:spacing w:after="0"/>
    </w:pPr>
    <w:rPr>
      <w:i/>
      <w:iCs/>
    </w:rPr>
  </w:style>
  <w:style w:type="character" w:customStyle="1" w:styleId="HTML-adresseTegn">
    <w:name w:val="HTML-adresse Tegn"/>
    <w:link w:val="HTML-adresse"/>
    <w:uiPriority w:val="99"/>
    <w:semiHidden/>
    <w:rsid w:val="00557A6F"/>
    <w:rPr>
      <w:rFonts w:ascii="Times" w:eastAsia="Batang" w:hAnsi="Times" w:cs="Times New Roman"/>
      <w:i/>
      <w:iCs/>
      <w:sz w:val="24"/>
      <w:szCs w:val="20"/>
    </w:rPr>
  </w:style>
  <w:style w:type="character" w:styleId="HTML-akronym">
    <w:name w:val="HTML Acronym"/>
    <w:uiPriority w:val="99"/>
    <w:semiHidden/>
    <w:unhideWhenUsed/>
    <w:rsid w:val="00557A6F"/>
  </w:style>
  <w:style w:type="character" w:styleId="HTML-definisjon">
    <w:name w:val="HTML Definition"/>
    <w:uiPriority w:val="99"/>
    <w:semiHidden/>
    <w:unhideWhenUsed/>
    <w:rsid w:val="00557A6F"/>
    <w:rPr>
      <w:i/>
      <w:iCs/>
    </w:rPr>
  </w:style>
  <w:style w:type="character" w:styleId="HTML-eksempel">
    <w:name w:val="HTML Sample"/>
    <w:uiPriority w:val="99"/>
    <w:semiHidden/>
    <w:unhideWhenUsed/>
    <w:rsid w:val="00557A6F"/>
    <w:rPr>
      <w:rFonts w:ascii="Consolas" w:hAnsi="Consolas"/>
      <w:sz w:val="24"/>
      <w:szCs w:val="24"/>
    </w:rPr>
  </w:style>
  <w:style w:type="paragraph" w:styleId="HTML-forhndsformatert">
    <w:name w:val="HTML Preformatted"/>
    <w:basedOn w:val="Normal"/>
    <w:link w:val="HTML-forhndsformatertTegn"/>
    <w:uiPriority w:val="99"/>
    <w:semiHidden/>
    <w:unhideWhenUsed/>
    <w:rsid w:val="00557A6F"/>
    <w:pPr>
      <w:spacing w:after="0"/>
    </w:pPr>
    <w:rPr>
      <w:rFonts w:ascii="Consolas" w:hAnsi="Consolas"/>
      <w:sz w:val="20"/>
    </w:rPr>
  </w:style>
  <w:style w:type="character" w:customStyle="1" w:styleId="HTML-forhndsformatertTegn">
    <w:name w:val="HTML-forhåndsformatert Tegn"/>
    <w:link w:val="HTML-forhndsformatert"/>
    <w:uiPriority w:val="99"/>
    <w:semiHidden/>
    <w:rsid w:val="00557A6F"/>
    <w:rPr>
      <w:rFonts w:ascii="Consolas" w:eastAsia="Batang" w:hAnsi="Consolas" w:cs="Times New Roman"/>
      <w:sz w:val="20"/>
      <w:szCs w:val="20"/>
    </w:rPr>
  </w:style>
  <w:style w:type="character" w:styleId="HTML-kode">
    <w:name w:val="HTML Code"/>
    <w:uiPriority w:val="99"/>
    <w:semiHidden/>
    <w:unhideWhenUsed/>
    <w:rsid w:val="00557A6F"/>
    <w:rPr>
      <w:rFonts w:ascii="Consolas" w:hAnsi="Consolas"/>
      <w:sz w:val="20"/>
      <w:szCs w:val="20"/>
    </w:rPr>
  </w:style>
  <w:style w:type="character" w:styleId="HTML-sitat">
    <w:name w:val="HTML Cite"/>
    <w:uiPriority w:val="99"/>
    <w:semiHidden/>
    <w:unhideWhenUsed/>
    <w:rsid w:val="00557A6F"/>
    <w:rPr>
      <w:i/>
      <w:iCs/>
    </w:rPr>
  </w:style>
  <w:style w:type="character" w:styleId="HTML-skrivemaskin">
    <w:name w:val="HTML Typewriter"/>
    <w:uiPriority w:val="99"/>
    <w:semiHidden/>
    <w:unhideWhenUsed/>
    <w:rsid w:val="00557A6F"/>
    <w:rPr>
      <w:rFonts w:ascii="Consolas" w:hAnsi="Consolas"/>
      <w:sz w:val="20"/>
      <w:szCs w:val="20"/>
    </w:rPr>
  </w:style>
  <w:style w:type="character" w:styleId="HTML-tastatur">
    <w:name w:val="HTML Keyboard"/>
    <w:uiPriority w:val="99"/>
    <w:semiHidden/>
    <w:unhideWhenUsed/>
    <w:rsid w:val="00557A6F"/>
    <w:rPr>
      <w:rFonts w:ascii="Consolas" w:hAnsi="Consolas"/>
      <w:sz w:val="20"/>
      <w:szCs w:val="20"/>
    </w:rPr>
  </w:style>
  <w:style w:type="character" w:styleId="HTML-variabel">
    <w:name w:val="HTML Variable"/>
    <w:uiPriority w:val="99"/>
    <w:semiHidden/>
    <w:unhideWhenUsed/>
    <w:rsid w:val="00557A6F"/>
    <w:rPr>
      <w:i/>
      <w:iCs/>
    </w:rPr>
  </w:style>
  <w:style w:type="paragraph" w:styleId="Indeks1">
    <w:name w:val="index 1"/>
    <w:basedOn w:val="Normal"/>
    <w:next w:val="Normal"/>
    <w:autoRedefine/>
    <w:uiPriority w:val="99"/>
    <w:semiHidden/>
    <w:unhideWhenUsed/>
    <w:rsid w:val="00557A6F"/>
    <w:pPr>
      <w:spacing w:after="0"/>
      <w:ind w:left="240" w:hanging="240"/>
    </w:pPr>
  </w:style>
  <w:style w:type="paragraph" w:styleId="Indeks2">
    <w:name w:val="index 2"/>
    <w:basedOn w:val="Normal"/>
    <w:next w:val="Normal"/>
    <w:autoRedefine/>
    <w:uiPriority w:val="99"/>
    <w:semiHidden/>
    <w:unhideWhenUsed/>
    <w:rsid w:val="00557A6F"/>
    <w:pPr>
      <w:spacing w:after="0"/>
      <w:ind w:left="480" w:hanging="240"/>
    </w:pPr>
  </w:style>
  <w:style w:type="paragraph" w:styleId="Indeks3">
    <w:name w:val="index 3"/>
    <w:basedOn w:val="Normal"/>
    <w:next w:val="Normal"/>
    <w:autoRedefine/>
    <w:uiPriority w:val="99"/>
    <w:semiHidden/>
    <w:unhideWhenUsed/>
    <w:rsid w:val="00557A6F"/>
    <w:pPr>
      <w:spacing w:after="0"/>
      <w:ind w:left="720" w:hanging="240"/>
    </w:pPr>
  </w:style>
  <w:style w:type="paragraph" w:styleId="Indeks4">
    <w:name w:val="index 4"/>
    <w:basedOn w:val="Normal"/>
    <w:next w:val="Normal"/>
    <w:autoRedefine/>
    <w:uiPriority w:val="99"/>
    <w:semiHidden/>
    <w:unhideWhenUsed/>
    <w:rsid w:val="00557A6F"/>
    <w:pPr>
      <w:spacing w:after="0"/>
      <w:ind w:left="960" w:hanging="240"/>
    </w:pPr>
  </w:style>
  <w:style w:type="paragraph" w:styleId="Indeks5">
    <w:name w:val="index 5"/>
    <w:basedOn w:val="Normal"/>
    <w:next w:val="Normal"/>
    <w:autoRedefine/>
    <w:uiPriority w:val="99"/>
    <w:semiHidden/>
    <w:unhideWhenUsed/>
    <w:rsid w:val="00557A6F"/>
    <w:pPr>
      <w:spacing w:after="0"/>
      <w:ind w:left="1200" w:hanging="240"/>
    </w:pPr>
  </w:style>
  <w:style w:type="paragraph" w:styleId="Indeks6">
    <w:name w:val="index 6"/>
    <w:basedOn w:val="Normal"/>
    <w:next w:val="Normal"/>
    <w:autoRedefine/>
    <w:uiPriority w:val="99"/>
    <w:semiHidden/>
    <w:unhideWhenUsed/>
    <w:rsid w:val="00557A6F"/>
    <w:pPr>
      <w:spacing w:after="0"/>
      <w:ind w:left="1440" w:hanging="240"/>
    </w:pPr>
  </w:style>
  <w:style w:type="paragraph" w:styleId="Indeks7">
    <w:name w:val="index 7"/>
    <w:basedOn w:val="Normal"/>
    <w:next w:val="Normal"/>
    <w:autoRedefine/>
    <w:uiPriority w:val="99"/>
    <w:semiHidden/>
    <w:unhideWhenUsed/>
    <w:rsid w:val="00557A6F"/>
    <w:pPr>
      <w:spacing w:after="0"/>
      <w:ind w:left="1680" w:hanging="240"/>
    </w:pPr>
  </w:style>
  <w:style w:type="paragraph" w:styleId="Indeks8">
    <w:name w:val="index 8"/>
    <w:basedOn w:val="Normal"/>
    <w:next w:val="Normal"/>
    <w:autoRedefine/>
    <w:uiPriority w:val="99"/>
    <w:semiHidden/>
    <w:unhideWhenUsed/>
    <w:rsid w:val="00557A6F"/>
    <w:pPr>
      <w:spacing w:after="0"/>
      <w:ind w:left="1920" w:hanging="240"/>
    </w:pPr>
  </w:style>
  <w:style w:type="paragraph" w:styleId="Indeks9">
    <w:name w:val="index 9"/>
    <w:basedOn w:val="Normal"/>
    <w:next w:val="Normal"/>
    <w:autoRedefine/>
    <w:uiPriority w:val="99"/>
    <w:semiHidden/>
    <w:unhideWhenUsed/>
    <w:rsid w:val="00557A6F"/>
    <w:pPr>
      <w:spacing w:after="0"/>
      <w:ind w:left="2160" w:hanging="240"/>
    </w:pPr>
  </w:style>
  <w:style w:type="paragraph" w:styleId="Ingenmellomrom">
    <w:name w:val="No Spacing"/>
    <w:uiPriority w:val="1"/>
    <w:qFormat/>
    <w:rsid w:val="00557A6F"/>
    <w:pPr>
      <w:spacing w:after="0" w:line="240" w:lineRule="auto"/>
    </w:pPr>
    <w:rPr>
      <w:rFonts w:ascii="Times" w:eastAsia="Batang" w:hAnsi="Times" w:cs="Times New Roman"/>
      <w:sz w:val="24"/>
      <w:szCs w:val="20"/>
    </w:rPr>
  </w:style>
  <w:style w:type="paragraph" w:styleId="INNH6">
    <w:name w:val="toc 6"/>
    <w:basedOn w:val="Normal"/>
    <w:next w:val="Normal"/>
    <w:autoRedefine/>
    <w:uiPriority w:val="39"/>
    <w:semiHidden/>
    <w:unhideWhenUsed/>
    <w:rsid w:val="00557A6F"/>
    <w:pPr>
      <w:spacing w:after="100"/>
      <w:ind w:left="1200"/>
    </w:pPr>
  </w:style>
  <w:style w:type="paragraph" w:styleId="INNH7">
    <w:name w:val="toc 7"/>
    <w:basedOn w:val="Normal"/>
    <w:next w:val="Normal"/>
    <w:autoRedefine/>
    <w:uiPriority w:val="39"/>
    <w:semiHidden/>
    <w:unhideWhenUsed/>
    <w:rsid w:val="00557A6F"/>
    <w:pPr>
      <w:spacing w:after="100"/>
      <w:ind w:left="1440"/>
    </w:pPr>
  </w:style>
  <w:style w:type="paragraph" w:styleId="INNH8">
    <w:name w:val="toc 8"/>
    <w:basedOn w:val="Normal"/>
    <w:next w:val="Normal"/>
    <w:autoRedefine/>
    <w:uiPriority w:val="39"/>
    <w:semiHidden/>
    <w:unhideWhenUsed/>
    <w:rsid w:val="00557A6F"/>
    <w:pPr>
      <w:spacing w:after="100"/>
      <w:ind w:left="1680"/>
    </w:pPr>
  </w:style>
  <w:style w:type="paragraph" w:styleId="INNH9">
    <w:name w:val="toc 9"/>
    <w:basedOn w:val="Normal"/>
    <w:next w:val="Normal"/>
    <w:autoRedefine/>
    <w:uiPriority w:val="39"/>
    <w:semiHidden/>
    <w:unhideWhenUsed/>
    <w:rsid w:val="00557A6F"/>
    <w:pPr>
      <w:spacing w:after="100"/>
      <w:ind w:left="1920"/>
    </w:pPr>
  </w:style>
  <w:style w:type="paragraph" w:styleId="Innledendehilsen">
    <w:name w:val="Salutation"/>
    <w:basedOn w:val="Normal"/>
    <w:next w:val="Normal"/>
    <w:link w:val="InnledendehilsenTegn"/>
    <w:uiPriority w:val="99"/>
    <w:semiHidden/>
    <w:unhideWhenUsed/>
    <w:rsid w:val="00557A6F"/>
  </w:style>
  <w:style w:type="character" w:customStyle="1" w:styleId="InnledendehilsenTegn">
    <w:name w:val="Innledende hilsen Tegn"/>
    <w:link w:val="Innledendehilsen"/>
    <w:uiPriority w:val="99"/>
    <w:semiHidden/>
    <w:rsid w:val="00557A6F"/>
    <w:rPr>
      <w:rFonts w:ascii="Times" w:eastAsia="Batang" w:hAnsi="Times" w:cs="Times New Roman"/>
      <w:sz w:val="24"/>
      <w:szCs w:val="20"/>
    </w:rPr>
  </w:style>
  <w:style w:type="paragraph" w:styleId="Kildeliste">
    <w:name w:val="table of authorities"/>
    <w:basedOn w:val="Normal"/>
    <w:next w:val="Normal"/>
    <w:uiPriority w:val="99"/>
    <w:semiHidden/>
    <w:unhideWhenUsed/>
    <w:rsid w:val="00557A6F"/>
    <w:pPr>
      <w:spacing w:after="0"/>
      <w:ind w:left="240" w:hanging="240"/>
    </w:pPr>
  </w:style>
  <w:style w:type="paragraph" w:styleId="Kildelisteoverskrift">
    <w:name w:val="toa heading"/>
    <w:basedOn w:val="Normal"/>
    <w:next w:val="Normal"/>
    <w:uiPriority w:val="99"/>
    <w:semiHidden/>
    <w:unhideWhenUsed/>
    <w:rsid w:val="00557A6F"/>
    <w:pPr>
      <w:spacing w:before="120"/>
    </w:pPr>
    <w:rPr>
      <w:rFonts w:ascii="Cambria" w:eastAsia="Times New Roman" w:hAnsi="Cambria"/>
      <w:b/>
      <w:bCs/>
      <w:szCs w:val="24"/>
    </w:rPr>
  </w:style>
  <w:style w:type="paragraph" w:styleId="Kommentaremne">
    <w:name w:val="annotation subject"/>
    <w:basedOn w:val="Merknadstekst"/>
    <w:next w:val="Merknadstekst"/>
    <w:link w:val="KommentaremneTegn"/>
    <w:uiPriority w:val="99"/>
    <w:semiHidden/>
    <w:unhideWhenUsed/>
    <w:rsid w:val="00557A6F"/>
    <w:rPr>
      <w:b/>
      <w:bCs/>
    </w:rPr>
  </w:style>
  <w:style w:type="character" w:customStyle="1" w:styleId="KommentaremneTegn">
    <w:name w:val="Kommentaremne Tegn"/>
    <w:link w:val="Kommentaremne"/>
    <w:uiPriority w:val="99"/>
    <w:semiHidden/>
    <w:rsid w:val="00557A6F"/>
    <w:rPr>
      <w:rFonts w:ascii="Times" w:eastAsia="Batang" w:hAnsi="Times" w:cs="Times New Roman"/>
      <w:b/>
      <w:bCs/>
      <w:sz w:val="20"/>
      <w:szCs w:val="20"/>
    </w:rPr>
  </w:style>
  <w:style w:type="paragraph" w:styleId="Konvoluttadresse">
    <w:name w:val="envelope address"/>
    <w:basedOn w:val="Normal"/>
    <w:uiPriority w:val="99"/>
    <w:semiHidden/>
    <w:unhideWhenUsed/>
    <w:rsid w:val="00557A6F"/>
    <w:pPr>
      <w:framePr w:w="7920" w:h="1980" w:hRule="exact" w:hSpace="141" w:wrap="auto" w:hAnchor="page" w:xAlign="center" w:yAlign="bottom"/>
      <w:spacing w:after="0"/>
      <w:ind w:left="2880"/>
    </w:pPr>
    <w:rPr>
      <w:rFonts w:ascii="Cambria" w:eastAsia="Times New Roman" w:hAnsi="Cambria"/>
      <w:szCs w:val="24"/>
    </w:rPr>
  </w:style>
  <w:style w:type="character" w:styleId="Linjenummer">
    <w:name w:val="line number"/>
    <w:uiPriority w:val="99"/>
    <w:semiHidden/>
    <w:unhideWhenUsed/>
    <w:rsid w:val="00557A6F"/>
  </w:style>
  <w:style w:type="paragraph" w:styleId="Liste-forts">
    <w:name w:val="List Continue"/>
    <w:basedOn w:val="Normal"/>
    <w:uiPriority w:val="99"/>
    <w:semiHidden/>
    <w:unhideWhenUsed/>
    <w:rsid w:val="00557A6F"/>
    <w:pPr>
      <w:ind w:left="283"/>
      <w:contextualSpacing/>
    </w:pPr>
  </w:style>
  <w:style w:type="paragraph" w:styleId="Liste-forts2">
    <w:name w:val="List Continue 2"/>
    <w:basedOn w:val="Normal"/>
    <w:uiPriority w:val="99"/>
    <w:semiHidden/>
    <w:unhideWhenUsed/>
    <w:rsid w:val="00557A6F"/>
    <w:pPr>
      <w:ind w:left="566"/>
      <w:contextualSpacing/>
    </w:pPr>
  </w:style>
  <w:style w:type="paragraph" w:styleId="Liste-forts3">
    <w:name w:val="List Continue 3"/>
    <w:basedOn w:val="Normal"/>
    <w:uiPriority w:val="99"/>
    <w:semiHidden/>
    <w:unhideWhenUsed/>
    <w:rsid w:val="00557A6F"/>
    <w:pPr>
      <w:ind w:left="849"/>
      <w:contextualSpacing/>
    </w:pPr>
  </w:style>
  <w:style w:type="paragraph" w:styleId="Liste-forts4">
    <w:name w:val="List Continue 4"/>
    <w:basedOn w:val="Normal"/>
    <w:uiPriority w:val="99"/>
    <w:semiHidden/>
    <w:unhideWhenUsed/>
    <w:rsid w:val="00557A6F"/>
    <w:pPr>
      <w:ind w:left="1132"/>
      <w:contextualSpacing/>
    </w:pPr>
  </w:style>
  <w:style w:type="paragraph" w:styleId="Liste-forts5">
    <w:name w:val="List Continue 5"/>
    <w:basedOn w:val="Normal"/>
    <w:uiPriority w:val="99"/>
    <w:semiHidden/>
    <w:unhideWhenUsed/>
    <w:rsid w:val="00557A6F"/>
    <w:pPr>
      <w:ind w:left="1415"/>
      <w:contextualSpacing/>
    </w:pPr>
  </w:style>
  <w:style w:type="paragraph" w:styleId="Makrotekst">
    <w:name w:val="macro"/>
    <w:link w:val="MakrotekstTegn"/>
    <w:uiPriority w:val="99"/>
    <w:semiHidden/>
    <w:unhideWhenUsed/>
    <w:rsid w:val="00557A6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Batang" w:hAnsi="Consolas" w:cs="Times New Roman"/>
      <w:sz w:val="20"/>
      <w:szCs w:val="20"/>
    </w:rPr>
  </w:style>
  <w:style w:type="character" w:customStyle="1" w:styleId="MakrotekstTegn">
    <w:name w:val="Makrotekst Tegn"/>
    <w:link w:val="Makrotekst"/>
    <w:uiPriority w:val="99"/>
    <w:semiHidden/>
    <w:rsid w:val="00557A6F"/>
    <w:rPr>
      <w:rFonts w:ascii="Consolas" w:eastAsia="Batang" w:hAnsi="Consolas" w:cs="Times New Roman"/>
      <w:sz w:val="20"/>
      <w:szCs w:val="20"/>
    </w:rPr>
  </w:style>
  <w:style w:type="paragraph" w:styleId="Meldingshode">
    <w:name w:val="Message Header"/>
    <w:basedOn w:val="Normal"/>
    <w:link w:val="MeldingshodeTegn"/>
    <w:uiPriority w:val="99"/>
    <w:semiHidden/>
    <w:unhideWhenUsed/>
    <w:rsid w:val="00557A6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Times New Roman" w:hAnsi="Cambria"/>
      <w:szCs w:val="24"/>
    </w:rPr>
  </w:style>
  <w:style w:type="character" w:customStyle="1" w:styleId="MeldingshodeTegn">
    <w:name w:val="Meldingshode Tegn"/>
    <w:link w:val="Meldingshode"/>
    <w:uiPriority w:val="99"/>
    <w:semiHidden/>
    <w:rsid w:val="00557A6F"/>
    <w:rPr>
      <w:rFonts w:ascii="Cambria" w:eastAsia="Times New Roman" w:hAnsi="Cambria" w:cs="Times New Roman"/>
      <w:sz w:val="24"/>
      <w:szCs w:val="24"/>
      <w:shd w:val="pct20" w:color="auto" w:fill="auto"/>
    </w:rPr>
  </w:style>
  <w:style w:type="paragraph" w:styleId="Notatoverskrift">
    <w:name w:val="Note Heading"/>
    <w:basedOn w:val="Normal"/>
    <w:next w:val="Normal"/>
    <w:link w:val="NotatoverskriftTegn"/>
    <w:uiPriority w:val="99"/>
    <w:semiHidden/>
    <w:unhideWhenUsed/>
    <w:rsid w:val="00557A6F"/>
    <w:pPr>
      <w:spacing w:after="0"/>
    </w:pPr>
  </w:style>
  <w:style w:type="character" w:customStyle="1" w:styleId="NotatoverskriftTegn">
    <w:name w:val="Notatoverskrift Tegn"/>
    <w:link w:val="Notatoverskrift"/>
    <w:uiPriority w:val="99"/>
    <w:semiHidden/>
    <w:rsid w:val="00557A6F"/>
    <w:rPr>
      <w:rFonts w:ascii="Times" w:eastAsia="Batang" w:hAnsi="Times" w:cs="Times New Roman"/>
      <w:sz w:val="24"/>
      <w:szCs w:val="20"/>
    </w:rPr>
  </w:style>
  <w:style w:type="paragraph" w:styleId="Overskriftforinnholdsfortegnelse">
    <w:name w:val="TOC Heading"/>
    <w:basedOn w:val="Overskrift1"/>
    <w:next w:val="Normal"/>
    <w:uiPriority w:val="39"/>
    <w:semiHidden/>
    <w:unhideWhenUsed/>
    <w:qFormat/>
    <w:rsid w:val="00557A6F"/>
    <w:pPr>
      <w:keepLines/>
      <w:numPr>
        <w:numId w:val="0"/>
      </w:numPr>
      <w:spacing w:before="480" w:after="0"/>
      <w:jc w:val="left"/>
      <w:outlineLvl w:val="9"/>
    </w:pPr>
    <w:rPr>
      <w:rFonts w:ascii="Cambria" w:eastAsia="Times New Roman" w:hAnsi="Cambria"/>
      <w:bCs/>
      <w:color w:val="365F91"/>
      <w:kern w:val="0"/>
      <w:sz w:val="28"/>
      <w:szCs w:val="28"/>
    </w:rPr>
  </w:style>
  <w:style w:type="character" w:styleId="Sluttnotereferanse">
    <w:name w:val="endnote reference"/>
    <w:uiPriority w:val="99"/>
    <w:semiHidden/>
    <w:unhideWhenUsed/>
    <w:rsid w:val="00557A6F"/>
    <w:rPr>
      <w:vertAlign w:val="superscript"/>
    </w:rPr>
  </w:style>
  <w:style w:type="paragraph" w:styleId="Sluttnotetekst">
    <w:name w:val="endnote text"/>
    <w:basedOn w:val="Normal"/>
    <w:link w:val="SluttnotetekstTegn"/>
    <w:uiPriority w:val="99"/>
    <w:semiHidden/>
    <w:unhideWhenUsed/>
    <w:rsid w:val="00557A6F"/>
    <w:pPr>
      <w:spacing w:after="0"/>
    </w:pPr>
    <w:rPr>
      <w:sz w:val="20"/>
    </w:rPr>
  </w:style>
  <w:style w:type="character" w:customStyle="1" w:styleId="SluttnotetekstTegn1">
    <w:name w:val="Sluttnotetekst Tegn1"/>
    <w:basedOn w:val="Standardskriftforavsnitt"/>
    <w:uiPriority w:val="99"/>
    <w:semiHidden/>
    <w:rsid w:val="00557A6F"/>
    <w:rPr>
      <w:rFonts w:ascii="Times" w:eastAsia="Batang" w:hAnsi="Times" w:cs="Times New Roman"/>
      <w:sz w:val="20"/>
      <w:szCs w:val="20"/>
    </w:rPr>
  </w:style>
  <w:style w:type="character" w:styleId="Sterkreferanse">
    <w:name w:val="Intense Reference"/>
    <w:uiPriority w:val="32"/>
    <w:qFormat/>
    <w:rsid w:val="00557A6F"/>
    <w:rPr>
      <w:b/>
      <w:bCs/>
      <w:smallCaps/>
      <w:color w:val="C0504D"/>
      <w:spacing w:val="5"/>
      <w:u w:val="single"/>
    </w:rPr>
  </w:style>
  <w:style w:type="character" w:styleId="Sterkutheving">
    <w:name w:val="Intense Emphasis"/>
    <w:uiPriority w:val="21"/>
    <w:qFormat/>
    <w:rsid w:val="00557A6F"/>
    <w:rPr>
      <w:b/>
      <w:bCs/>
      <w:i/>
      <w:iCs/>
      <w:color w:val="4F81BD"/>
    </w:rPr>
  </w:style>
  <w:style w:type="paragraph" w:styleId="Sterktsitat">
    <w:name w:val="Intense Quote"/>
    <w:basedOn w:val="Normal"/>
    <w:next w:val="Normal"/>
    <w:link w:val="SterktsitatTegn"/>
    <w:uiPriority w:val="30"/>
    <w:qFormat/>
    <w:rsid w:val="00557A6F"/>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557A6F"/>
    <w:rPr>
      <w:rFonts w:ascii="Times" w:eastAsia="Batang" w:hAnsi="Times" w:cs="Times New Roman"/>
      <w:b/>
      <w:bCs/>
      <w:i/>
      <w:iCs/>
      <w:color w:val="4F81BD" w:themeColor="accent1"/>
      <w:sz w:val="24"/>
      <w:szCs w:val="20"/>
    </w:rPr>
  </w:style>
  <w:style w:type="paragraph" w:styleId="Stikkordregisteroverskrift">
    <w:name w:val="index heading"/>
    <w:basedOn w:val="Normal"/>
    <w:next w:val="Indeks1"/>
    <w:uiPriority w:val="99"/>
    <w:semiHidden/>
    <w:unhideWhenUsed/>
    <w:rsid w:val="00557A6F"/>
    <w:rPr>
      <w:rFonts w:ascii="Cambria" w:eastAsia="Times New Roman" w:hAnsi="Cambria"/>
      <w:b/>
      <w:bCs/>
    </w:rPr>
  </w:style>
  <w:style w:type="character" w:styleId="Svakreferanse">
    <w:name w:val="Subtle Reference"/>
    <w:uiPriority w:val="31"/>
    <w:qFormat/>
    <w:rsid w:val="00557A6F"/>
    <w:rPr>
      <w:smallCaps/>
      <w:color w:val="C0504D"/>
      <w:u w:val="single"/>
    </w:rPr>
  </w:style>
  <w:style w:type="character" w:styleId="Svakutheving">
    <w:name w:val="Subtle Emphasis"/>
    <w:uiPriority w:val="19"/>
    <w:qFormat/>
    <w:rsid w:val="00557A6F"/>
    <w:rPr>
      <w:i/>
      <w:iCs/>
      <w:color w:val="808080"/>
    </w:rPr>
  </w:style>
  <w:style w:type="paragraph" w:styleId="Tittel">
    <w:name w:val="Title"/>
    <w:basedOn w:val="Normal"/>
    <w:next w:val="Normal"/>
    <w:link w:val="TittelTegn"/>
    <w:uiPriority w:val="10"/>
    <w:qFormat/>
    <w:rsid w:val="00557A6F"/>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telTegn">
    <w:name w:val="Tittel Tegn"/>
    <w:link w:val="Tittel"/>
    <w:uiPriority w:val="10"/>
    <w:rsid w:val="00557A6F"/>
    <w:rPr>
      <w:rFonts w:ascii="Cambria" w:eastAsia="Times New Roman" w:hAnsi="Cambria" w:cs="Times New Roman"/>
      <w:color w:val="17365D"/>
      <w:spacing w:val="5"/>
      <w:kern w:val="28"/>
      <w:sz w:val="52"/>
      <w:szCs w:val="52"/>
    </w:rPr>
  </w:style>
  <w:style w:type="paragraph" w:styleId="Underskrift">
    <w:name w:val="Signature"/>
    <w:basedOn w:val="Normal"/>
    <w:link w:val="UnderskriftTegn"/>
    <w:uiPriority w:val="99"/>
    <w:semiHidden/>
    <w:unhideWhenUsed/>
    <w:rsid w:val="00557A6F"/>
    <w:pPr>
      <w:spacing w:after="0"/>
      <w:ind w:left="4252"/>
    </w:pPr>
  </w:style>
  <w:style w:type="character" w:customStyle="1" w:styleId="UnderskriftTegn1">
    <w:name w:val="Underskrift Tegn1"/>
    <w:basedOn w:val="Standardskriftforavsnitt"/>
    <w:uiPriority w:val="99"/>
    <w:semiHidden/>
    <w:rsid w:val="00557A6F"/>
    <w:rPr>
      <w:rFonts w:ascii="Times" w:eastAsia="Batang" w:hAnsi="Times" w:cs="Times New Roman"/>
      <w:sz w:val="24"/>
      <w:szCs w:val="20"/>
    </w:rPr>
  </w:style>
  <w:style w:type="character" w:styleId="Utheving">
    <w:name w:val="Emphasis"/>
    <w:uiPriority w:val="20"/>
    <w:qFormat/>
    <w:rsid w:val="00557A6F"/>
    <w:rPr>
      <w:i/>
      <w:iCs/>
    </w:rPr>
  </w:style>
  <w:style w:type="paragraph" w:styleId="Vanliginnrykk">
    <w:name w:val="Normal Indent"/>
    <w:basedOn w:val="Normal"/>
    <w:uiPriority w:val="99"/>
    <w:semiHidden/>
    <w:unhideWhenUsed/>
    <w:rsid w:val="00557A6F"/>
    <w:pPr>
      <w:ind w:left="708"/>
    </w:pPr>
  </w:style>
  <w:style w:type="numbering" w:customStyle="1" w:styleId="AlfaListeStil">
    <w:name w:val="AlfaListeStil"/>
    <w:uiPriority w:val="99"/>
    <w:rsid w:val="00557A6F"/>
    <w:pPr>
      <w:numPr>
        <w:numId w:val="7"/>
      </w:numPr>
    </w:pPr>
  </w:style>
  <w:style w:type="numbering" w:customStyle="1" w:styleId="l-AlfaListeStil">
    <w:name w:val="l-AlfaListeStil"/>
    <w:uiPriority w:val="99"/>
    <w:rsid w:val="00557A6F"/>
    <w:pPr>
      <w:numPr>
        <w:numId w:val="8"/>
      </w:numPr>
    </w:pPr>
  </w:style>
  <w:style w:type="numbering" w:customStyle="1" w:styleId="l-ListeStilMal">
    <w:name w:val="l-ListeStilMal"/>
    <w:uiPriority w:val="99"/>
    <w:rsid w:val="00557A6F"/>
    <w:pPr>
      <w:numPr>
        <w:numId w:val="9"/>
      </w:numPr>
    </w:pPr>
  </w:style>
  <w:style w:type="numbering" w:customStyle="1" w:styleId="l-NummerertListeStil">
    <w:name w:val="l-NummerertListeStil"/>
    <w:uiPriority w:val="99"/>
    <w:rsid w:val="00557A6F"/>
    <w:pPr>
      <w:numPr>
        <w:numId w:val="10"/>
      </w:numPr>
    </w:pPr>
  </w:style>
  <w:style w:type="numbering" w:customStyle="1" w:styleId="NrListeStil">
    <w:name w:val="NrListeStil"/>
    <w:uiPriority w:val="99"/>
    <w:rsid w:val="00557A6F"/>
    <w:pPr>
      <w:numPr>
        <w:numId w:val="11"/>
      </w:numPr>
    </w:pPr>
  </w:style>
  <w:style w:type="numbering" w:customStyle="1" w:styleId="OpplistingListeStil">
    <w:name w:val="OpplistingListeStil"/>
    <w:uiPriority w:val="99"/>
    <w:rsid w:val="00557A6F"/>
    <w:pPr>
      <w:numPr>
        <w:numId w:val="12"/>
      </w:numPr>
    </w:pPr>
  </w:style>
  <w:style w:type="numbering" w:customStyle="1" w:styleId="OverskrifterListeStil">
    <w:name w:val="OverskrifterListeStil"/>
    <w:uiPriority w:val="99"/>
    <w:rsid w:val="00557A6F"/>
    <w:pPr>
      <w:numPr>
        <w:numId w:val="13"/>
      </w:numPr>
    </w:pPr>
  </w:style>
  <w:style w:type="numbering" w:customStyle="1" w:styleId="RomListeStil">
    <w:name w:val="RomListeStil"/>
    <w:uiPriority w:val="99"/>
    <w:rsid w:val="00557A6F"/>
    <w:pPr>
      <w:numPr>
        <w:numId w:val="14"/>
      </w:numPr>
    </w:pPr>
  </w:style>
  <w:style w:type="numbering" w:customStyle="1" w:styleId="StrekListeStil">
    <w:name w:val="StrekListeStil"/>
    <w:uiPriority w:val="99"/>
    <w:rsid w:val="00557A6F"/>
    <w:pPr>
      <w:numPr>
        <w:numId w:val="15"/>
      </w:numPr>
    </w:pPr>
  </w:style>
  <w:style w:type="paragraph" w:customStyle="1" w:styleId="Figur">
    <w:name w:val="Figur"/>
    <w:basedOn w:val="Normal"/>
    <w:uiPriority w:val="99"/>
    <w:rsid w:val="00557A6F"/>
    <w:pPr>
      <w:suppressAutoHyphens/>
      <w:spacing w:before="400" w:after="200" w:line="240" w:lineRule="exact"/>
      <w:jc w:val="center"/>
    </w:pPr>
    <w:rPr>
      <w:rFonts w:ascii="Times New Roman" w:eastAsia="Times New Roman" w:hAnsi="Times New Roman"/>
      <w:b/>
      <w:bCs/>
      <w:color w:val="FF0000"/>
      <w:szCs w:val="22"/>
    </w:rPr>
  </w:style>
  <w:style w:type="paragraph" w:customStyle="1" w:styleId="Sammendrag">
    <w:name w:val="Sammendrag"/>
    <w:basedOn w:val="Overskrift1"/>
    <w:qFormat/>
    <w:rsid w:val="00557A6F"/>
    <w:pPr>
      <w:numPr>
        <w:numId w:val="0"/>
      </w:numPr>
      <w:spacing w:line="276" w:lineRule="auto"/>
      <w:jc w:val="left"/>
    </w:pPr>
    <w:rPr>
      <w:rFonts w:eastAsia="Times New Roman"/>
      <w:szCs w:val="22"/>
    </w:rPr>
  </w:style>
  <w:style w:type="paragraph" w:customStyle="1" w:styleId="ForfatterMerknad">
    <w:name w:val="ForfatterMerknad"/>
    <w:basedOn w:val="Normal"/>
    <w:qFormat/>
    <w:rsid w:val="00557A6F"/>
    <w:pPr>
      <w:shd w:val="clear" w:color="auto" w:fill="FFFF99"/>
      <w:spacing w:before="60"/>
    </w:pPr>
    <w:rPr>
      <w:rFonts w:ascii="Arial" w:eastAsia="Times New Roman" w:hAnsi="Arial"/>
      <w:color w:val="632423"/>
      <w:spacing w:val="4"/>
      <w:sz w:val="26"/>
      <w:szCs w:val="22"/>
    </w:rPr>
  </w:style>
  <w:style w:type="paragraph" w:customStyle="1" w:styleId="TrykkeriMerknad">
    <w:name w:val="TrykkeriMerknad"/>
    <w:basedOn w:val="Normal"/>
    <w:qFormat/>
    <w:rsid w:val="00557A6F"/>
    <w:pPr>
      <w:spacing w:before="60" w:line="276" w:lineRule="auto"/>
    </w:pPr>
    <w:rPr>
      <w:rFonts w:ascii="Arial" w:eastAsia="Times New Roman" w:hAnsi="Arial"/>
      <w:color w:val="943634"/>
      <w:spacing w:val="4"/>
      <w:sz w:val="26"/>
      <w:szCs w:val="22"/>
    </w:rPr>
  </w:style>
  <w:style w:type="paragraph" w:styleId="Sitat0">
    <w:name w:val="Quote"/>
    <w:basedOn w:val="Normal"/>
    <w:next w:val="Normal"/>
    <w:link w:val="SitatTegn1"/>
    <w:uiPriority w:val="29"/>
    <w:qFormat/>
    <w:rsid w:val="004769CB"/>
    <w:rPr>
      <w:i/>
      <w:iCs/>
      <w:color w:val="000000" w:themeColor="text1"/>
    </w:rPr>
  </w:style>
  <w:style w:type="character" w:customStyle="1" w:styleId="SitatTegn1">
    <w:name w:val="Sitat Tegn1"/>
    <w:basedOn w:val="Standardskriftforavsnitt"/>
    <w:link w:val="Sitat0"/>
    <w:uiPriority w:val="29"/>
    <w:rsid w:val="004769CB"/>
    <w:rPr>
      <w:rFonts w:ascii="Times" w:eastAsia="Batang" w:hAnsi="Times" w:cs="Times New Roman"/>
      <w:i/>
      <w:iCs/>
      <w:color w:val="000000" w:themeColor="text1"/>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annotation text" w:uiPriority="0" w:unhideWhenUsed="1"/>
    <w:lsdException w:name="header" w:uiPriority="0"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0"/>
    <w:lsdException w:name="annotation reference" w:uiPriority="0" w:unhideWhenUsed="1"/>
    <w:lsdException w:name="line number" w:unhideWhenUsed="1"/>
    <w:lsdException w:name="page number"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lsdException w:name="List Bullet" w:uiPriority="0" w:unhideWhenUsed="1"/>
    <w:lsdException w:name="List Number" w:uiPriority="0"/>
    <w:lsdException w:name="List 2" w:uiPriority="0"/>
    <w:lsdException w:name="List 3" w:uiPriority="0"/>
    <w:lsdException w:name="List 4" w:uiPriority="0"/>
    <w:lsdException w:name="List 5" w:uiPriority="0"/>
    <w:lsdException w:name="List Bullet 2" w:uiPriority="0" w:unhideWhenUsed="1"/>
    <w:lsdException w:name="List Bullet 3" w:uiPriority="0" w:unhideWhenUsed="1"/>
    <w:lsdException w:name="List Bullet 4" w:uiPriority="0" w:unhideWhenUsed="1"/>
    <w:lsdException w:name="List Bullet 5" w:uiPriority="0" w:unhideWhenUsed="1"/>
    <w:lsdException w:name="List Number 2" w:uiPriority="0"/>
    <w:lsdException w:name="List Number 3" w:uiPriority="0"/>
    <w:lsdException w:name="List Number 4" w:uiPriority="0"/>
    <w:lsdException w:name="List Number 5" w:uiPriority="0"/>
    <w:lsdException w:name="Title" w:semiHidden="0" w:uiPriority="10" w:qFormat="1"/>
    <w:lsdException w:name="Closing" w:unhideWhenUsed="1"/>
    <w:lsdException w:name="Signature" w:unhideWhenUsed="1"/>
    <w:lsdException w:name="Default Paragraph Font" w:uiPriority="1"/>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iPriority="0"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557A6F"/>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557A6F"/>
    <w:pPr>
      <w:keepNext/>
      <w:numPr>
        <w:numId w:val="19"/>
      </w:numPr>
      <w:spacing w:before="360" w:after="80"/>
      <w:jc w:val="center"/>
      <w:outlineLvl w:val="0"/>
    </w:pPr>
    <w:rPr>
      <w:rFonts w:ascii="Arial" w:hAnsi="Arial"/>
      <w:b/>
      <w:kern w:val="28"/>
      <w:sz w:val="32"/>
    </w:rPr>
  </w:style>
  <w:style w:type="paragraph" w:styleId="Overskrift2">
    <w:name w:val="heading 2"/>
    <w:basedOn w:val="Normal"/>
    <w:next w:val="Normal"/>
    <w:link w:val="Overskrift2Tegn"/>
    <w:qFormat/>
    <w:rsid w:val="00557A6F"/>
    <w:pPr>
      <w:keepNext/>
      <w:numPr>
        <w:ilvl w:val="1"/>
        <w:numId w:val="19"/>
      </w:numPr>
      <w:spacing w:before="360" w:after="80"/>
      <w:outlineLvl w:val="1"/>
    </w:pPr>
    <w:rPr>
      <w:rFonts w:ascii="Arial" w:hAnsi="Arial"/>
      <w:b/>
      <w:sz w:val="26"/>
    </w:rPr>
  </w:style>
  <w:style w:type="paragraph" w:styleId="Overskrift3">
    <w:name w:val="heading 3"/>
    <w:basedOn w:val="Normal"/>
    <w:next w:val="Normal"/>
    <w:link w:val="Overskrift3Tegn"/>
    <w:qFormat/>
    <w:rsid w:val="00557A6F"/>
    <w:pPr>
      <w:keepNext/>
      <w:numPr>
        <w:ilvl w:val="2"/>
        <w:numId w:val="19"/>
      </w:numPr>
      <w:spacing w:before="200" w:after="80"/>
      <w:outlineLvl w:val="2"/>
    </w:pPr>
    <w:rPr>
      <w:rFonts w:ascii="Arial" w:hAnsi="Arial"/>
      <w:b/>
    </w:rPr>
  </w:style>
  <w:style w:type="paragraph" w:styleId="Overskrift4">
    <w:name w:val="heading 4"/>
    <w:basedOn w:val="Normal"/>
    <w:next w:val="Normal"/>
    <w:link w:val="Overskrift4Tegn"/>
    <w:qFormat/>
    <w:rsid w:val="00557A6F"/>
    <w:pPr>
      <w:keepNext/>
      <w:numPr>
        <w:ilvl w:val="3"/>
        <w:numId w:val="19"/>
      </w:numPr>
      <w:spacing w:before="120" w:after="80"/>
      <w:outlineLvl w:val="3"/>
    </w:pPr>
    <w:rPr>
      <w:rFonts w:ascii="Arial" w:hAnsi="Arial"/>
      <w:i/>
    </w:rPr>
  </w:style>
  <w:style w:type="paragraph" w:styleId="Overskrift5">
    <w:name w:val="heading 5"/>
    <w:basedOn w:val="Normal"/>
    <w:next w:val="Normal"/>
    <w:link w:val="Overskrift5Tegn"/>
    <w:qFormat/>
    <w:rsid w:val="00557A6F"/>
    <w:pPr>
      <w:keepNext/>
      <w:numPr>
        <w:ilvl w:val="4"/>
        <w:numId w:val="19"/>
      </w:numPr>
      <w:spacing w:before="120" w:after="0" w:line="276" w:lineRule="auto"/>
      <w:outlineLvl w:val="4"/>
    </w:pPr>
    <w:rPr>
      <w:rFonts w:ascii="Arial" w:eastAsia="Times New Roman" w:hAnsi="Arial"/>
      <w:i/>
      <w:szCs w:val="22"/>
    </w:rPr>
  </w:style>
  <w:style w:type="paragraph" w:styleId="Overskrift6">
    <w:name w:val="heading 6"/>
    <w:basedOn w:val="Normal"/>
    <w:next w:val="Normal"/>
    <w:link w:val="Overskrift6Tegn"/>
    <w:qFormat/>
    <w:rsid w:val="00557A6F"/>
    <w:pPr>
      <w:numPr>
        <w:ilvl w:val="5"/>
        <w:numId w:val="1"/>
      </w:numPr>
      <w:spacing w:before="240" w:after="60"/>
      <w:outlineLvl w:val="5"/>
    </w:pPr>
    <w:rPr>
      <w:i/>
      <w:sz w:val="22"/>
    </w:rPr>
  </w:style>
  <w:style w:type="paragraph" w:styleId="Overskrift7">
    <w:name w:val="heading 7"/>
    <w:basedOn w:val="Normal"/>
    <w:next w:val="Normal"/>
    <w:link w:val="Overskrift7Tegn"/>
    <w:qFormat/>
    <w:rsid w:val="00557A6F"/>
    <w:pPr>
      <w:numPr>
        <w:ilvl w:val="6"/>
        <w:numId w:val="1"/>
      </w:numPr>
      <w:spacing w:before="240" w:after="60"/>
      <w:outlineLvl w:val="6"/>
    </w:pPr>
    <w:rPr>
      <w:rFonts w:ascii="Arial" w:hAnsi="Arial"/>
      <w:sz w:val="20"/>
    </w:rPr>
  </w:style>
  <w:style w:type="paragraph" w:styleId="Overskrift8">
    <w:name w:val="heading 8"/>
    <w:basedOn w:val="Normal"/>
    <w:next w:val="Normal"/>
    <w:link w:val="Overskrift8Tegn"/>
    <w:qFormat/>
    <w:rsid w:val="00557A6F"/>
    <w:pPr>
      <w:numPr>
        <w:ilvl w:val="7"/>
        <w:numId w:val="1"/>
      </w:numPr>
      <w:spacing w:before="240" w:after="60"/>
      <w:outlineLvl w:val="7"/>
    </w:pPr>
    <w:rPr>
      <w:rFonts w:ascii="Arial" w:hAnsi="Arial"/>
      <w:i/>
      <w:sz w:val="20"/>
    </w:rPr>
  </w:style>
  <w:style w:type="paragraph" w:styleId="Overskrift9">
    <w:name w:val="heading 9"/>
    <w:basedOn w:val="Normal"/>
    <w:next w:val="Normal"/>
    <w:link w:val="Overskrift9Tegn"/>
    <w:qFormat/>
    <w:rsid w:val="00557A6F"/>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unhideWhenUsed/>
    <w:rsid w:val="00557A6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57A6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557A6F"/>
    <w:pPr>
      <w:keepNext/>
      <w:keepLines/>
      <w:spacing w:before="240" w:after="240" w:line="276" w:lineRule="auto"/>
    </w:pPr>
    <w:rPr>
      <w:rFonts w:ascii="Times New Roman" w:eastAsia="Times New Roman" w:hAnsi="Times New Roman"/>
      <w:spacing w:val="4"/>
      <w:szCs w:val="22"/>
    </w:rPr>
  </w:style>
  <w:style w:type="paragraph" w:customStyle="1" w:styleId="a-konge-tit">
    <w:name w:val="a-konge-tit"/>
    <w:basedOn w:val="Normal"/>
    <w:next w:val="Normal"/>
    <w:rsid w:val="00557A6F"/>
    <w:pPr>
      <w:keepNext/>
      <w:keepLines/>
      <w:spacing w:before="240" w:line="276" w:lineRule="auto"/>
      <w:jc w:val="center"/>
    </w:pPr>
    <w:rPr>
      <w:rFonts w:ascii="Times New Roman" w:eastAsia="Times New Roman" w:hAnsi="Times New Roman"/>
      <w:spacing w:val="30"/>
      <w:szCs w:val="22"/>
    </w:rPr>
  </w:style>
  <w:style w:type="paragraph" w:customStyle="1" w:styleId="a-tilraar-dep">
    <w:name w:val="a-tilraar-dep"/>
    <w:basedOn w:val="Normal"/>
    <w:next w:val="Normal"/>
    <w:rsid w:val="00557A6F"/>
    <w:pPr>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557A6F"/>
    <w:pPr>
      <w:spacing w:before="240" w:line="276" w:lineRule="auto"/>
      <w:jc w:val="center"/>
    </w:pPr>
    <w:rPr>
      <w:rFonts w:ascii="Times New Roman" w:eastAsia="Times New Roman" w:hAnsi="Times New Roman"/>
      <w:spacing w:val="30"/>
      <w:szCs w:val="22"/>
    </w:rPr>
  </w:style>
  <w:style w:type="paragraph" w:customStyle="1" w:styleId="a-tilraar-tit-2">
    <w:name w:val="a-tilraar-tit-2"/>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557A6F"/>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basedOn w:val="Normal"/>
    <w:next w:val="Normal"/>
    <w:rsid w:val="00557A6F"/>
    <w:pPr>
      <w:keepNext/>
      <w:spacing w:before="360" w:after="60"/>
      <w:jc w:val="center"/>
    </w:pPr>
    <w:rPr>
      <w:b/>
    </w:rPr>
  </w:style>
  <w:style w:type="paragraph" w:customStyle="1" w:styleId="a-vedtak-tekst">
    <w:name w:val="a-vedtak-tekst"/>
    <w:basedOn w:val="Normal"/>
    <w:next w:val="Normal"/>
    <w:rsid w:val="00557A6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basedOn w:val="a-vedtak-tit"/>
    <w:qFormat/>
    <w:rsid w:val="00557A6F"/>
    <w:pPr>
      <w:spacing w:before="120"/>
    </w:pPr>
    <w:rPr>
      <w:b w:val="0"/>
      <w:sz w:val="24"/>
    </w:rPr>
  </w:style>
  <w:style w:type="paragraph" w:customStyle="1" w:styleId="a-vedtakkap-tit">
    <w:name w:val="a-vedtakkap-tit"/>
    <w:basedOn w:val="a-vedtak-tit"/>
    <w:qFormat/>
    <w:rsid w:val="00557A6F"/>
    <w:pPr>
      <w:spacing w:before="120"/>
    </w:pPr>
    <w:rPr>
      <w:sz w:val="24"/>
    </w:rPr>
  </w:style>
  <w:style w:type="paragraph" w:customStyle="1" w:styleId="a-vedtak-tit">
    <w:name w:val="a-vedtak-tit"/>
    <w:basedOn w:val="Normal"/>
    <w:next w:val="Normal"/>
    <w:rsid w:val="00557A6F"/>
    <w:pPr>
      <w:keepNext/>
      <w:jc w:val="center"/>
    </w:pPr>
    <w:rPr>
      <w:rFonts w:ascii="Arial" w:hAnsi="Arial"/>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557A6F"/>
    <w:pPr>
      <w:tabs>
        <w:tab w:val="left" w:pos="284"/>
      </w:tabs>
      <w:spacing w:before="120"/>
      <w:contextualSpacing/>
    </w:pPr>
    <w:rPr>
      <w:sz w:val="20"/>
    </w:rPr>
  </w:style>
  <w:style w:type="paragraph" w:customStyle="1" w:styleId="tabell-tittel">
    <w:name w:val="tabell-tittel"/>
    <w:basedOn w:val="Normal"/>
    <w:next w:val="Normal"/>
    <w:rsid w:val="00557A6F"/>
    <w:pPr>
      <w:keepNext/>
      <w:keepLines/>
      <w:numPr>
        <w:ilvl w:val="6"/>
        <w:numId w:val="19"/>
      </w:numPr>
      <w:spacing w:before="240" w:line="276" w:lineRule="auto"/>
    </w:pPr>
    <w:rPr>
      <w:rFonts w:ascii="Arial" w:eastAsia="Times New Roman" w:hAnsi="Arial"/>
      <w:spacing w:val="4"/>
      <w:szCs w:val="22"/>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557A6F"/>
    <w:pPr>
      <w:numPr>
        <w:ilvl w:val="5"/>
        <w:numId w:val="19"/>
      </w:numPr>
      <w:spacing w:line="276" w:lineRule="auto"/>
    </w:pPr>
    <w:rPr>
      <w:rFonts w:ascii="Arial" w:eastAsia="Times New Roman" w:hAnsi="Arial"/>
      <w:spacing w:val="4"/>
      <w:szCs w:val="22"/>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557A6F"/>
    <w:pPr>
      <w:keepNext/>
      <w:spacing w:before="240" w:after="60"/>
    </w:pPr>
    <w:rPr>
      <w:rFonts w:ascii="Arial" w:hAnsi="Arial"/>
      <w:b/>
      <w:sz w:val="28"/>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557A6F"/>
    <w:pPr>
      <w:keepNext/>
      <w:keepLines/>
      <w:spacing w:before="360" w:line="276" w:lineRule="auto"/>
      <w:ind w:left="1021" w:hanging="1021"/>
    </w:pPr>
    <w:rPr>
      <w:rFonts w:ascii="Arial" w:eastAsia="Times New Roman" w:hAnsi="Arial"/>
      <w:b/>
      <w:szCs w:val="22"/>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557A6F"/>
    <w:pPr>
      <w:keepNext/>
      <w:spacing w:before="360" w:after="80"/>
      <w:jc w:val="center"/>
    </w:pPr>
    <w:rPr>
      <w:rFonts w:ascii="Arial" w:hAnsi="Arial"/>
      <w:b/>
      <w:sz w:val="3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557A6F"/>
    <w:pPr>
      <w:keepNext/>
      <w:spacing w:before="360" w:after="80"/>
      <w:jc w:val="center"/>
    </w:pPr>
    <w:rPr>
      <w:rFonts w:ascii="Arial" w:hAnsi="Arial"/>
      <w:b/>
      <w:sz w:val="3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basedOn w:val="Normal"/>
    <w:next w:val="Normal"/>
    <w:rsid w:val="00557A6F"/>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basedOn w:val="Normal"/>
    <w:next w:val="Normal"/>
    <w:rsid w:val="00557A6F"/>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hengende-innrykk"/>
    <w:rsid w:val="00557A6F"/>
    <w:pPr>
      <w:ind w:left="0" w:firstLine="0"/>
    </w:pPr>
  </w:style>
  <w:style w:type="paragraph" w:customStyle="1" w:styleId="del-nr">
    <w:name w:val="del-nr"/>
    <w:basedOn w:val="Normal"/>
    <w:qFormat/>
    <w:rsid w:val="00557A6F"/>
    <w:pPr>
      <w:keepNext/>
      <w:keepLines/>
      <w:spacing w:before="360" w:after="0"/>
      <w:jc w:val="center"/>
    </w:pPr>
    <w:rPr>
      <w:rFonts w:ascii="Times New Roman" w:hAnsi="Times New Roman"/>
      <w:i/>
      <w:sz w:val="48"/>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557A6F"/>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557A6F"/>
  </w:style>
  <w:style w:type="paragraph" w:customStyle="1" w:styleId="figur-noter">
    <w:name w:val="figur-noter"/>
    <w:basedOn w:val="Normal"/>
    <w:next w:val="Normal"/>
    <w:rsid w:val="00557A6F"/>
    <w:pPr>
      <w:tabs>
        <w:tab w:val="left" w:pos="284"/>
      </w:tabs>
      <w:spacing w:before="120"/>
      <w:contextualSpacing/>
    </w:pPr>
    <w:rPr>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557A6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basedOn w:val="Normal"/>
    <w:next w:val="Normal"/>
    <w:rsid w:val="00557A6F"/>
    <w:pPr>
      <w:keepNext/>
      <w:spacing w:before="360" w:after="60"/>
      <w:jc w:val="center"/>
    </w:pPr>
    <w:rPr>
      <w:b/>
    </w:rPr>
  </w:style>
  <w:style w:type="paragraph" w:styleId="Fotnotetekst">
    <w:name w:val="footnote text"/>
    <w:basedOn w:val="Normal"/>
    <w:link w:val="FotnotetekstTegn"/>
    <w:rsid w:val="00557A6F"/>
    <w:rPr>
      <w:sz w:val="20"/>
    </w:rPr>
  </w:style>
  <w:style w:type="character" w:customStyle="1" w:styleId="FotnotetekstTegn">
    <w:name w:val="Fotnotetekst Tegn"/>
    <w:link w:val="Fotnotetekst"/>
    <w:rsid w:val="00557A6F"/>
    <w:rPr>
      <w:rFonts w:ascii="Times" w:eastAsia="Batang" w:hAnsi="Times" w:cs="Times New Roman"/>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basedOn w:val="Normal"/>
    <w:next w:val="Normal"/>
    <w:rsid w:val="00557A6F"/>
    <w:pPr>
      <w:keepNext/>
      <w:spacing w:before="60" w:after="60"/>
      <w:jc w:val="center"/>
    </w:pPr>
    <w:rPr>
      <w:i/>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557A6F"/>
    <w:pPr>
      <w:ind w:left="709" w:hanging="709"/>
    </w:pPr>
  </w:style>
  <w:style w:type="paragraph" w:customStyle="1" w:styleId="i-budkap-over">
    <w:name w:val="i-budkap-over"/>
    <w:basedOn w:val="Normal"/>
    <w:next w:val="Normal"/>
    <w:rsid w:val="00557A6F"/>
    <w:pPr>
      <w:jc w:val="right"/>
    </w:pPr>
    <w:rPr>
      <w:b/>
    </w:rPr>
  </w:style>
  <w:style w:type="paragraph" w:customStyle="1" w:styleId="i-dep">
    <w:name w:val="i-dep"/>
    <w:basedOn w:val="Normal"/>
    <w:next w:val="Normal"/>
    <w:rsid w:val="00557A6F"/>
    <w:pPr>
      <w:jc w:val="right"/>
    </w:pPr>
    <w:rPr>
      <w:b/>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557A6F"/>
    <w:pPr>
      <w:spacing w:before="120"/>
      <w:jc w:val="center"/>
    </w:pPr>
    <w:rPr>
      <w:b/>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557A6F"/>
    <w:pPr>
      <w:ind w:left="1985" w:hanging="1985"/>
    </w:pPr>
  </w:style>
  <w:style w:type="paragraph" w:customStyle="1" w:styleId="i-statsrdato">
    <w:name w:val="i-statsr.dato"/>
    <w:basedOn w:val="Normal"/>
    <w:next w:val="Normal"/>
    <w:rsid w:val="00557A6F"/>
    <w:pPr>
      <w:spacing w:after="0"/>
      <w:jc w:val="center"/>
    </w:pPr>
    <w:rPr>
      <w:i/>
    </w:rPr>
  </w:style>
  <w:style w:type="paragraph" w:customStyle="1" w:styleId="i-termin">
    <w:name w:val="i-termin"/>
    <w:basedOn w:val="Normal"/>
    <w:next w:val="Normal"/>
    <w:rsid w:val="00557A6F"/>
    <w:pPr>
      <w:spacing w:before="360"/>
      <w:jc w:val="center"/>
    </w:pPr>
    <w:rPr>
      <w:b/>
      <w:sz w:val="28"/>
    </w:rPr>
  </w:style>
  <w:style w:type="paragraph" w:customStyle="1" w:styleId="i-tit">
    <w:name w:val="i-tit"/>
    <w:basedOn w:val="Normal"/>
    <w:next w:val="i-statsrdato"/>
    <w:rsid w:val="00557A6F"/>
    <w:pPr>
      <w:spacing w:before="360" w:after="240"/>
      <w:jc w:val="center"/>
    </w:pPr>
    <w:rPr>
      <w:b/>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rsid w:val="00557A6F"/>
  </w:style>
  <w:style w:type="paragraph" w:customStyle="1" w:styleId="Kilde">
    <w:name w:val="Kilde"/>
    <w:basedOn w:val="Normal"/>
    <w:next w:val="Normal"/>
    <w:rsid w:val="00557A6F"/>
    <w:pPr>
      <w:spacing w:after="240"/>
    </w:pPr>
    <w:rPr>
      <w:sz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basedOn w:val="Normal"/>
    <w:rsid w:val="00557A6F"/>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557A6F"/>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557A6F"/>
    <w:pPr>
      <w:spacing w:before="120" w:after="60" w:line="276" w:lineRule="auto"/>
    </w:pPr>
    <w:rPr>
      <w:rFonts w:ascii="Times New Roman" w:eastAsia="Times New Roman" w:hAnsi="Times New Roman"/>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557A6F"/>
    <w:pPr>
      <w:spacing w:before="240" w:after="40" w:line="276" w:lineRule="auto"/>
    </w:pPr>
    <w:rPr>
      <w:rFonts w:ascii="Times New Roman" w:eastAsia="Times New Roman" w:hAnsi="Times New Roman"/>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557A6F"/>
    <w:pPr>
      <w:spacing w:before="120" w:after="60" w:line="276" w:lineRule="auto"/>
    </w:pPr>
    <w:rPr>
      <w:rFonts w:ascii="Times New Roman" w:eastAsia="Times New Roman" w:hAnsi="Times New Roman"/>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557A6F"/>
    <w:pPr>
      <w:spacing w:after="0" w:line="276" w:lineRule="auto"/>
    </w:pPr>
    <w:rPr>
      <w:rFonts w:ascii="Times New Roman" w:eastAsia="Times New Roman" w:hAnsi="Times New Roman"/>
      <w:spacing w:val="4"/>
      <w:szCs w:val="22"/>
    </w:rPr>
  </w:style>
  <w:style w:type="paragraph" w:customStyle="1" w:styleId="l-tit-endr-avsnitt">
    <w:name w:val="l-tit-endr-avsnitt"/>
    <w:basedOn w:val="l-tit-endr-lovkap"/>
    <w:qFormat/>
    <w:rsid w:val="00557A6F"/>
  </w:style>
  <w:style w:type="paragraph" w:customStyle="1" w:styleId="l-tit-endr-ledd">
    <w:name w:val="l-tit-endr-ledd"/>
    <w:basedOn w:val="Normal"/>
    <w:qFormat/>
    <w:rsid w:val="00557A6F"/>
    <w:pPr>
      <w:keepNext/>
      <w:spacing w:before="240" w:after="0"/>
    </w:pPr>
    <w:rPr>
      <w:rFonts w:eastAsia="Times New Roman"/>
      <w:noProof/>
      <w:spacing w:val="4"/>
      <w:szCs w:val="22"/>
      <w:lang w:val="nn-NO"/>
    </w:rPr>
  </w:style>
  <w:style w:type="paragraph" w:customStyle="1" w:styleId="l-tit-endr-lov">
    <w:name w:val="l-tit-endr-lov"/>
    <w:basedOn w:val="Normal"/>
    <w:qFormat/>
    <w:rsid w:val="00557A6F"/>
    <w:pPr>
      <w:keepNext/>
      <w:spacing w:before="240" w:after="0"/>
    </w:pPr>
    <w:rPr>
      <w:rFonts w:eastAsia="Times New Roman"/>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557A6F"/>
    <w:pPr>
      <w:keepNext/>
      <w:spacing w:before="240" w:after="0"/>
    </w:pPr>
    <w:rPr>
      <w:rFonts w:eastAsia="Times New Roman"/>
      <w:noProof/>
      <w:spacing w:val="4"/>
      <w:szCs w:val="22"/>
      <w:lang w:val="nn-NO"/>
    </w:rPr>
  </w:style>
  <w:style w:type="paragraph" w:customStyle="1" w:styleId="l-tit-endr-lovkap">
    <w:name w:val="l-tit-endr-lovkap"/>
    <w:basedOn w:val="Normal"/>
    <w:qFormat/>
    <w:rsid w:val="00557A6F"/>
    <w:pPr>
      <w:keepNext/>
      <w:spacing w:before="240" w:after="0"/>
    </w:pPr>
    <w:rPr>
      <w:rFonts w:eastAsia="Times New Roman"/>
      <w:noProof/>
      <w:spacing w:val="4"/>
      <w:szCs w:val="22"/>
      <w:lang w:val="nn-NO"/>
    </w:rPr>
  </w:style>
  <w:style w:type="paragraph" w:customStyle="1" w:styleId="l-tit-endr-punktum">
    <w:name w:val="l-tit-endr-punktum"/>
    <w:basedOn w:val="l-tit-endr-ledd"/>
    <w:qFormat/>
    <w:rsid w:val="00557A6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557A6F"/>
    <w:pPr>
      <w:spacing w:before="60" w:after="0" w:line="276" w:lineRule="auto"/>
      <w:ind w:left="397"/>
    </w:pPr>
    <w:rPr>
      <w:rFonts w:ascii="Times New Roman" w:eastAsia="Times New Roman" w:hAnsi="Times New Roman"/>
      <w:szCs w:val="22"/>
    </w:rPr>
  </w:style>
  <w:style w:type="paragraph" w:customStyle="1" w:styleId="Listeavsnitt2">
    <w:name w:val="Listeavsnitt 2"/>
    <w:basedOn w:val="Normal"/>
    <w:qFormat/>
    <w:rsid w:val="00557A6F"/>
    <w:pPr>
      <w:spacing w:before="60" w:after="0" w:line="276" w:lineRule="auto"/>
      <w:ind w:left="794"/>
    </w:pPr>
    <w:rPr>
      <w:rFonts w:ascii="Times New Roman" w:eastAsia="Times New Roman" w:hAnsi="Times New Roman"/>
      <w:szCs w:val="22"/>
    </w:rPr>
  </w:style>
  <w:style w:type="paragraph" w:customStyle="1" w:styleId="Listeavsnitt3">
    <w:name w:val="Listeavsnitt 3"/>
    <w:basedOn w:val="Normal"/>
    <w:qFormat/>
    <w:rsid w:val="00557A6F"/>
    <w:pPr>
      <w:spacing w:before="60" w:after="0" w:line="276" w:lineRule="auto"/>
      <w:ind w:left="1191"/>
    </w:pPr>
    <w:rPr>
      <w:rFonts w:ascii="Times New Roman" w:eastAsia="Times New Roman" w:hAnsi="Times New Roman"/>
      <w:szCs w:val="22"/>
    </w:rPr>
  </w:style>
  <w:style w:type="paragraph" w:customStyle="1" w:styleId="Listeavsnitt4">
    <w:name w:val="Listeavsnitt 4"/>
    <w:basedOn w:val="Normal"/>
    <w:qFormat/>
    <w:rsid w:val="00557A6F"/>
    <w:pPr>
      <w:spacing w:before="60" w:after="0" w:line="276" w:lineRule="auto"/>
      <w:ind w:left="1588"/>
    </w:pPr>
    <w:rPr>
      <w:rFonts w:ascii="Times New Roman" w:eastAsia="Times New Roman" w:hAnsi="Times New Roman"/>
      <w:szCs w:val="22"/>
    </w:rPr>
  </w:style>
  <w:style w:type="paragraph" w:customStyle="1" w:styleId="Listeavsnitt5">
    <w:name w:val="Listeavsnitt 5"/>
    <w:basedOn w:val="Normal"/>
    <w:qFormat/>
    <w:rsid w:val="00557A6F"/>
    <w:pPr>
      <w:spacing w:before="60" w:after="0" w:line="276" w:lineRule="auto"/>
      <w:ind w:left="1985"/>
    </w:pPr>
    <w:rPr>
      <w:rFonts w:ascii="Times New Roman" w:eastAsia="Times New Roman" w:hAnsi="Times New Roman"/>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uiPriority w:val="99"/>
    <w:pPr>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557A6F"/>
    <w:pPr>
      <w:keepNext/>
      <w:keepLines/>
      <w:spacing w:before="360" w:after="60" w:line="276" w:lineRule="auto"/>
    </w:pPr>
    <w:rPr>
      <w:rFonts w:ascii="Arial" w:eastAsia="Times New Roman" w:hAnsi="Arial"/>
      <w:spacing w:val="4"/>
      <w:sz w:val="26"/>
      <w:szCs w:val="22"/>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557A6F"/>
    <w:rPr>
      <w:rFonts w:ascii="Arial" w:eastAsia="Batang" w:hAnsi="Arial" w:cs="Times New Roman"/>
      <w:b/>
      <w:kern w:val="28"/>
      <w:sz w:val="32"/>
      <w:szCs w:val="2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557A6F"/>
    <w:pPr>
      <w:keepNext/>
      <w:keepLines/>
      <w:spacing w:before="360" w:line="276" w:lineRule="auto"/>
    </w:pPr>
    <w:rPr>
      <w:rFonts w:ascii="Arial" w:eastAsia="Times New Roman" w:hAnsi="Arial"/>
      <w:b/>
      <w:spacing w:val="4"/>
      <w:sz w:val="28"/>
      <w:szCs w:val="22"/>
    </w:rPr>
  </w:style>
  <w:style w:type="character" w:customStyle="1" w:styleId="UndertittelTegn">
    <w:name w:val="Undertittel Tegn"/>
    <w:link w:val="Undertittel"/>
    <w:rsid w:val="00557A6F"/>
    <w:rPr>
      <w:rFonts w:ascii="Arial" w:eastAsia="Times New Roman" w:hAnsi="Arial" w:cs="Times New Roman"/>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uiPriority w:val="99"/>
    <w:pPr>
      <w:autoSpaceDE w:val="0"/>
      <w:autoSpaceDN w:val="0"/>
      <w:adjustRightInd w:val="0"/>
      <w:spacing w:before="240" w:after="240" w:line="200" w:lineRule="atLeast"/>
      <w:ind w:firstLine="320"/>
      <w:jc w:val="both"/>
    </w:pPr>
    <w:rPr>
      <w:rFonts w:ascii="UniCentury Old Style" w:hAnsi="UniCentury Old Style" w:cs="UniCentury Old Style"/>
      <w:color w:val="000000"/>
      <w:w w:val="0"/>
      <w:sz w:val="16"/>
      <w:szCs w:val="16"/>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557A6F"/>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557A6F"/>
    <w:pPr>
      <w:tabs>
        <w:tab w:val="left" w:pos="284"/>
      </w:tabs>
      <w:spacing w:before="120"/>
      <w:contextualSpacing/>
    </w:pPr>
    <w:rPr>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557A6F"/>
    <w:pPr>
      <w:keepNext/>
    </w:pPr>
    <w:rPr>
      <w:vanish/>
      <w:color w:val="00800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557A6F"/>
    <w:pPr>
      <w:ind w:left="0" w:firstLine="0"/>
    </w:p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557A6F"/>
    <w:pPr>
      <w:keepNext/>
      <w:keepLines/>
      <w:spacing w:line="276" w:lineRule="auto"/>
      <w:jc w:val="center"/>
    </w:pPr>
    <w:rPr>
      <w:rFonts w:ascii="Arial" w:eastAsia="Times New Roman" w:hAnsi="Arial"/>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557A6F"/>
    <w:pPr>
      <w:keepNext/>
      <w:keepLines/>
      <w:spacing w:before="360" w:after="240" w:line="276" w:lineRule="auto"/>
      <w:jc w:val="center"/>
    </w:pPr>
    <w:rPr>
      <w:rFonts w:ascii="Arial" w:eastAsia="Times New Roman" w:hAnsi="Arial"/>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557A6F"/>
    <w:pPr>
      <w:keepNext/>
      <w:keepLines/>
      <w:spacing w:before="360" w:after="240" w:line="276" w:lineRule="auto"/>
      <w:jc w:val="center"/>
    </w:pPr>
    <w:rPr>
      <w:rFonts w:ascii="Arial" w:eastAsia="Times New Roman" w:hAnsi="Arial"/>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557A6F"/>
    <w:rPr>
      <w:b w:val="0"/>
      <w:i/>
    </w:rPr>
  </w:style>
  <w:style w:type="paragraph" w:customStyle="1" w:styleId="Undervedl-tittel">
    <w:name w:val="Undervedl-tittel"/>
    <w:basedOn w:val="Normal"/>
    <w:next w:val="Normal"/>
    <w:rsid w:val="00557A6F"/>
    <w:pPr>
      <w:keepNext/>
      <w:spacing w:before="360" w:after="240"/>
    </w:pPr>
    <w:rPr>
      <w:rFonts w:ascii="Arial" w:hAnsi="Arial"/>
      <w:b/>
      <w:sz w:val="28"/>
    </w:rPr>
  </w:style>
  <w:style w:type="paragraph" w:customStyle="1" w:styleId="v-Overskrift1">
    <w:name w:val="v-Overskrift 1"/>
    <w:basedOn w:val="Overskrift1"/>
    <w:next w:val="Normal"/>
    <w:rsid w:val="00557A6F"/>
    <w:pPr>
      <w:keepLines/>
      <w:numPr>
        <w:numId w:val="0"/>
      </w:numPr>
      <w:spacing w:line="276" w:lineRule="auto"/>
      <w:jc w:val="left"/>
      <w:outlineLvl w:val="9"/>
    </w:pPr>
    <w:rPr>
      <w:rFonts w:eastAsia="Times New Roman"/>
      <w:szCs w:val="22"/>
    </w:rPr>
  </w:style>
  <w:style w:type="paragraph" w:customStyle="1" w:styleId="v-Overskrift2">
    <w:name w:val="v-Overskrift 2"/>
    <w:basedOn w:val="Overskrift2"/>
    <w:next w:val="Normal"/>
    <w:rsid w:val="00557A6F"/>
    <w:pPr>
      <w:keepLines/>
      <w:numPr>
        <w:ilvl w:val="0"/>
        <w:numId w:val="0"/>
      </w:numPr>
      <w:spacing w:line="276" w:lineRule="auto"/>
      <w:outlineLvl w:val="9"/>
    </w:pPr>
    <w:rPr>
      <w:rFonts w:eastAsia="Times New Roman"/>
      <w:spacing w:val="4"/>
      <w:sz w:val="28"/>
      <w:szCs w:val="22"/>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557A6F"/>
    <w:pPr>
      <w:keepLines/>
      <w:numPr>
        <w:ilvl w:val="0"/>
        <w:numId w:val="0"/>
      </w:numPr>
      <w:spacing w:before="360" w:line="276" w:lineRule="auto"/>
      <w:outlineLvl w:val="9"/>
    </w:pPr>
    <w:rPr>
      <w:rFonts w:eastAsia="Times New Roman"/>
      <w:szCs w:val="22"/>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557A6F"/>
    <w:pPr>
      <w:keepNext/>
      <w:keepLines/>
      <w:numPr>
        <w:numId w:val="18"/>
      </w:numPr>
      <w:spacing w:line="276" w:lineRule="auto"/>
    </w:pPr>
    <w:rPr>
      <w:rFonts w:ascii="Arial" w:eastAsia="Times New Roman" w:hAnsi="Arial"/>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557A6F"/>
    <w:pPr>
      <w:keepNext/>
      <w:keepLines/>
      <w:spacing w:before="360" w:after="80" w:line="276" w:lineRule="auto"/>
      <w:jc w:val="center"/>
    </w:pPr>
    <w:rPr>
      <w:rFonts w:ascii="Arial" w:eastAsia="Times New Roman" w:hAnsi="Arial"/>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i-sesjon"/>
    <w:qFormat/>
    <w:rsid w:val="00557A6F"/>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557A6F"/>
    <w:pPr>
      <w:spacing w:before="720"/>
      <w:jc w:val="center"/>
    </w:pPr>
    <w:rPr>
      <w:b/>
      <w:sz w:val="56"/>
    </w:rPr>
  </w:style>
  <w:style w:type="paragraph" w:customStyle="1" w:styleId="i-sesjon">
    <w:name w:val="i-sesjon"/>
    <w:basedOn w:val="Normal"/>
    <w:next w:val="Normal"/>
    <w:rsid w:val="00557A6F"/>
    <w:pPr>
      <w:jc w:val="center"/>
    </w:pPr>
    <w:rPr>
      <w:b/>
      <w:sz w:val="28"/>
    </w:rPr>
  </w:style>
  <w:style w:type="paragraph" w:customStyle="1" w:styleId="i-mtit">
    <w:name w:val="i-mtit"/>
    <w:basedOn w:val="Normal"/>
    <w:next w:val="Normal"/>
    <w:rsid w:val="00557A6F"/>
    <w:pPr>
      <w:keepNext/>
      <w:keepLines/>
      <w:spacing w:before="360" w:line="276" w:lineRule="auto"/>
      <w:jc w:val="center"/>
    </w:pPr>
    <w:rPr>
      <w:rFonts w:eastAsia="Times New Roman"/>
      <w:b/>
      <w:noProof/>
      <w:spacing w:val="4"/>
      <w:szCs w:val="22"/>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557A6F"/>
    <w:rPr>
      <w:rFonts w:ascii="Arial" w:eastAsia="Batang" w:hAnsi="Arial" w:cs="Times New Roman"/>
      <w:b/>
      <w:sz w:val="26"/>
      <w:szCs w:val="20"/>
    </w:rPr>
  </w:style>
  <w:style w:type="character" w:customStyle="1" w:styleId="Overskrift3Tegn">
    <w:name w:val="Overskrift 3 Tegn"/>
    <w:link w:val="Overskrift3"/>
    <w:rsid w:val="00557A6F"/>
    <w:rPr>
      <w:rFonts w:ascii="Arial" w:eastAsia="Batang" w:hAnsi="Arial" w:cs="Times New Roman"/>
      <w:b/>
      <w:sz w:val="24"/>
      <w:szCs w:val="20"/>
    </w:rPr>
  </w:style>
  <w:style w:type="character" w:customStyle="1" w:styleId="Overskrift4Tegn">
    <w:name w:val="Overskrift 4 Tegn"/>
    <w:link w:val="Overskrift4"/>
    <w:rsid w:val="00557A6F"/>
    <w:rPr>
      <w:rFonts w:ascii="Arial" w:eastAsia="Batang" w:hAnsi="Arial" w:cs="Times New Roman"/>
      <w:i/>
      <w:sz w:val="24"/>
      <w:szCs w:val="20"/>
    </w:rPr>
  </w:style>
  <w:style w:type="character" w:customStyle="1" w:styleId="Overskrift5Tegn">
    <w:name w:val="Overskrift 5 Tegn"/>
    <w:link w:val="Overskrift5"/>
    <w:rsid w:val="00557A6F"/>
    <w:rPr>
      <w:rFonts w:ascii="Arial" w:eastAsia="Times New Roman" w:hAnsi="Arial" w:cs="Times New Roman"/>
      <w:i/>
      <w:sz w:val="24"/>
    </w:rPr>
  </w:style>
  <w:style w:type="paragraph" w:styleId="Liste">
    <w:name w:val="List"/>
    <w:basedOn w:val="Normal"/>
    <w:rsid w:val="00557A6F"/>
    <w:pPr>
      <w:numPr>
        <w:numId w:val="15"/>
      </w:numPr>
      <w:contextualSpacing/>
    </w:pPr>
    <w:rPr>
      <w:rFonts w:ascii="Times New Roman" w:eastAsia="Times New Roman" w:hAnsi="Times New Roman"/>
      <w:spacing w:val="4"/>
      <w:szCs w:val="22"/>
    </w:rPr>
  </w:style>
  <w:style w:type="paragraph" w:styleId="Liste2">
    <w:name w:val="List 2"/>
    <w:basedOn w:val="Normal"/>
    <w:rsid w:val="00557A6F"/>
    <w:pPr>
      <w:numPr>
        <w:ilvl w:val="1"/>
        <w:numId w:val="15"/>
      </w:numPr>
      <w:spacing w:after="0" w:line="276" w:lineRule="auto"/>
    </w:pPr>
    <w:rPr>
      <w:rFonts w:ascii="Times New Roman" w:eastAsia="Times New Roman" w:hAnsi="Times New Roman"/>
      <w:spacing w:val="4"/>
      <w:szCs w:val="22"/>
    </w:rPr>
  </w:style>
  <w:style w:type="paragraph" w:styleId="Liste3">
    <w:name w:val="List 3"/>
    <w:basedOn w:val="Normal"/>
    <w:rsid w:val="00557A6F"/>
    <w:pPr>
      <w:numPr>
        <w:ilvl w:val="2"/>
        <w:numId w:val="15"/>
      </w:numPr>
      <w:spacing w:after="0" w:line="276" w:lineRule="auto"/>
    </w:pPr>
    <w:rPr>
      <w:rFonts w:ascii="Times New Roman" w:eastAsia="Times New Roman" w:hAnsi="Times New Roman"/>
      <w:szCs w:val="22"/>
    </w:rPr>
  </w:style>
  <w:style w:type="paragraph" w:styleId="Liste4">
    <w:name w:val="List 4"/>
    <w:basedOn w:val="Normal"/>
    <w:rsid w:val="00557A6F"/>
    <w:pPr>
      <w:numPr>
        <w:ilvl w:val="3"/>
        <w:numId w:val="15"/>
      </w:numPr>
      <w:spacing w:after="0" w:line="276" w:lineRule="auto"/>
    </w:pPr>
    <w:rPr>
      <w:rFonts w:ascii="Times New Roman" w:eastAsia="Times New Roman" w:hAnsi="Times New Roman"/>
      <w:szCs w:val="22"/>
    </w:rPr>
  </w:style>
  <w:style w:type="paragraph" w:styleId="Liste5">
    <w:name w:val="List 5"/>
    <w:basedOn w:val="Normal"/>
    <w:rsid w:val="00557A6F"/>
    <w:pPr>
      <w:numPr>
        <w:ilvl w:val="4"/>
        <w:numId w:val="15"/>
      </w:numPr>
      <w:spacing w:after="0" w:line="276" w:lineRule="auto"/>
    </w:pPr>
    <w:rPr>
      <w:rFonts w:ascii="Times New Roman" w:eastAsia="Times New Roman" w:hAnsi="Times New Roman"/>
      <w:szCs w:val="22"/>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557A6F"/>
    <w:pPr>
      <w:numPr>
        <w:numId w:val="11"/>
      </w:numPr>
      <w:spacing w:after="0" w:line="276" w:lineRule="auto"/>
    </w:p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557A6F"/>
    <w:pPr>
      <w:numPr>
        <w:ilvl w:val="1"/>
        <w:numId w:val="11"/>
      </w:numPr>
      <w:spacing w:after="0"/>
    </w:p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557A6F"/>
    <w:pPr>
      <w:numPr>
        <w:ilvl w:val="2"/>
        <w:numId w:val="11"/>
      </w:numPr>
      <w:spacing w:after="0"/>
    </w:p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557A6F"/>
    <w:pPr>
      <w:numPr>
        <w:ilvl w:val="3"/>
        <w:numId w:val="11"/>
      </w:numPr>
      <w:spacing w:after="0"/>
    </w:p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557A6F"/>
    <w:pPr>
      <w:numPr>
        <w:ilvl w:val="4"/>
        <w:numId w:val="11"/>
      </w:numPr>
      <w:spacing w:after="0"/>
    </w:pPr>
  </w:style>
  <w:style w:type="paragraph" w:customStyle="1" w:styleId="Listebombe">
    <w:name w:val="Liste bomb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istebombe2">
    <w:name w:val="Liste bombe 2"/>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istebombe3">
    <w:name w:val="Liste bombe 3"/>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istebombe4">
    <w:name w:val="Liste bombe 4"/>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istebombe5">
    <w:name w:val="Liste bombe 5"/>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557A6F"/>
    <w:pPr>
      <w:numPr>
        <w:numId w:val="7"/>
      </w:numPr>
      <w:spacing w:after="0" w:line="276" w:lineRule="auto"/>
    </w:pPr>
    <w:rPr>
      <w:rFonts w:ascii="Times New Roman" w:eastAsia="Times New Roman" w:hAnsi="Times New Roman"/>
      <w:spacing w:val="4"/>
      <w:szCs w:val="22"/>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557A6F"/>
    <w:pPr>
      <w:numPr>
        <w:ilvl w:val="1"/>
        <w:numId w:val="7"/>
      </w:numPr>
      <w:spacing w:after="0"/>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557A6F"/>
    <w:pPr>
      <w:numPr>
        <w:ilvl w:val="2"/>
        <w:numId w:val="7"/>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557A6F"/>
    <w:pPr>
      <w:numPr>
        <w:ilvl w:val="3"/>
        <w:numId w:val="7"/>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557A6F"/>
    <w:pPr>
      <w:numPr>
        <w:ilvl w:val="4"/>
        <w:numId w:val="7"/>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557A6F"/>
    <w:pPr>
      <w:numPr>
        <w:numId w:val="17"/>
      </w:numPr>
      <w:spacing w:after="0"/>
    </w:p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557A6F"/>
    <w:pPr>
      <w:numPr>
        <w:ilvl w:val="1"/>
        <w:numId w:val="17"/>
      </w:numPr>
      <w:spacing w:after="0"/>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557A6F"/>
    <w:pPr>
      <w:numPr>
        <w:ilvl w:val="2"/>
        <w:numId w:val="17"/>
      </w:numPr>
      <w:spacing w:after="0"/>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557A6F"/>
    <w:pPr>
      <w:numPr>
        <w:ilvl w:val="3"/>
        <w:numId w:val="17"/>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557A6F"/>
    <w:pPr>
      <w:numPr>
        <w:ilvl w:val="4"/>
        <w:numId w:val="17"/>
      </w:numPr>
      <w:spacing w:after="0" w:line="276" w:lineRule="auto"/>
    </w:pPr>
    <w:rPr>
      <w:rFonts w:ascii="Times New Roman" w:eastAsia="Times New Roman" w:hAnsi="Times New Roman"/>
      <w:spacing w:val="4"/>
      <w:szCs w:val="22"/>
    </w:rPr>
  </w:style>
  <w:style w:type="paragraph" w:customStyle="1" w:styleId="opplisting">
    <w:name w:val="opplisting"/>
    <w:basedOn w:val="Normal"/>
    <w:rsid w:val="00557A6F"/>
    <w:pPr>
      <w:spacing w:after="0" w:line="276" w:lineRule="auto"/>
    </w:pPr>
    <w:rPr>
      <w:rFonts w:eastAsia="Times New Roman"/>
      <w:szCs w:val="22"/>
    </w:rPr>
  </w:style>
  <w:style w:type="paragraph" w:customStyle="1" w:styleId="opplisting2">
    <w:name w:val="opplisting 2"/>
    <w:basedOn w:val="Normal"/>
    <w:qFormat/>
    <w:rsid w:val="00557A6F"/>
    <w:pPr>
      <w:spacing w:after="0" w:line="276" w:lineRule="auto"/>
      <w:ind w:left="397"/>
    </w:pPr>
    <w:rPr>
      <w:rFonts w:ascii="Times New Roman" w:eastAsia="Times New Roman" w:hAnsi="Times New Roman"/>
      <w:szCs w:val="22"/>
      <w:lang w:val="en-US"/>
    </w:rPr>
  </w:style>
  <w:style w:type="paragraph" w:customStyle="1" w:styleId="opplisting3">
    <w:name w:val="opplisting 3"/>
    <w:basedOn w:val="Normal"/>
    <w:qFormat/>
    <w:rsid w:val="00557A6F"/>
    <w:pPr>
      <w:spacing w:after="0" w:line="276" w:lineRule="auto"/>
      <w:ind w:left="794"/>
    </w:pPr>
    <w:rPr>
      <w:rFonts w:ascii="Times New Roman" w:eastAsia="Times New Roman" w:hAnsi="Times New Roman"/>
      <w:szCs w:val="22"/>
    </w:rPr>
  </w:style>
  <w:style w:type="paragraph" w:customStyle="1" w:styleId="opplisting4">
    <w:name w:val="opplisting 4"/>
    <w:basedOn w:val="Normal"/>
    <w:qFormat/>
    <w:rsid w:val="00557A6F"/>
    <w:pPr>
      <w:spacing w:after="0" w:line="276" w:lineRule="auto"/>
      <w:ind w:left="1191"/>
    </w:pPr>
    <w:rPr>
      <w:rFonts w:ascii="Times New Roman" w:eastAsia="Times New Roman" w:hAnsi="Times New Roman"/>
      <w:szCs w:val="22"/>
    </w:rPr>
  </w:style>
  <w:style w:type="paragraph" w:customStyle="1" w:styleId="opplisting5">
    <w:name w:val="opplisting 5"/>
    <w:basedOn w:val="Normal"/>
    <w:qFormat/>
    <w:rsid w:val="00557A6F"/>
    <w:pPr>
      <w:spacing w:after="0" w:line="276" w:lineRule="auto"/>
      <w:ind w:left="1588"/>
    </w:pPr>
    <w:rPr>
      <w:rFonts w:ascii="Times New Roman" w:eastAsia="Times New Roman" w:hAnsi="Times New Roman"/>
      <w:szCs w:val="22"/>
    </w:rPr>
  </w:style>
  <w:style w:type="paragraph" w:customStyle="1" w:styleId="friliste">
    <w:name w:val="friliste"/>
    <w:basedOn w:val="Normal"/>
    <w:qFormat/>
    <w:rsid w:val="00557A6F"/>
    <w:pPr>
      <w:tabs>
        <w:tab w:val="left" w:pos="397"/>
      </w:tabs>
      <w:spacing w:after="0" w:line="276" w:lineRule="auto"/>
      <w:ind w:left="397" w:hanging="397"/>
    </w:pPr>
    <w:rPr>
      <w:rFonts w:ascii="Times New Roman" w:eastAsia="Times New Roman" w:hAnsi="Times New Roman"/>
      <w:szCs w:val="22"/>
    </w:rPr>
  </w:style>
  <w:style w:type="paragraph" w:customStyle="1" w:styleId="friliste2">
    <w:name w:val="friliste 2"/>
    <w:basedOn w:val="Normal"/>
    <w:qFormat/>
    <w:rsid w:val="00557A6F"/>
    <w:pPr>
      <w:tabs>
        <w:tab w:val="left" w:pos="794"/>
      </w:tabs>
      <w:spacing w:after="0" w:line="276" w:lineRule="auto"/>
      <w:ind w:left="794" w:hanging="397"/>
    </w:pPr>
    <w:rPr>
      <w:rFonts w:ascii="Times New Roman" w:eastAsia="Times New Roman" w:hAnsi="Times New Roman"/>
      <w:szCs w:val="22"/>
    </w:rPr>
  </w:style>
  <w:style w:type="paragraph" w:customStyle="1" w:styleId="friliste3">
    <w:name w:val="friliste 3"/>
    <w:basedOn w:val="Normal"/>
    <w:qFormat/>
    <w:rsid w:val="00557A6F"/>
    <w:pPr>
      <w:tabs>
        <w:tab w:val="left" w:pos="1191"/>
      </w:tabs>
      <w:spacing w:after="0" w:line="276" w:lineRule="auto"/>
      <w:ind w:left="1191" w:hanging="397"/>
    </w:pPr>
    <w:rPr>
      <w:rFonts w:ascii="Times New Roman" w:eastAsia="Times New Roman" w:hAnsi="Times New Roman"/>
      <w:szCs w:val="22"/>
    </w:rPr>
  </w:style>
  <w:style w:type="paragraph" w:customStyle="1" w:styleId="friliste4">
    <w:name w:val="friliste 4"/>
    <w:basedOn w:val="Normal"/>
    <w:qFormat/>
    <w:rsid w:val="00557A6F"/>
    <w:pPr>
      <w:tabs>
        <w:tab w:val="left" w:pos="1588"/>
      </w:tabs>
      <w:spacing w:after="0" w:line="276" w:lineRule="auto"/>
      <w:ind w:left="1588" w:hanging="397"/>
    </w:pPr>
    <w:rPr>
      <w:rFonts w:ascii="Times New Roman" w:eastAsia="Times New Roman" w:hAnsi="Times New Roman"/>
      <w:szCs w:val="22"/>
    </w:rPr>
  </w:style>
  <w:style w:type="paragraph" w:customStyle="1" w:styleId="friliste5">
    <w:name w:val="friliste 5"/>
    <w:basedOn w:val="Normal"/>
    <w:qFormat/>
    <w:rsid w:val="00557A6F"/>
    <w:pPr>
      <w:tabs>
        <w:tab w:val="left" w:pos="1985"/>
      </w:tabs>
      <w:spacing w:after="0" w:line="276" w:lineRule="auto"/>
      <w:ind w:left="1985" w:hanging="397"/>
    </w:pPr>
    <w:rPr>
      <w:rFonts w:ascii="Times New Roman" w:eastAsia="Times New Roman" w:hAnsi="Times New Roman"/>
      <w:szCs w:val="22"/>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557A6F"/>
    <w:pPr>
      <w:numPr>
        <w:numId w:val="16"/>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557A6F"/>
    <w:pPr>
      <w:numPr>
        <w:numId w:val="16"/>
      </w:numPr>
      <w:spacing w:line="276" w:lineRule="auto"/>
    </w:pPr>
    <w:rPr>
      <w:rFonts w:ascii="Times New Roman" w:eastAsia="Times New Roman" w:hAnsi="Times New Roman"/>
      <w:spacing w:val="4"/>
      <w:szCs w:val="22"/>
    </w:rPr>
  </w:style>
  <w:style w:type="paragraph" w:customStyle="1" w:styleId="avsnitt-undertittel">
    <w:name w:val="avsnitt-undertittel"/>
    <w:basedOn w:val="Normal"/>
    <w:next w:val="Normal"/>
    <w:rsid w:val="00557A6F"/>
    <w:pPr>
      <w:keepNext/>
      <w:keepLines/>
      <w:spacing w:before="360" w:after="60"/>
    </w:pPr>
    <w:rPr>
      <w:rFonts w:ascii="Arial" w:hAnsi="Arial"/>
      <w: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557A6F"/>
    <w:pPr>
      <w:numPr>
        <w:numId w:val="16"/>
      </w:numPr>
      <w:spacing w:line="276" w:lineRule="auto"/>
    </w:pPr>
    <w:rPr>
      <w:rFonts w:ascii="Times New Roman" w:eastAsia="Times New Roman" w:hAnsi="Times New Roman"/>
      <w:szCs w:val="22"/>
    </w:r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557A6F"/>
    <w:pPr>
      <w:numPr>
        <w:numId w:val="16"/>
      </w:numPr>
      <w:spacing w:line="276" w:lineRule="auto"/>
    </w:pPr>
    <w:rPr>
      <w:rFonts w:ascii="Times New Roman" w:eastAsia="Times New Roman" w:hAnsi="Times New Roman"/>
      <w:szCs w:val="22"/>
    </w:r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557A6F"/>
    <w:pPr>
      <w:numPr>
        <w:numId w:val="16"/>
      </w:numPr>
      <w:spacing w:line="276" w:lineRule="auto"/>
    </w:pPr>
    <w:rPr>
      <w:rFonts w:ascii="Times New Roman" w:eastAsia="Times New Roman" w:hAnsi="Times New Roman"/>
      <w:szCs w:val="22"/>
    </w:rPr>
  </w:style>
  <w:style w:type="paragraph" w:customStyle="1" w:styleId="avsnitt-under-undertittel">
    <w:name w:val="avsnitt-under-undertittel"/>
    <w:basedOn w:val="Normal"/>
    <w:next w:val="Normal"/>
    <w:rsid w:val="00557A6F"/>
    <w:pPr>
      <w:keepNext/>
      <w:keepLines/>
      <w:spacing w:before="360"/>
    </w:pPr>
    <w:rPr>
      <w:rFonts w:ascii="Times New Roman" w:hAnsi="Times New Roman"/>
      <w:i/>
    </w:rPr>
  </w:style>
  <w:style w:type="paragraph" w:customStyle="1" w:styleId="blokksit">
    <w:name w:val="blokksit"/>
    <w:basedOn w:val="Normal"/>
    <w:qFormat/>
    <w:rsid w:val="00557A6F"/>
    <w:pPr>
      <w:ind w:left="397"/>
    </w:pPr>
    <w:rPr>
      <w:rFonts w:eastAsia="Times New Roman"/>
      <w:spacing w:val="-2"/>
      <w:szCs w:val="2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557A6F"/>
    <w:pPr>
      <w:spacing w:before="180" w:after="0" w:line="276" w:lineRule="auto"/>
    </w:pPr>
    <w:rPr>
      <w:rFonts w:eastAsia="Times New Roman"/>
      <w:i/>
      <w:spacing w:val="4"/>
      <w:szCs w:val="22"/>
    </w:rPr>
  </w:style>
  <w:style w:type="paragraph" w:customStyle="1" w:styleId="l-ledd">
    <w:name w:val="l-ledd"/>
    <w:basedOn w:val="Normal"/>
    <w:qFormat/>
    <w:rsid w:val="00557A6F"/>
    <w:pPr>
      <w:spacing w:after="0" w:line="276" w:lineRule="auto"/>
      <w:ind w:firstLine="397"/>
    </w:pPr>
    <w:rPr>
      <w:rFonts w:eastAsia="Times New Roman"/>
      <w:spacing w:val="4"/>
      <w:szCs w:val="22"/>
    </w:rPr>
  </w:style>
  <w:style w:type="paragraph" w:customStyle="1" w:styleId="l-tit-endr-paragraf">
    <w:name w:val="l-tit-endr-paragraf"/>
    <w:basedOn w:val="Normal"/>
    <w:qFormat/>
    <w:rsid w:val="00557A6F"/>
    <w:pPr>
      <w:keepNext/>
      <w:spacing w:before="240" w:after="0"/>
    </w:pPr>
    <w:rPr>
      <w:rFonts w:eastAsia="Times New Roman"/>
      <w:noProof/>
      <w:spacing w:val="4"/>
      <w:szCs w:val="22"/>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557A6F"/>
    <w:pPr>
      <w:keepNext/>
      <w:keepLines/>
      <w:numPr>
        <w:ilvl w:val="7"/>
        <w:numId w:val="19"/>
      </w:numPr>
      <w:spacing w:before="360" w:after="80" w:line="276" w:lineRule="auto"/>
      <w:jc w:val="center"/>
    </w:pPr>
    <w:rPr>
      <w:rFonts w:ascii="Arial" w:eastAsia="Times New Roman" w:hAnsi="Arial"/>
      <w:b/>
      <w:spacing w:val="4"/>
      <w:szCs w:val="22"/>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557A6F"/>
    <w:rPr>
      <w:rFonts w:ascii="Times" w:eastAsia="Batang" w:hAnsi="Times" w:cs="Times New Roman"/>
      <w:spacing w:val="4"/>
      <w:sz w:val="20"/>
      <w:szCs w:val="20"/>
    </w:rPr>
  </w:style>
  <w:style w:type="character" w:customStyle="1" w:styleId="DatoTegn">
    <w:name w:val="Dato Tegn"/>
    <w:link w:val="Dato0"/>
    <w:rsid w:val="00557A6F"/>
    <w:rPr>
      <w:rFonts w:ascii="Times" w:eastAsia="Batang" w:hAnsi="Times" w:cs="Times New Roman"/>
      <w:sz w:val="24"/>
      <w:szCs w:val="20"/>
    </w:rPr>
  </w:style>
  <w:style w:type="character" w:styleId="Fotnotereferanse">
    <w:name w:val="footnote reference"/>
    <w:rsid w:val="00557A6F"/>
    <w:rPr>
      <w:vertAlign w:val="superscript"/>
    </w:rPr>
  </w:style>
  <w:style w:type="character" w:customStyle="1" w:styleId="gjennomstreket">
    <w:name w:val="gjennomstreket"/>
    <w:uiPriority w:val="99"/>
    <w:rPr>
      <w:strike/>
      <w:u w:val="none"/>
      <w:vertAlign w:val="baseline"/>
      <w:lang w:val="nb-NO"/>
    </w:rPr>
  </w:style>
  <w:style w:type="character" w:customStyle="1" w:styleId="halvfet0">
    <w:name w:val="halvfet"/>
    <w:rsid w:val="00557A6F"/>
    <w:rPr>
      <w:b/>
    </w:rPr>
  </w:style>
  <w:style w:type="character" w:styleId="Hyperkobling">
    <w:name w:val="Hyperlink"/>
    <w:uiPriority w:val="99"/>
    <w:unhideWhenUsed/>
    <w:rsid w:val="00557A6F"/>
    <w:rPr>
      <w:color w:val="0000FF"/>
      <w:u w:val="single"/>
    </w:rPr>
  </w:style>
  <w:style w:type="character" w:customStyle="1" w:styleId="kursiv">
    <w:name w:val="kursiv"/>
    <w:rsid w:val="00557A6F"/>
    <w:rPr>
      <w:i/>
    </w:rPr>
  </w:style>
  <w:style w:type="character" w:customStyle="1" w:styleId="l-endring">
    <w:name w:val="l-endring"/>
    <w:rsid w:val="00557A6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557A6F"/>
  </w:style>
  <w:style w:type="character" w:styleId="Plassholdertekst">
    <w:name w:val="Placeholder Text"/>
    <w:uiPriority w:val="99"/>
    <w:rsid w:val="00557A6F"/>
    <w:rPr>
      <w:color w:val="808080"/>
    </w:rPr>
  </w:style>
  <w:style w:type="character" w:customStyle="1" w:styleId="regular">
    <w:name w:val="regular"/>
    <w:uiPriority w:val="1"/>
    <w:qFormat/>
    <w:rsid w:val="00557A6F"/>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557A6F"/>
    <w:rPr>
      <w:vertAlign w:val="superscript"/>
    </w:rPr>
  </w:style>
  <w:style w:type="character" w:customStyle="1" w:styleId="skrift-senket">
    <w:name w:val="skrift-senket"/>
    <w:rsid w:val="00557A6F"/>
    <w:rPr>
      <w:vertAlign w:val="subscript"/>
    </w:rPr>
  </w:style>
  <w:style w:type="character" w:customStyle="1" w:styleId="SluttnotetekstTegn">
    <w:name w:val="Sluttnotetekst Tegn"/>
    <w:link w:val="Sluttnotetekst"/>
    <w:uiPriority w:val="99"/>
    <w:semiHidden/>
    <w:rsid w:val="00557A6F"/>
    <w:rPr>
      <w:rFonts w:ascii="Times" w:eastAsia="Batang" w:hAnsi="Times" w:cs="Times New Roman"/>
      <w:sz w:val="20"/>
      <w:szCs w:val="20"/>
    </w:rPr>
  </w:style>
  <w:style w:type="character" w:customStyle="1" w:styleId="sperret0">
    <w:name w:val="sperret"/>
    <w:rsid w:val="00557A6F"/>
    <w:rPr>
      <w:spacing w:val="30"/>
    </w:rPr>
  </w:style>
  <w:style w:type="character" w:customStyle="1" w:styleId="SterktsitatTegn">
    <w:name w:val="Sterkt sitat Tegn"/>
    <w:link w:val="Sterktsitat"/>
    <w:uiPriority w:val="30"/>
    <w:rsid w:val="00557A6F"/>
    <w:rPr>
      <w:rFonts w:ascii="Times" w:eastAsia="Batang" w:hAnsi="Times" w:cs="Times New Roman"/>
      <w:b/>
      <w:bCs/>
      <w:i/>
      <w:iCs/>
      <w:color w:val="4F81BD"/>
      <w:sz w:val="24"/>
      <w:szCs w:val="20"/>
    </w:rPr>
  </w:style>
  <w:style w:type="character" w:customStyle="1" w:styleId="Stikkord">
    <w:name w:val="Stikkord"/>
    <w:rsid w:val="00557A6F"/>
    <w:rPr>
      <w:color w:val="0000FF"/>
    </w:rPr>
  </w:style>
  <w:style w:type="character" w:customStyle="1" w:styleId="stikkord0">
    <w:name w:val="stikkord"/>
    <w:uiPriority w:val="99"/>
  </w:style>
  <w:style w:type="character" w:styleId="Sterk">
    <w:name w:val="Strong"/>
    <w:uiPriority w:val="22"/>
    <w:qFormat/>
    <w:rsid w:val="00557A6F"/>
    <w:rPr>
      <w:b/>
      <w:bCs/>
    </w:rPr>
  </w:style>
  <w:style w:type="character" w:customStyle="1" w:styleId="TopptekstTegn">
    <w:name w:val="Topptekst Tegn"/>
    <w:link w:val="Topptekst"/>
    <w:rsid w:val="00557A6F"/>
    <w:rPr>
      <w:rFonts w:ascii="Times" w:eastAsia="Batang" w:hAnsi="Times" w:cs="Times New Roman"/>
      <w:sz w:val="20"/>
      <w:szCs w:val="20"/>
    </w:rPr>
  </w:style>
  <w:style w:type="character" w:customStyle="1" w:styleId="UnderskriftTegn">
    <w:name w:val="Underskrift Tegn"/>
    <w:link w:val="Underskrift"/>
    <w:uiPriority w:val="99"/>
    <w:semiHidden/>
    <w:rsid w:val="00557A6F"/>
    <w:rPr>
      <w:rFonts w:ascii="Times" w:eastAsia="Batang" w:hAnsi="Times" w:cs="Times New Roman"/>
      <w:sz w:val="24"/>
      <w:szCs w:val="20"/>
    </w:rPr>
  </w:style>
  <w:style w:type="paragraph" w:styleId="Topptekst">
    <w:name w:val="header"/>
    <w:basedOn w:val="Normal"/>
    <w:link w:val="TopptekstTegn"/>
    <w:rsid w:val="00557A6F"/>
    <w:pPr>
      <w:tabs>
        <w:tab w:val="center" w:pos="4536"/>
        <w:tab w:val="right" w:pos="9072"/>
      </w:tabs>
    </w:pPr>
    <w:rPr>
      <w:sz w:val="20"/>
    </w:rPr>
  </w:style>
  <w:style w:type="character" w:customStyle="1" w:styleId="TopptekstTegn1">
    <w:name w:val="Topptekst Tegn1"/>
    <w:basedOn w:val="Standardskriftforavsnitt"/>
    <w:uiPriority w:val="99"/>
    <w:semiHidden/>
    <w:rsid w:val="00557A6F"/>
    <w:rPr>
      <w:rFonts w:ascii="UniCentury Old Style" w:hAnsi="UniCentury Old Style" w:cs="UniCentury Old Style"/>
      <w:color w:val="000000"/>
      <w:w w:val="0"/>
      <w:sz w:val="20"/>
      <w:szCs w:val="20"/>
    </w:rPr>
  </w:style>
  <w:style w:type="paragraph" w:styleId="Bunntekst">
    <w:name w:val="footer"/>
    <w:basedOn w:val="Normal"/>
    <w:link w:val="BunntekstTegn"/>
    <w:rsid w:val="00557A6F"/>
    <w:pPr>
      <w:tabs>
        <w:tab w:val="center" w:pos="4153"/>
        <w:tab w:val="right" w:pos="8306"/>
      </w:tabs>
    </w:pPr>
    <w:rPr>
      <w:spacing w:val="4"/>
      <w:sz w:val="20"/>
    </w:rPr>
  </w:style>
  <w:style w:type="character" w:customStyle="1" w:styleId="BunntekstTegn1">
    <w:name w:val="Bunntekst Tegn1"/>
    <w:basedOn w:val="Standardskriftforavsnitt"/>
    <w:uiPriority w:val="99"/>
    <w:semiHidden/>
    <w:rsid w:val="00557A6F"/>
    <w:rPr>
      <w:rFonts w:ascii="UniCentury Old Style" w:hAnsi="UniCentury Old Style" w:cs="UniCentury Old Style"/>
      <w:color w:val="000000"/>
      <w:w w:val="0"/>
      <w:sz w:val="20"/>
      <w:szCs w:val="20"/>
    </w:rPr>
  </w:style>
  <w:style w:type="character" w:customStyle="1" w:styleId="Overskrift6Tegn">
    <w:name w:val="Overskrift 6 Tegn"/>
    <w:link w:val="Overskrift6"/>
    <w:rsid w:val="00557A6F"/>
    <w:rPr>
      <w:rFonts w:ascii="Times" w:eastAsia="Batang" w:hAnsi="Times" w:cs="Times New Roman"/>
      <w:i/>
      <w:szCs w:val="20"/>
    </w:rPr>
  </w:style>
  <w:style w:type="character" w:customStyle="1" w:styleId="Overskrift7Tegn">
    <w:name w:val="Overskrift 7 Tegn"/>
    <w:link w:val="Overskrift7"/>
    <w:rsid w:val="00557A6F"/>
    <w:rPr>
      <w:rFonts w:ascii="Arial" w:eastAsia="Batang" w:hAnsi="Arial" w:cs="Times New Roman"/>
      <w:sz w:val="20"/>
      <w:szCs w:val="20"/>
    </w:rPr>
  </w:style>
  <w:style w:type="character" w:customStyle="1" w:styleId="Overskrift8Tegn">
    <w:name w:val="Overskrift 8 Tegn"/>
    <w:link w:val="Overskrift8"/>
    <w:rsid w:val="00557A6F"/>
    <w:rPr>
      <w:rFonts w:ascii="Arial" w:eastAsia="Batang" w:hAnsi="Arial" w:cs="Times New Roman"/>
      <w:i/>
      <w:sz w:val="20"/>
      <w:szCs w:val="20"/>
    </w:rPr>
  </w:style>
  <w:style w:type="character" w:customStyle="1" w:styleId="Overskrift9Tegn">
    <w:name w:val="Overskrift 9 Tegn"/>
    <w:link w:val="Overskrift9"/>
    <w:rsid w:val="00557A6F"/>
    <w:rPr>
      <w:rFonts w:ascii="Arial" w:eastAsia="Batang" w:hAnsi="Arial" w:cs="Times New Roman"/>
      <w:b/>
      <w:i/>
      <w:sz w:val="18"/>
      <w:szCs w:val="20"/>
    </w:rPr>
  </w:style>
  <w:style w:type="table" w:customStyle="1" w:styleId="Tabell-VM">
    <w:name w:val="Tabell-VM"/>
    <w:basedOn w:val="Tabelltemaer"/>
    <w:uiPriority w:val="99"/>
    <w:qFormat/>
    <w:rsid w:val="00557A6F"/>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557A6F"/>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57A6F"/>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557A6F"/>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57A6F"/>
    <w:pPr>
      <w:spacing w:after="0" w:line="240"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rdtekst">
    <w:name w:val="Body Text"/>
    <w:basedOn w:val="Normal"/>
    <w:link w:val="BrdtekstTegn"/>
    <w:rsid w:val="00557A6F"/>
    <w:pPr>
      <w:spacing w:before="120"/>
    </w:pPr>
  </w:style>
  <w:style w:type="character" w:customStyle="1" w:styleId="BrdtekstTegn">
    <w:name w:val="Brødtekst Tegn"/>
    <w:link w:val="Brdtekst"/>
    <w:rsid w:val="00557A6F"/>
    <w:rPr>
      <w:rFonts w:ascii="Times" w:eastAsia="Batang" w:hAnsi="Times" w:cs="Times New Roman"/>
      <w:sz w:val="24"/>
      <w:szCs w:val="20"/>
    </w:rPr>
  </w:style>
  <w:style w:type="paragraph" w:styleId="Dato0">
    <w:name w:val="Date"/>
    <w:basedOn w:val="Normal"/>
    <w:next w:val="Normal"/>
    <w:link w:val="DatoTegn"/>
    <w:rsid w:val="00557A6F"/>
  </w:style>
  <w:style w:type="character" w:customStyle="1" w:styleId="DatoTegn1">
    <w:name w:val="Dato Tegn1"/>
    <w:basedOn w:val="Standardskriftforavsnitt"/>
    <w:uiPriority w:val="99"/>
    <w:semiHidden/>
    <w:rsid w:val="00557A6F"/>
    <w:rPr>
      <w:rFonts w:ascii="Times" w:eastAsia="Batang" w:hAnsi="Times" w:cs="Times New Roman"/>
      <w:sz w:val="24"/>
      <w:szCs w:val="20"/>
    </w:rPr>
  </w:style>
  <w:style w:type="paragraph" w:styleId="INNH1">
    <w:name w:val="toc 1"/>
    <w:basedOn w:val="Normal"/>
    <w:next w:val="Normal"/>
    <w:autoRedefine/>
    <w:semiHidden/>
    <w:rsid w:val="00557A6F"/>
    <w:pPr>
      <w:tabs>
        <w:tab w:val="right" w:leader="dot" w:pos="8306"/>
      </w:tabs>
    </w:pPr>
  </w:style>
  <w:style w:type="paragraph" w:styleId="INNH2">
    <w:name w:val="toc 2"/>
    <w:basedOn w:val="Normal"/>
    <w:next w:val="Normal"/>
    <w:autoRedefine/>
    <w:semiHidden/>
    <w:rsid w:val="00557A6F"/>
    <w:pPr>
      <w:tabs>
        <w:tab w:val="right" w:leader="dot" w:pos="8306"/>
      </w:tabs>
      <w:ind w:left="200"/>
    </w:pPr>
  </w:style>
  <w:style w:type="paragraph" w:styleId="INNH3">
    <w:name w:val="toc 3"/>
    <w:basedOn w:val="Normal"/>
    <w:next w:val="Normal"/>
    <w:autoRedefine/>
    <w:semiHidden/>
    <w:rsid w:val="00557A6F"/>
    <w:pPr>
      <w:tabs>
        <w:tab w:val="right" w:leader="dot" w:pos="8306"/>
      </w:tabs>
      <w:ind w:left="400"/>
    </w:pPr>
  </w:style>
  <w:style w:type="paragraph" w:styleId="INNH4">
    <w:name w:val="toc 4"/>
    <w:basedOn w:val="Normal"/>
    <w:next w:val="Normal"/>
    <w:autoRedefine/>
    <w:semiHidden/>
    <w:rsid w:val="00557A6F"/>
    <w:pPr>
      <w:tabs>
        <w:tab w:val="right" w:leader="dot" w:pos="8306"/>
      </w:tabs>
      <w:ind w:left="600"/>
    </w:pPr>
  </w:style>
  <w:style w:type="paragraph" w:styleId="INNH5">
    <w:name w:val="toc 5"/>
    <w:basedOn w:val="Normal"/>
    <w:next w:val="Normal"/>
    <w:autoRedefine/>
    <w:semiHidden/>
    <w:rsid w:val="00557A6F"/>
    <w:pPr>
      <w:tabs>
        <w:tab w:val="right" w:leader="dot" w:pos="8306"/>
      </w:tabs>
      <w:ind w:left="800"/>
    </w:pPr>
  </w:style>
  <w:style w:type="character" w:styleId="Merknadsreferanse">
    <w:name w:val="annotation reference"/>
    <w:semiHidden/>
    <w:rsid w:val="00557A6F"/>
    <w:rPr>
      <w:sz w:val="16"/>
    </w:rPr>
  </w:style>
  <w:style w:type="paragraph" w:styleId="Merknadstekst">
    <w:name w:val="annotation text"/>
    <w:basedOn w:val="Normal"/>
    <w:link w:val="MerknadstekstTegn"/>
    <w:semiHidden/>
    <w:rsid w:val="00557A6F"/>
    <w:rPr>
      <w:sz w:val="20"/>
    </w:rPr>
  </w:style>
  <w:style w:type="character" w:customStyle="1" w:styleId="MerknadstekstTegn">
    <w:name w:val="Merknadstekst Tegn"/>
    <w:link w:val="Merknadstekst"/>
    <w:semiHidden/>
    <w:rsid w:val="00557A6F"/>
    <w:rPr>
      <w:rFonts w:ascii="Times" w:eastAsia="Batang" w:hAnsi="Times" w:cs="Times New Roman"/>
      <w:sz w:val="20"/>
      <w:szCs w:val="20"/>
    </w:rPr>
  </w:style>
  <w:style w:type="paragraph" w:styleId="NormalWeb">
    <w:name w:val="Normal (Web)"/>
    <w:basedOn w:val="Normal"/>
    <w:uiPriority w:val="99"/>
    <w:semiHidden/>
    <w:unhideWhenUsed/>
    <w:rsid w:val="00557A6F"/>
    <w:rPr>
      <w:szCs w:val="24"/>
    </w:rPr>
  </w:style>
  <w:style w:type="paragraph" w:styleId="Punktmerketliste">
    <w:name w:val="List Bullet"/>
    <w:basedOn w:val="Normal"/>
    <w:autoRedefine/>
    <w:rsid w:val="00557A6F"/>
    <w:pPr>
      <w:numPr>
        <w:numId w:val="2"/>
      </w:numPr>
      <w:spacing w:after="0"/>
    </w:pPr>
  </w:style>
  <w:style w:type="paragraph" w:styleId="Punktmerketliste2">
    <w:name w:val="List Bullet 2"/>
    <w:basedOn w:val="Normal"/>
    <w:rsid w:val="00557A6F"/>
    <w:pPr>
      <w:numPr>
        <w:numId w:val="3"/>
      </w:numPr>
      <w:spacing w:after="0"/>
    </w:pPr>
  </w:style>
  <w:style w:type="paragraph" w:styleId="Punktmerketliste3">
    <w:name w:val="List Bullet 3"/>
    <w:basedOn w:val="Normal"/>
    <w:autoRedefine/>
    <w:rsid w:val="00557A6F"/>
    <w:pPr>
      <w:numPr>
        <w:numId w:val="4"/>
      </w:numPr>
      <w:spacing w:after="0"/>
    </w:pPr>
  </w:style>
  <w:style w:type="paragraph" w:styleId="Punktmerketliste4">
    <w:name w:val="List Bullet 4"/>
    <w:basedOn w:val="Normal"/>
    <w:rsid w:val="00557A6F"/>
    <w:pPr>
      <w:numPr>
        <w:numId w:val="5"/>
      </w:numPr>
      <w:spacing w:after="0"/>
    </w:pPr>
  </w:style>
  <w:style w:type="paragraph" w:styleId="Punktmerketliste5">
    <w:name w:val="List Bullet 5"/>
    <w:basedOn w:val="Normal"/>
    <w:rsid w:val="00557A6F"/>
    <w:pPr>
      <w:numPr>
        <w:numId w:val="6"/>
      </w:numPr>
      <w:spacing w:after="0"/>
    </w:pPr>
  </w:style>
  <w:style w:type="paragraph" w:styleId="Rentekst">
    <w:name w:val="Plain Text"/>
    <w:basedOn w:val="Normal"/>
    <w:link w:val="RentekstTegn"/>
    <w:uiPriority w:val="99"/>
    <w:semiHidden/>
    <w:unhideWhenUsed/>
    <w:rsid w:val="00557A6F"/>
    <w:rPr>
      <w:rFonts w:ascii="Courier New" w:hAnsi="Courier New" w:cs="Courier New"/>
      <w:sz w:val="20"/>
    </w:rPr>
  </w:style>
  <w:style w:type="character" w:customStyle="1" w:styleId="RentekstTegn">
    <w:name w:val="Ren tekst Tegn"/>
    <w:link w:val="Rentekst"/>
    <w:uiPriority w:val="99"/>
    <w:semiHidden/>
    <w:rsid w:val="00557A6F"/>
    <w:rPr>
      <w:rFonts w:ascii="Courier New" w:eastAsia="Batang" w:hAnsi="Courier New" w:cs="Courier New"/>
      <w:sz w:val="20"/>
      <w:szCs w:val="20"/>
    </w:rPr>
  </w:style>
  <w:style w:type="table" w:styleId="Tabellrutenett">
    <w:name w:val="Table Grid"/>
    <w:basedOn w:val="Vanligtabell"/>
    <w:uiPriority w:val="59"/>
    <w:rsid w:val="00557A6F"/>
    <w:pPr>
      <w:spacing w:after="0" w:line="240" w:lineRule="auto"/>
    </w:pPr>
    <w:rPr>
      <w:rFonts w:ascii="Times" w:eastAsia="Batang" w:hAnsi="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blRad">
    <w:name w:val="tblRad"/>
    <w:rsid w:val="00557A6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557A6F"/>
  </w:style>
  <w:style w:type="paragraph" w:customStyle="1" w:styleId="tbl2LinjeSumBold">
    <w:name w:val="tbl2LinjeSumBold"/>
    <w:basedOn w:val="tblRad"/>
    <w:rsid w:val="00557A6F"/>
    <w:rPr>
      <w:b/>
    </w:rPr>
  </w:style>
  <w:style w:type="paragraph" w:customStyle="1" w:styleId="tblDelsum1">
    <w:name w:val="tblDelsum1"/>
    <w:basedOn w:val="tblRad"/>
    <w:rsid w:val="00557A6F"/>
    <w:rPr>
      <w:i/>
    </w:rPr>
  </w:style>
  <w:style w:type="paragraph" w:customStyle="1" w:styleId="tblDelsum1-Kapittel">
    <w:name w:val="tblDelsum1 - Kapittel"/>
    <w:basedOn w:val="tblDelsum1"/>
    <w:rsid w:val="00557A6F"/>
    <w:pPr>
      <w:keepNext w:val="0"/>
    </w:pPr>
  </w:style>
  <w:style w:type="paragraph" w:customStyle="1" w:styleId="tblDelsum2">
    <w:name w:val="tblDelsum2"/>
    <w:basedOn w:val="tblRad"/>
    <w:rsid w:val="00557A6F"/>
    <w:rPr>
      <w:b/>
      <w:i/>
    </w:rPr>
  </w:style>
  <w:style w:type="paragraph" w:customStyle="1" w:styleId="tblDelsum2-Kapittel">
    <w:name w:val="tblDelsum2 - Kapittel"/>
    <w:basedOn w:val="tblDelsum2"/>
    <w:rsid w:val="00557A6F"/>
    <w:pPr>
      <w:keepNext w:val="0"/>
    </w:pPr>
  </w:style>
  <w:style w:type="paragraph" w:customStyle="1" w:styleId="tblTabelloverskrift">
    <w:name w:val="tblTabelloverskrift"/>
    <w:rsid w:val="00557A6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557A6F"/>
    <w:pPr>
      <w:spacing w:after="0"/>
      <w:jc w:val="right"/>
    </w:pPr>
    <w:rPr>
      <w:b w:val="0"/>
      <w:caps w:val="0"/>
      <w:sz w:val="16"/>
    </w:rPr>
  </w:style>
  <w:style w:type="paragraph" w:customStyle="1" w:styleId="tblKategoriOverskrift">
    <w:name w:val="tblKategoriOverskrift"/>
    <w:basedOn w:val="tblRad"/>
    <w:rsid w:val="00557A6F"/>
    <w:pPr>
      <w:spacing w:before="120"/>
    </w:pPr>
    <w:rPr>
      <w:b/>
    </w:rPr>
  </w:style>
  <w:style w:type="paragraph" w:customStyle="1" w:styleId="tblKolonneoverskrift">
    <w:name w:val="tblKolonneoverskrift"/>
    <w:basedOn w:val="Normal"/>
    <w:rsid w:val="00557A6F"/>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557A6F"/>
    <w:pPr>
      <w:spacing w:after="360"/>
      <w:jc w:val="center"/>
    </w:pPr>
    <w:rPr>
      <w:b w:val="0"/>
      <w:caps w:val="0"/>
    </w:rPr>
  </w:style>
  <w:style w:type="paragraph" w:customStyle="1" w:styleId="tblKolonneoverskrift-Vedtak">
    <w:name w:val="tblKolonneoverskrift - Vedtak"/>
    <w:basedOn w:val="tblTabelloverskrift-Vedtak"/>
    <w:rsid w:val="00557A6F"/>
    <w:pPr>
      <w:spacing w:after="0"/>
    </w:pPr>
  </w:style>
  <w:style w:type="paragraph" w:customStyle="1" w:styleId="tblOverskrift-Vedtak">
    <w:name w:val="tblOverskrift - Vedtak"/>
    <w:basedOn w:val="tblRad"/>
    <w:rsid w:val="00557A6F"/>
    <w:pPr>
      <w:spacing w:before="360"/>
      <w:jc w:val="center"/>
    </w:pPr>
  </w:style>
  <w:style w:type="paragraph" w:customStyle="1" w:styleId="tblRadBold">
    <w:name w:val="tblRadBold"/>
    <w:basedOn w:val="tblRad"/>
    <w:rsid w:val="00557A6F"/>
    <w:rPr>
      <w:b/>
    </w:rPr>
  </w:style>
  <w:style w:type="paragraph" w:customStyle="1" w:styleId="tblRadItalic">
    <w:name w:val="tblRadItalic"/>
    <w:basedOn w:val="tblRad"/>
    <w:rsid w:val="00557A6F"/>
    <w:rPr>
      <w:i/>
    </w:rPr>
  </w:style>
  <w:style w:type="paragraph" w:customStyle="1" w:styleId="tblRadItalicSiste">
    <w:name w:val="tblRadItalicSiste"/>
    <w:basedOn w:val="tblRadItalic"/>
    <w:rsid w:val="00557A6F"/>
  </w:style>
  <w:style w:type="paragraph" w:customStyle="1" w:styleId="tblRadMedLuft">
    <w:name w:val="tblRadMedLuft"/>
    <w:basedOn w:val="tblRad"/>
    <w:rsid w:val="00557A6F"/>
    <w:pPr>
      <w:spacing w:before="120"/>
    </w:pPr>
  </w:style>
  <w:style w:type="paragraph" w:customStyle="1" w:styleId="tblRadMedLuftSiste">
    <w:name w:val="tblRadMedLuftSiste"/>
    <w:basedOn w:val="tblRadMedLuft"/>
    <w:rsid w:val="00557A6F"/>
    <w:pPr>
      <w:spacing w:after="120"/>
    </w:pPr>
  </w:style>
  <w:style w:type="paragraph" w:customStyle="1" w:styleId="tblRadMedLuftSiste-Vedtak">
    <w:name w:val="tblRadMedLuftSiste - Vedtak"/>
    <w:basedOn w:val="tblRadMedLuftSiste"/>
    <w:rsid w:val="00557A6F"/>
    <w:pPr>
      <w:keepNext w:val="0"/>
    </w:pPr>
  </w:style>
  <w:style w:type="paragraph" w:customStyle="1" w:styleId="tblRadSiste">
    <w:name w:val="tblRadSiste"/>
    <w:basedOn w:val="tblRad"/>
    <w:rsid w:val="00557A6F"/>
  </w:style>
  <w:style w:type="paragraph" w:customStyle="1" w:styleId="tblSluttsum">
    <w:name w:val="tblSluttsum"/>
    <w:basedOn w:val="tblRad"/>
    <w:rsid w:val="00557A6F"/>
    <w:pPr>
      <w:spacing w:before="120"/>
    </w:pPr>
    <w:rPr>
      <w:b/>
      <w:i/>
    </w:rPr>
  </w:style>
  <w:style w:type="table" w:customStyle="1" w:styleId="StandardTabell">
    <w:name w:val="StandardTabell"/>
    <w:basedOn w:val="Vanligtabell"/>
    <w:uiPriority w:val="99"/>
    <w:qFormat/>
    <w:rsid w:val="00557A6F"/>
    <w:pPr>
      <w:spacing w:after="0" w:line="240"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557A6F"/>
    <w:pPr>
      <w:spacing w:after="0" w:line="240"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Avsenderadresse">
    <w:name w:val="envelope return"/>
    <w:basedOn w:val="Normal"/>
    <w:uiPriority w:val="99"/>
    <w:semiHidden/>
    <w:unhideWhenUsed/>
    <w:rsid w:val="00557A6F"/>
    <w:pPr>
      <w:spacing w:after="0"/>
    </w:pPr>
    <w:rPr>
      <w:rFonts w:ascii="Cambria" w:eastAsia="Times New Roman" w:hAnsi="Cambria"/>
      <w:sz w:val="20"/>
    </w:rPr>
  </w:style>
  <w:style w:type="paragraph" w:styleId="Bibliografi">
    <w:name w:val="Bibliography"/>
    <w:basedOn w:val="Normal"/>
    <w:next w:val="Normal"/>
    <w:uiPriority w:val="37"/>
    <w:semiHidden/>
    <w:unhideWhenUsed/>
    <w:rsid w:val="00557A6F"/>
  </w:style>
  <w:style w:type="paragraph" w:styleId="Bildetekst">
    <w:name w:val="caption"/>
    <w:basedOn w:val="Normal"/>
    <w:next w:val="Normal"/>
    <w:uiPriority w:val="35"/>
    <w:semiHidden/>
    <w:unhideWhenUsed/>
    <w:qFormat/>
    <w:rsid w:val="00557A6F"/>
    <w:pPr>
      <w:spacing w:after="200"/>
    </w:pPr>
    <w:rPr>
      <w:b/>
      <w:bCs/>
      <w:color w:val="4F81BD"/>
      <w:sz w:val="18"/>
      <w:szCs w:val="18"/>
    </w:rPr>
  </w:style>
  <w:style w:type="paragraph" w:styleId="Blokktekst">
    <w:name w:val="Block Text"/>
    <w:basedOn w:val="Normal"/>
    <w:uiPriority w:val="99"/>
    <w:semiHidden/>
    <w:unhideWhenUsed/>
    <w:rsid w:val="00557A6F"/>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Times New Roman" w:hAnsi="Calibri"/>
      <w:i/>
      <w:iCs/>
      <w:color w:val="4F81BD"/>
    </w:rPr>
  </w:style>
  <w:style w:type="paragraph" w:styleId="Bobletekst">
    <w:name w:val="Balloon Text"/>
    <w:basedOn w:val="Normal"/>
    <w:link w:val="BobletekstTegn"/>
    <w:uiPriority w:val="99"/>
    <w:unhideWhenUsed/>
    <w:rsid w:val="00557A6F"/>
    <w:pPr>
      <w:spacing w:after="0"/>
    </w:pPr>
    <w:rPr>
      <w:rFonts w:ascii="Tahoma" w:hAnsi="Tahoma" w:cs="Tahoma"/>
      <w:sz w:val="16"/>
      <w:szCs w:val="16"/>
    </w:rPr>
  </w:style>
  <w:style w:type="character" w:customStyle="1" w:styleId="BobletekstTegn">
    <w:name w:val="Bobletekst Tegn"/>
    <w:link w:val="Bobletekst"/>
    <w:uiPriority w:val="99"/>
    <w:rsid w:val="00557A6F"/>
    <w:rPr>
      <w:rFonts w:ascii="Tahoma" w:eastAsia="Batang" w:hAnsi="Tahoma" w:cs="Tahoma"/>
      <w:sz w:val="16"/>
      <w:szCs w:val="16"/>
    </w:rPr>
  </w:style>
  <w:style w:type="character" w:styleId="Boktittel">
    <w:name w:val="Book Title"/>
    <w:uiPriority w:val="33"/>
    <w:qFormat/>
    <w:rsid w:val="00557A6F"/>
    <w:rPr>
      <w:b/>
      <w:bCs/>
      <w:smallCaps/>
      <w:spacing w:val="5"/>
    </w:rPr>
  </w:style>
  <w:style w:type="paragraph" w:styleId="Brdtekst-frsteinnrykk">
    <w:name w:val="Body Text First Indent"/>
    <w:basedOn w:val="Brdtekst"/>
    <w:link w:val="Brdtekst-frsteinnrykkTegn"/>
    <w:uiPriority w:val="99"/>
    <w:semiHidden/>
    <w:unhideWhenUsed/>
    <w:rsid w:val="00557A6F"/>
    <w:pPr>
      <w:spacing w:before="0"/>
      <w:ind w:firstLine="360"/>
    </w:pPr>
  </w:style>
  <w:style w:type="character" w:customStyle="1" w:styleId="Brdtekst-frsteinnrykkTegn">
    <w:name w:val="Brødtekst - første innrykk Tegn"/>
    <w:link w:val="Brdtekst-frsteinnrykk"/>
    <w:uiPriority w:val="99"/>
    <w:semiHidden/>
    <w:rsid w:val="00557A6F"/>
    <w:rPr>
      <w:rFonts w:ascii="Times" w:eastAsia="Batang" w:hAnsi="Times" w:cs="Times New Roman"/>
      <w:sz w:val="24"/>
      <w:szCs w:val="20"/>
    </w:rPr>
  </w:style>
  <w:style w:type="paragraph" w:styleId="Brdtekstinnrykk">
    <w:name w:val="Body Text Indent"/>
    <w:basedOn w:val="Normal"/>
    <w:link w:val="BrdtekstinnrykkTegn"/>
    <w:uiPriority w:val="99"/>
    <w:semiHidden/>
    <w:unhideWhenUsed/>
    <w:rsid w:val="00557A6F"/>
    <w:pPr>
      <w:ind w:left="283"/>
    </w:pPr>
  </w:style>
  <w:style w:type="character" w:customStyle="1" w:styleId="BrdtekstinnrykkTegn">
    <w:name w:val="Brødtekstinnrykk Tegn"/>
    <w:link w:val="Brdtekstinnrykk"/>
    <w:uiPriority w:val="99"/>
    <w:semiHidden/>
    <w:rsid w:val="00557A6F"/>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semiHidden/>
    <w:unhideWhenUsed/>
    <w:rsid w:val="00557A6F"/>
    <w:pPr>
      <w:ind w:left="360" w:firstLine="360"/>
    </w:pPr>
  </w:style>
  <w:style w:type="character" w:customStyle="1" w:styleId="Brdtekst-frsteinnrykk2Tegn">
    <w:name w:val="Brødtekst - første innrykk 2 Tegn"/>
    <w:link w:val="Brdtekst-frsteinnrykk2"/>
    <w:uiPriority w:val="99"/>
    <w:semiHidden/>
    <w:rsid w:val="00557A6F"/>
    <w:rPr>
      <w:rFonts w:ascii="Times" w:eastAsia="Batang" w:hAnsi="Times" w:cs="Times New Roman"/>
      <w:sz w:val="24"/>
      <w:szCs w:val="20"/>
    </w:rPr>
  </w:style>
  <w:style w:type="paragraph" w:styleId="Brdtekst2">
    <w:name w:val="Body Text 2"/>
    <w:basedOn w:val="Normal"/>
    <w:link w:val="Brdtekst2Tegn"/>
    <w:uiPriority w:val="99"/>
    <w:semiHidden/>
    <w:unhideWhenUsed/>
    <w:rsid w:val="00557A6F"/>
    <w:pPr>
      <w:spacing w:line="480" w:lineRule="auto"/>
    </w:pPr>
  </w:style>
  <w:style w:type="character" w:customStyle="1" w:styleId="Brdtekst2Tegn">
    <w:name w:val="Brødtekst 2 Tegn"/>
    <w:link w:val="Brdtekst2"/>
    <w:uiPriority w:val="99"/>
    <w:semiHidden/>
    <w:rsid w:val="00557A6F"/>
    <w:rPr>
      <w:rFonts w:ascii="Times" w:eastAsia="Batang" w:hAnsi="Times" w:cs="Times New Roman"/>
      <w:sz w:val="24"/>
      <w:szCs w:val="20"/>
    </w:rPr>
  </w:style>
  <w:style w:type="paragraph" w:styleId="Brdtekst3">
    <w:name w:val="Body Text 3"/>
    <w:basedOn w:val="Normal"/>
    <w:link w:val="Brdtekst3Tegn"/>
    <w:uiPriority w:val="99"/>
    <w:semiHidden/>
    <w:unhideWhenUsed/>
    <w:rsid w:val="00557A6F"/>
    <w:rPr>
      <w:sz w:val="16"/>
      <w:szCs w:val="16"/>
    </w:rPr>
  </w:style>
  <w:style w:type="character" w:customStyle="1" w:styleId="Brdtekst3Tegn">
    <w:name w:val="Brødtekst 3 Tegn"/>
    <w:link w:val="Brdtekst3"/>
    <w:uiPriority w:val="99"/>
    <w:semiHidden/>
    <w:rsid w:val="00557A6F"/>
    <w:rPr>
      <w:rFonts w:ascii="Times" w:eastAsia="Batang" w:hAnsi="Times" w:cs="Times New Roman"/>
      <w:sz w:val="16"/>
      <w:szCs w:val="16"/>
    </w:rPr>
  </w:style>
  <w:style w:type="paragraph" w:styleId="Brdtekstinnrykk2">
    <w:name w:val="Body Text Indent 2"/>
    <w:basedOn w:val="Normal"/>
    <w:link w:val="Brdtekstinnrykk2Tegn"/>
    <w:uiPriority w:val="99"/>
    <w:semiHidden/>
    <w:unhideWhenUsed/>
    <w:rsid w:val="00557A6F"/>
    <w:pPr>
      <w:spacing w:line="480" w:lineRule="auto"/>
      <w:ind w:left="283"/>
    </w:pPr>
  </w:style>
  <w:style w:type="character" w:customStyle="1" w:styleId="Brdtekstinnrykk2Tegn">
    <w:name w:val="Brødtekstinnrykk 2 Tegn"/>
    <w:link w:val="Brdtekstinnrykk2"/>
    <w:uiPriority w:val="99"/>
    <w:semiHidden/>
    <w:rsid w:val="00557A6F"/>
    <w:rPr>
      <w:rFonts w:ascii="Times" w:eastAsia="Batang" w:hAnsi="Times" w:cs="Times New Roman"/>
      <w:sz w:val="24"/>
      <w:szCs w:val="20"/>
    </w:rPr>
  </w:style>
  <w:style w:type="paragraph" w:styleId="Brdtekstinnrykk3">
    <w:name w:val="Body Text Indent 3"/>
    <w:basedOn w:val="Normal"/>
    <w:link w:val="Brdtekstinnrykk3Tegn"/>
    <w:uiPriority w:val="99"/>
    <w:semiHidden/>
    <w:unhideWhenUsed/>
    <w:rsid w:val="00557A6F"/>
    <w:pPr>
      <w:ind w:left="283"/>
    </w:pPr>
    <w:rPr>
      <w:sz w:val="16"/>
      <w:szCs w:val="16"/>
    </w:rPr>
  </w:style>
  <w:style w:type="character" w:customStyle="1" w:styleId="Brdtekstinnrykk3Tegn">
    <w:name w:val="Brødtekstinnrykk 3 Tegn"/>
    <w:link w:val="Brdtekstinnrykk3"/>
    <w:uiPriority w:val="99"/>
    <w:semiHidden/>
    <w:rsid w:val="00557A6F"/>
    <w:rPr>
      <w:rFonts w:ascii="Times" w:eastAsia="Batang" w:hAnsi="Times" w:cs="Times New Roman"/>
      <w:sz w:val="16"/>
      <w:szCs w:val="16"/>
    </w:rPr>
  </w:style>
  <w:style w:type="paragraph" w:styleId="Dokumentkart">
    <w:name w:val="Document Map"/>
    <w:basedOn w:val="Normal"/>
    <w:link w:val="DokumentkartTegn"/>
    <w:uiPriority w:val="99"/>
    <w:semiHidden/>
    <w:unhideWhenUsed/>
    <w:rsid w:val="00557A6F"/>
    <w:pPr>
      <w:spacing w:after="0"/>
    </w:pPr>
    <w:rPr>
      <w:rFonts w:ascii="Tahoma" w:hAnsi="Tahoma" w:cs="Tahoma"/>
      <w:sz w:val="16"/>
      <w:szCs w:val="16"/>
    </w:rPr>
  </w:style>
  <w:style w:type="character" w:customStyle="1" w:styleId="DokumentkartTegn">
    <w:name w:val="Dokumentkart Tegn"/>
    <w:link w:val="Dokumentkart"/>
    <w:uiPriority w:val="99"/>
    <w:semiHidden/>
    <w:rsid w:val="00557A6F"/>
    <w:rPr>
      <w:rFonts w:ascii="Tahoma" w:eastAsia="Batang" w:hAnsi="Tahoma" w:cs="Tahoma"/>
      <w:sz w:val="16"/>
      <w:szCs w:val="16"/>
    </w:rPr>
  </w:style>
  <w:style w:type="paragraph" w:styleId="E-postsignatur">
    <w:name w:val="E-mail Signature"/>
    <w:basedOn w:val="Normal"/>
    <w:link w:val="E-postsignaturTegn"/>
    <w:uiPriority w:val="99"/>
    <w:semiHidden/>
    <w:unhideWhenUsed/>
    <w:rsid w:val="00557A6F"/>
    <w:pPr>
      <w:spacing w:after="0"/>
    </w:pPr>
  </w:style>
  <w:style w:type="character" w:customStyle="1" w:styleId="E-postsignaturTegn">
    <w:name w:val="E-postsignatur Tegn"/>
    <w:link w:val="E-postsignatur"/>
    <w:uiPriority w:val="99"/>
    <w:semiHidden/>
    <w:rsid w:val="00557A6F"/>
    <w:rPr>
      <w:rFonts w:ascii="Times" w:eastAsia="Batang" w:hAnsi="Times" w:cs="Times New Roman"/>
      <w:sz w:val="24"/>
      <w:szCs w:val="20"/>
    </w:rPr>
  </w:style>
  <w:style w:type="paragraph" w:styleId="Figurliste">
    <w:name w:val="table of figures"/>
    <w:basedOn w:val="Normal"/>
    <w:next w:val="Normal"/>
    <w:uiPriority w:val="99"/>
    <w:semiHidden/>
    <w:unhideWhenUsed/>
    <w:rsid w:val="00557A6F"/>
    <w:pPr>
      <w:spacing w:after="0"/>
    </w:pPr>
  </w:style>
  <w:style w:type="character" w:styleId="Fulgthyperkobling">
    <w:name w:val="FollowedHyperlink"/>
    <w:uiPriority w:val="99"/>
    <w:semiHidden/>
    <w:unhideWhenUsed/>
    <w:rsid w:val="00557A6F"/>
    <w:rPr>
      <w:color w:val="800080"/>
      <w:u w:val="single"/>
    </w:rPr>
  </w:style>
  <w:style w:type="paragraph" w:styleId="Hilsen">
    <w:name w:val="Closing"/>
    <w:basedOn w:val="Normal"/>
    <w:link w:val="HilsenTegn"/>
    <w:uiPriority w:val="99"/>
    <w:semiHidden/>
    <w:unhideWhenUsed/>
    <w:rsid w:val="00557A6F"/>
    <w:pPr>
      <w:spacing w:after="0"/>
      <w:ind w:left="4252"/>
    </w:pPr>
  </w:style>
  <w:style w:type="character" w:customStyle="1" w:styleId="HilsenTegn">
    <w:name w:val="Hilsen Tegn"/>
    <w:link w:val="Hilsen"/>
    <w:uiPriority w:val="99"/>
    <w:semiHidden/>
    <w:rsid w:val="00557A6F"/>
    <w:rPr>
      <w:rFonts w:ascii="Times" w:eastAsia="Batang" w:hAnsi="Times" w:cs="Times New Roman"/>
      <w:sz w:val="24"/>
      <w:szCs w:val="20"/>
    </w:rPr>
  </w:style>
  <w:style w:type="paragraph" w:styleId="HTML-adresse">
    <w:name w:val="HTML Address"/>
    <w:basedOn w:val="Normal"/>
    <w:link w:val="HTML-adresseTegn"/>
    <w:uiPriority w:val="99"/>
    <w:semiHidden/>
    <w:unhideWhenUsed/>
    <w:rsid w:val="00557A6F"/>
    <w:pPr>
      <w:spacing w:after="0"/>
    </w:pPr>
    <w:rPr>
      <w:i/>
      <w:iCs/>
    </w:rPr>
  </w:style>
  <w:style w:type="character" w:customStyle="1" w:styleId="HTML-adresseTegn">
    <w:name w:val="HTML-adresse Tegn"/>
    <w:link w:val="HTML-adresse"/>
    <w:uiPriority w:val="99"/>
    <w:semiHidden/>
    <w:rsid w:val="00557A6F"/>
    <w:rPr>
      <w:rFonts w:ascii="Times" w:eastAsia="Batang" w:hAnsi="Times" w:cs="Times New Roman"/>
      <w:i/>
      <w:iCs/>
      <w:sz w:val="24"/>
      <w:szCs w:val="20"/>
    </w:rPr>
  </w:style>
  <w:style w:type="character" w:styleId="HTML-akronym">
    <w:name w:val="HTML Acronym"/>
    <w:uiPriority w:val="99"/>
    <w:semiHidden/>
    <w:unhideWhenUsed/>
    <w:rsid w:val="00557A6F"/>
  </w:style>
  <w:style w:type="character" w:styleId="HTML-definisjon">
    <w:name w:val="HTML Definition"/>
    <w:uiPriority w:val="99"/>
    <w:semiHidden/>
    <w:unhideWhenUsed/>
    <w:rsid w:val="00557A6F"/>
    <w:rPr>
      <w:i/>
      <w:iCs/>
    </w:rPr>
  </w:style>
  <w:style w:type="character" w:styleId="HTML-eksempel">
    <w:name w:val="HTML Sample"/>
    <w:uiPriority w:val="99"/>
    <w:semiHidden/>
    <w:unhideWhenUsed/>
    <w:rsid w:val="00557A6F"/>
    <w:rPr>
      <w:rFonts w:ascii="Consolas" w:hAnsi="Consolas"/>
      <w:sz w:val="24"/>
      <w:szCs w:val="24"/>
    </w:rPr>
  </w:style>
  <w:style w:type="paragraph" w:styleId="HTML-forhndsformatert">
    <w:name w:val="HTML Preformatted"/>
    <w:basedOn w:val="Normal"/>
    <w:link w:val="HTML-forhndsformatertTegn"/>
    <w:uiPriority w:val="99"/>
    <w:semiHidden/>
    <w:unhideWhenUsed/>
    <w:rsid w:val="00557A6F"/>
    <w:pPr>
      <w:spacing w:after="0"/>
    </w:pPr>
    <w:rPr>
      <w:rFonts w:ascii="Consolas" w:hAnsi="Consolas"/>
      <w:sz w:val="20"/>
    </w:rPr>
  </w:style>
  <w:style w:type="character" w:customStyle="1" w:styleId="HTML-forhndsformatertTegn">
    <w:name w:val="HTML-forhåndsformatert Tegn"/>
    <w:link w:val="HTML-forhndsformatert"/>
    <w:uiPriority w:val="99"/>
    <w:semiHidden/>
    <w:rsid w:val="00557A6F"/>
    <w:rPr>
      <w:rFonts w:ascii="Consolas" w:eastAsia="Batang" w:hAnsi="Consolas" w:cs="Times New Roman"/>
      <w:sz w:val="20"/>
      <w:szCs w:val="20"/>
    </w:rPr>
  </w:style>
  <w:style w:type="character" w:styleId="HTML-kode">
    <w:name w:val="HTML Code"/>
    <w:uiPriority w:val="99"/>
    <w:semiHidden/>
    <w:unhideWhenUsed/>
    <w:rsid w:val="00557A6F"/>
    <w:rPr>
      <w:rFonts w:ascii="Consolas" w:hAnsi="Consolas"/>
      <w:sz w:val="20"/>
      <w:szCs w:val="20"/>
    </w:rPr>
  </w:style>
  <w:style w:type="character" w:styleId="HTML-sitat">
    <w:name w:val="HTML Cite"/>
    <w:uiPriority w:val="99"/>
    <w:semiHidden/>
    <w:unhideWhenUsed/>
    <w:rsid w:val="00557A6F"/>
    <w:rPr>
      <w:i/>
      <w:iCs/>
    </w:rPr>
  </w:style>
  <w:style w:type="character" w:styleId="HTML-skrivemaskin">
    <w:name w:val="HTML Typewriter"/>
    <w:uiPriority w:val="99"/>
    <w:semiHidden/>
    <w:unhideWhenUsed/>
    <w:rsid w:val="00557A6F"/>
    <w:rPr>
      <w:rFonts w:ascii="Consolas" w:hAnsi="Consolas"/>
      <w:sz w:val="20"/>
      <w:szCs w:val="20"/>
    </w:rPr>
  </w:style>
  <w:style w:type="character" w:styleId="HTML-tastatur">
    <w:name w:val="HTML Keyboard"/>
    <w:uiPriority w:val="99"/>
    <w:semiHidden/>
    <w:unhideWhenUsed/>
    <w:rsid w:val="00557A6F"/>
    <w:rPr>
      <w:rFonts w:ascii="Consolas" w:hAnsi="Consolas"/>
      <w:sz w:val="20"/>
      <w:szCs w:val="20"/>
    </w:rPr>
  </w:style>
  <w:style w:type="character" w:styleId="HTML-variabel">
    <w:name w:val="HTML Variable"/>
    <w:uiPriority w:val="99"/>
    <w:semiHidden/>
    <w:unhideWhenUsed/>
    <w:rsid w:val="00557A6F"/>
    <w:rPr>
      <w:i/>
      <w:iCs/>
    </w:rPr>
  </w:style>
  <w:style w:type="paragraph" w:styleId="Indeks1">
    <w:name w:val="index 1"/>
    <w:basedOn w:val="Normal"/>
    <w:next w:val="Normal"/>
    <w:autoRedefine/>
    <w:uiPriority w:val="99"/>
    <w:semiHidden/>
    <w:unhideWhenUsed/>
    <w:rsid w:val="00557A6F"/>
    <w:pPr>
      <w:spacing w:after="0"/>
      <w:ind w:left="240" w:hanging="240"/>
    </w:pPr>
  </w:style>
  <w:style w:type="paragraph" w:styleId="Indeks2">
    <w:name w:val="index 2"/>
    <w:basedOn w:val="Normal"/>
    <w:next w:val="Normal"/>
    <w:autoRedefine/>
    <w:uiPriority w:val="99"/>
    <w:semiHidden/>
    <w:unhideWhenUsed/>
    <w:rsid w:val="00557A6F"/>
    <w:pPr>
      <w:spacing w:after="0"/>
      <w:ind w:left="480" w:hanging="240"/>
    </w:pPr>
  </w:style>
  <w:style w:type="paragraph" w:styleId="Indeks3">
    <w:name w:val="index 3"/>
    <w:basedOn w:val="Normal"/>
    <w:next w:val="Normal"/>
    <w:autoRedefine/>
    <w:uiPriority w:val="99"/>
    <w:semiHidden/>
    <w:unhideWhenUsed/>
    <w:rsid w:val="00557A6F"/>
    <w:pPr>
      <w:spacing w:after="0"/>
      <w:ind w:left="720" w:hanging="240"/>
    </w:pPr>
  </w:style>
  <w:style w:type="paragraph" w:styleId="Indeks4">
    <w:name w:val="index 4"/>
    <w:basedOn w:val="Normal"/>
    <w:next w:val="Normal"/>
    <w:autoRedefine/>
    <w:uiPriority w:val="99"/>
    <w:semiHidden/>
    <w:unhideWhenUsed/>
    <w:rsid w:val="00557A6F"/>
    <w:pPr>
      <w:spacing w:after="0"/>
      <w:ind w:left="960" w:hanging="240"/>
    </w:pPr>
  </w:style>
  <w:style w:type="paragraph" w:styleId="Indeks5">
    <w:name w:val="index 5"/>
    <w:basedOn w:val="Normal"/>
    <w:next w:val="Normal"/>
    <w:autoRedefine/>
    <w:uiPriority w:val="99"/>
    <w:semiHidden/>
    <w:unhideWhenUsed/>
    <w:rsid w:val="00557A6F"/>
    <w:pPr>
      <w:spacing w:after="0"/>
      <w:ind w:left="1200" w:hanging="240"/>
    </w:pPr>
  </w:style>
  <w:style w:type="paragraph" w:styleId="Indeks6">
    <w:name w:val="index 6"/>
    <w:basedOn w:val="Normal"/>
    <w:next w:val="Normal"/>
    <w:autoRedefine/>
    <w:uiPriority w:val="99"/>
    <w:semiHidden/>
    <w:unhideWhenUsed/>
    <w:rsid w:val="00557A6F"/>
    <w:pPr>
      <w:spacing w:after="0"/>
      <w:ind w:left="1440" w:hanging="240"/>
    </w:pPr>
  </w:style>
  <w:style w:type="paragraph" w:styleId="Indeks7">
    <w:name w:val="index 7"/>
    <w:basedOn w:val="Normal"/>
    <w:next w:val="Normal"/>
    <w:autoRedefine/>
    <w:uiPriority w:val="99"/>
    <w:semiHidden/>
    <w:unhideWhenUsed/>
    <w:rsid w:val="00557A6F"/>
    <w:pPr>
      <w:spacing w:after="0"/>
      <w:ind w:left="1680" w:hanging="240"/>
    </w:pPr>
  </w:style>
  <w:style w:type="paragraph" w:styleId="Indeks8">
    <w:name w:val="index 8"/>
    <w:basedOn w:val="Normal"/>
    <w:next w:val="Normal"/>
    <w:autoRedefine/>
    <w:uiPriority w:val="99"/>
    <w:semiHidden/>
    <w:unhideWhenUsed/>
    <w:rsid w:val="00557A6F"/>
    <w:pPr>
      <w:spacing w:after="0"/>
      <w:ind w:left="1920" w:hanging="240"/>
    </w:pPr>
  </w:style>
  <w:style w:type="paragraph" w:styleId="Indeks9">
    <w:name w:val="index 9"/>
    <w:basedOn w:val="Normal"/>
    <w:next w:val="Normal"/>
    <w:autoRedefine/>
    <w:uiPriority w:val="99"/>
    <w:semiHidden/>
    <w:unhideWhenUsed/>
    <w:rsid w:val="00557A6F"/>
    <w:pPr>
      <w:spacing w:after="0"/>
      <w:ind w:left="2160" w:hanging="240"/>
    </w:pPr>
  </w:style>
  <w:style w:type="paragraph" w:styleId="Ingenmellomrom">
    <w:name w:val="No Spacing"/>
    <w:uiPriority w:val="1"/>
    <w:qFormat/>
    <w:rsid w:val="00557A6F"/>
    <w:pPr>
      <w:spacing w:after="0" w:line="240" w:lineRule="auto"/>
    </w:pPr>
    <w:rPr>
      <w:rFonts w:ascii="Times" w:eastAsia="Batang" w:hAnsi="Times" w:cs="Times New Roman"/>
      <w:sz w:val="24"/>
      <w:szCs w:val="20"/>
    </w:rPr>
  </w:style>
  <w:style w:type="paragraph" w:styleId="INNH6">
    <w:name w:val="toc 6"/>
    <w:basedOn w:val="Normal"/>
    <w:next w:val="Normal"/>
    <w:autoRedefine/>
    <w:uiPriority w:val="39"/>
    <w:semiHidden/>
    <w:unhideWhenUsed/>
    <w:rsid w:val="00557A6F"/>
    <w:pPr>
      <w:spacing w:after="100"/>
      <w:ind w:left="1200"/>
    </w:pPr>
  </w:style>
  <w:style w:type="paragraph" w:styleId="INNH7">
    <w:name w:val="toc 7"/>
    <w:basedOn w:val="Normal"/>
    <w:next w:val="Normal"/>
    <w:autoRedefine/>
    <w:uiPriority w:val="39"/>
    <w:semiHidden/>
    <w:unhideWhenUsed/>
    <w:rsid w:val="00557A6F"/>
    <w:pPr>
      <w:spacing w:after="100"/>
      <w:ind w:left="1440"/>
    </w:pPr>
  </w:style>
  <w:style w:type="paragraph" w:styleId="INNH8">
    <w:name w:val="toc 8"/>
    <w:basedOn w:val="Normal"/>
    <w:next w:val="Normal"/>
    <w:autoRedefine/>
    <w:uiPriority w:val="39"/>
    <w:semiHidden/>
    <w:unhideWhenUsed/>
    <w:rsid w:val="00557A6F"/>
    <w:pPr>
      <w:spacing w:after="100"/>
      <w:ind w:left="1680"/>
    </w:pPr>
  </w:style>
  <w:style w:type="paragraph" w:styleId="INNH9">
    <w:name w:val="toc 9"/>
    <w:basedOn w:val="Normal"/>
    <w:next w:val="Normal"/>
    <w:autoRedefine/>
    <w:uiPriority w:val="39"/>
    <w:semiHidden/>
    <w:unhideWhenUsed/>
    <w:rsid w:val="00557A6F"/>
    <w:pPr>
      <w:spacing w:after="100"/>
      <w:ind w:left="1920"/>
    </w:pPr>
  </w:style>
  <w:style w:type="paragraph" w:styleId="Innledendehilsen">
    <w:name w:val="Salutation"/>
    <w:basedOn w:val="Normal"/>
    <w:next w:val="Normal"/>
    <w:link w:val="InnledendehilsenTegn"/>
    <w:uiPriority w:val="99"/>
    <w:semiHidden/>
    <w:unhideWhenUsed/>
    <w:rsid w:val="00557A6F"/>
  </w:style>
  <w:style w:type="character" w:customStyle="1" w:styleId="InnledendehilsenTegn">
    <w:name w:val="Innledende hilsen Tegn"/>
    <w:link w:val="Innledendehilsen"/>
    <w:uiPriority w:val="99"/>
    <w:semiHidden/>
    <w:rsid w:val="00557A6F"/>
    <w:rPr>
      <w:rFonts w:ascii="Times" w:eastAsia="Batang" w:hAnsi="Times" w:cs="Times New Roman"/>
      <w:sz w:val="24"/>
      <w:szCs w:val="20"/>
    </w:rPr>
  </w:style>
  <w:style w:type="paragraph" w:styleId="Kildeliste">
    <w:name w:val="table of authorities"/>
    <w:basedOn w:val="Normal"/>
    <w:next w:val="Normal"/>
    <w:uiPriority w:val="99"/>
    <w:semiHidden/>
    <w:unhideWhenUsed/>
    <w:rsid w:val="00557A6F"/>
    <w:pPr>
      <w:spacing w:after="0"/>
      <w:ind w:left="240" w:hanging="240"/>
    </w:pPr>
  </w:style>
  <w:style w:type="paragraph" w:styleId="Kildelisteoverskrift">
    <w:name w:val="toa heading"/>
    <w:basedOn w:val="Normal"/>
    <w:next w:val="Normal"/>
    <w:uiPriority w:val="99"/>
    <w:semiHidden/>
    <w:unhideWhenUsed/>
    <w:rsid w:val="00557A6F"/>
    <w:pPr>
      <w:spacing w:before="120"/>
    </w:pPr>
    <w:rPr>
      <w:rFonts w:ascii="Cambria" w:eastAsia="Times New Roman" w:hAnsi="Cambria"/>
      <w:b/>
      <w:bCs/>
      <w:szCs w:val="24"/>
    </w:rPr>
  </w:style>
  <w:style w:type="paragraph" w:styleId="Kommentaremne">
    <w:name w:val="annotation subject"/>
    <w:basedOn w:val="Merknadstekst"/>
    <w:next w:val="Merknadstekst"/>
    <w:link w:val="KommentaremneTegn"/>
    <w:uiPriority w:val="99"/>
    <w:semiHidden/>
    <w:unhideWhenUsed/>
    <w:rsid w:val="00557A6F"/>
    <w:rPr>
      <w:b/>
      <w:bCs/>
    </w:rPr>
  </w:style>
  <w:style w:type="character" w:customStyle="1" w:styleId="KommentaremneTegn">
    <w:name w:val="Kommentaremne Tegn"/>
    <w:link w:val="Kommentaremne"/>
    <w:uiPriority w:val="99"/>
    <w:semiHidden/>
    <w:rsid w:val="00557A6F"/>
    <w:rPr>
      <w:rFonts w:ascii="Times" w:eastAsia="Batang" w:hAnsi="Times" w:cs="Times New Roman"/>
      <w:b/>
      <w:bCs/>
      <w:sz w:val="20"/>
      <w:szCs w:val="20"/>
    </w:rPr>
  </w:style>
  <w:style w:type="paragraph" w:styleId="Konvoluttadresse">
    <w:name w:val="envelope address"/>
    <w:basedOn w:val="Normal"/>
    <w:uiPriority w:val="99"/>
    <w:semiHidden/>
    <w:unhideWhenUsed/>
    <w:rsid w:val="00557A6F"/>
    <w:pPr>
      <w:framePr w:w="7920" w:h="1980" w:hRule="exact" w:hSpace="141" w:wrap="auto" w:hAnchor="page" w:xAlign="center" w:yAlign="bottom"/>
      <w:spacing w:after="0"/>
      <w:ind w:left="2880"/>
    </w:pPr>
    <w:rPr>
      <w:rFonts w:ascii="Cambria" w:eastAsia="Times New Roman" w:hAnsi="Cambria"/>
      <w:szCs w:val="24"/>
    </w:rPr>
  </w:style>
  <w:style w:type="character" w:styleId="Linjenummer">
    <w:name w:val="line number"/>
    <w:uiPriority w:val="99"/>
    <w:semiHidden/>
    <w:unhideWhenUsed/>
    <w:rsid w:val="00557A6F"/>
  </w:style>
  <w:style w:type="paragraph" w:styleId="Liste-forts">
    <w:name w:val="List Continue"/>
    <w:basedOn w:val="Normal"/>
    <w:uiPriority w:val="99"/>
    <w:semiHidden/>
    <w:unhideWhenUsed/>
    <w:rsid w:val="00557A6F"/>
    <w:pPr>
      <w:ind w:left="283"/>
      <w:contextualSpacing/>
    </w:pPr>
  </w:style>
  <w:style w:type="paragraph" w:styleId="Liste-forts2">
    <w:name w:val="List Continue 2"/>
    <w:basedOn w:val="Normal"/>
    <w:uiPriority w:val="99"/>
    <w:semiHidden/>
    <w:unhideWhenUsed/>
    <w:rsid w:val="00557A6F"/>
    <w:pPr>
      <w:ind w:left="566"/>
      <w:contextualSpacing/>
    </w:pPr>
  </w:style>
  <w:style w:type="paragraph" w:styleId="Liste-forts3">
    <w:name w:val="List Continue 3"/>
    <w:basedOn w:val="Normal"/>
    <w:uiPriority w:val="99"/>
    <w:semiHidden/>
    <w:unhideWhenUsed/>
    <w:rsid w:val="00557A6F"/>
    <w:pPr>
      <w:ind w:left="849"/>
      <w:contextualSpacing/>
    </w:pPr>
  </w:style>
  <w:style w:type="paragraph" w:styleId="Liste-forts4">
    <w:name w:val="List Continue 4"/>
    <w:basedOn w:val="Normal"/>
    <w:uiPriority w:val="99"/>
    <w:semiHidden/>
    <w:unhideWhenUsed/>
    <w:rsid w:val="00557A6F"/>
    <w:pPr>
      <w:ind w:left="1132"/>
      <w:contextualSpacing/>
    </w:pPr>
  </w:style>
  <w:style w:type="paragraph" w:styleId="Liste-forts5">
    <w:name w:val="List Continue 5"/>
    <w:basedOn w:val="Normal"/>
    <w:uiPriority w:val="99"/>
    <w:semiHidden/>
    <w:unhideWhenUsed/>
    <w:rsid w:val="00557A6F"/>
    <w:pPr>
      <w:ind w:left="1415"/>
      <w:contextualSpacing/>
    </w:pPr>
  </w:style>
  <w:style w:type="paragraph" w:styleId="Makrotekst">
    <w:name w:val="macro"/>
    <w:link w:val="MakrotekstTegn"/>
    <w:uiPriority w:val="99"/>
    <w:semiHidden/>
    <w:unhideWhenUsed/>
    <w:rsid w:val="00557A6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Batang" w:hAnsi="Consolas" w:cs="Times New Roman"/>
      <w:sz w:val="20"/>
      <w:szCs w:val="20"/>
    </w:rPr>
  </w:style>
  <w:style w:type="character" w:customStyle="1" w:styleId="MakrotekstTegn">
    <w:name w:val="Makrotekst Tegn"/>
    <w:link w:val="Makrotekst"/>
    <w:uiPriority w:val="99"/>
    <w:semiHidden/>
    <w:rsid w:val="00557A6F"/>
    <w:rPr>
      <w:rFonts w:ascii="Consolas" w:eastAsia="Batang" w:hAnsi="Consolas" w:cs="Times New Roman"/>
      <w:sz w:val="20"/>
      <w:szCs w:val="20"/>
    </w:rPr>
  </w:style>
  <w:style w:type="paragraph" w:styleId="Meldingshode">
    <w:name w:val="Message Header"/>
    <w:basedOn w:val="Normal"/>
    <w:link w:val="MeldingshodeTegn"/>
    <w:uiPriority w:val="99"/>
    <w:semiHidden/>
    <w:unhideWhenUsed/>
    <w:rsid w:val="00557A6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Times New Roman" w:hAnsi="Cambria"/>
      <w:szCs w:val="24"/>
    </w:rPr>
  </w:style>
  <w:style w:type="character" w:customStyle="1" w:styleId="MeldingshodeTegn">
    <w:name w:val="Meldingshode Tegn"/>
    <w:link w:val="Meldingshode"/>
    <w:uiPriority w:val="99"/>
    <w:semiHidden/>
    <w:rsid w:val="00557A6F"/>
    <w:rPr>
      <w:rFonts w:ascii="Cambria" w:eastAsia="Times New Roman" w:hAnsi="Cambria" w:cs="Times New Roman"/>
      <w:sz w:val="24"/>
      <w:szCs w:val="24"/>
      <w:shd w:val="pct20" w:color="auto" w:fill="auto"/>
    </w:rPr>
  </w:style>
  <w:style w:type="paragraph" w:styleId="Notatoverskrift">
    <w:name w:val="Note Heading"/>
    <w:basedOn w:val="Normal"/>
    <w:next w:val="Normal"/>
    <w:link w:val="NotatoverskriftTegn"/>
    <w:uiPriority w:val="99"/>
    <w:semiHidden/>
    <w:unhideWhenUsed/>
    <w:rsid w:val="00557A6F"/>
    <w:pPr>
      <w:spacing w:after="0"/>
    </w:pPr>
  </w:style>
  <w:style w:type="character" w:customStyle="1" w:styleId="NotatoverskriftTegn">
    <w:name w:val="Notatoverskrift Tegn"/>
    <w:link w:val="Notatoverskrift"/>
    <w:uiPriority w:val="99"/>
    <w:semiHidden/>
    <w:rsid w:val="00557A6F"/>
    <w:rPr>
      <w:rFonts w:ascii="Times" w:eastAsia="Batang" w:hAnsi="Times" w:cs="Times New Roman"/>
      <w:sz w:val="24"/>
      <w:szCs w:val="20"/>
    </w:rPr>
  </w:style>
  <w:style w:type="paragraph" w:styleId="Overskriftforinnholdsfortegnelse">
    <w:name w:val="TOC Heading"/>
    <w:basedOn w:val="Overskrift1"/>
    <w:next w:val="Normal"/>
    <w:uiPriority w:val="39"/>
    <w:semiHidden/>
    <w:unhideWhenUsed/>
    <w:qFormat/>
    <w:rsid w:val="00557A6F"/>
    <w:pPr>
      <w:keepLines/>
      <w:numPr>
        <w:numId w:val="0"/>
      </w:numPr>
      <w:spacing w:before="480" w:after="0"/>
      <w:jc w:val="left"/>
      <w:outlineLvl w:val="9"/>
    </w:pPr>
    <w:rPr>
      <w:rFonts w:ascii="Cambria" w:eastAsia="Times New Roman" w:hAnsi="Cambria"/>
      <w:bCs/>
      <w:color w:val="365F91"/>
      <w:kern w:val="0"/>
      <w:sz w:val="28"/>
      <w:szCs w:val="28"/>
    </w:rPr>
  </w:style>
  <w:style w:type="character" w:styleId="Sluttnotereferanse">
    <w:name w:val="endnote reference"/>
    <w:uiPriority w:val="99"/>
    <w:semiHidden/>
    <w:unhideWhenUsed/>
    <w:rsid w:val="00557A6F"/>
    <w:rPr>
      <w:vertAlign w:val="superscript"/>
    </w:rPr>
  </w:style>
  <w:style w:type="paragraph" w:styleId="Sluttnotetekst">
    <w:name w:val="endnote text"/>
    <w:basedOn w:val="Normal"/>
    <w:link w:val="SluttnotetekstTegn"/>
    <w:uiPriority w:val="99"/>
    <w:semiHidden/>
    <w:unhideWhenUsed/>
    <w:rsid w:val="00557A6F"/>
    <w:pPr>
      <w:spacing w:after="0"/>
    </w:pPr>
    <w:rPr>
      <w:sz w:val="20"/>
    </w:rPr>
  </w:style>
  <w:style w:type="character" w:customStyle="1" w:styleId="SluttnotetekstTegn1">
    <w:name w:val="Sluttnotetekst Tegn1"/>
    <w:basedOn w:val="Standardskriftforavsnitt"/>
    <w:uiPriority w:val="99"/>
    <w:semiHidden/>
    <w:rsid w:val="00557A6F"/>
    <w:rPr>
      <w:rFonts w:ascii="Times" w:eastAsia="Batang" w:hAnsi="Times" w:cs="Times New Roman"/>
      <w:sz w:val="20"/>
      <w:szCs w:val="20"/>
    </w:rPr>
  </w:style>
  <w:style w:type="character" w:styleId="Sterkreferanse">
    <w:name w:val="Intense Reference"/>
    <w:uiPriority w:val="32"/>
    <w:qFormat/>
    <w:rsid w:val="00557A6F"/>
    <w:rPr>
      <w:b/>
      <w:bCs/>
      <w:smallCaps/>
      <w:color w:val="C0504D"/>
      <w:spacing w:val="5"/>
      <w:u w:val="single"/>
    </w:rPr>
  </w:style>
  <w:style w:type="character" w:styleId="Sterkutheving">
    <w:name w:val="Intense Emphasis"/>
    <w:uiPriority w:val="21"/>
    <w:qFormat/>
    <w:rsid w:val="00557A6F"/>
    <w:rPr>
      <w:b/>
      <w:bCs/>
      <w:i/>
      <w:iCs/>
      <w:color w:val="4F81BD"/>
    </w:rPr>
  </w:style>
  <w:style w:type="paragraph" w:styleId="Sterktsitat">
    <w:name w:val="Intense Quote"/>
    <w:basedOn w:val="Normal"/>
    <w:next w:val="Normal"/>
    <w:link w:val="SterktsitatTegn"/>
    <w:uiPriority w:val="30"/>
    <w:qFormat/>
    <w:rsid w:val="00557A6F"/>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557A6F"/>
    <w:rPr>
      <w:rFonts w:ascii="Times" w:eastAsia="Batang" w:hAnsi="Times" w:cs="Times New Roman"/>
      <w:b/>
      <w:bCs/>
      <w:i/>
      <w:iCs/>
      <w:color w:val="4F81BD" w:themeColor="accent1"/>
      <w:sz w:val="24"/>
      <w:szCs w:val="20"/>
    </w:rPr>
  </w:style>
  <w:style w:type="paragraph" w:styleId="Stikkordregisteroverskrift">
    <w:name w:val="index heading"/>
    <w:basedOn w:val="Normal"/>
    <w:next w:val="Indeks1"/>
    <w:uiPriority w:val="99"/>
    <w:semiHidden/>
    <w:unhideWhenUsed/>
    <w:rsid w:val="00557A6F"/>
    <w:rPr>
      <w:rFonts w:ascii="Cambria" w:eastAsia="Times New Roman" w:hAnsi="Cambria"/>
      <w:b/>
      <w:bCs/>
    </w:rPr>
  </w:style>
  <w:style w:type="character" w:styleId="Svakreferanse">
    <w:name w:val="Subtle Reference"/>
    <w:uiPriority w:val="31"/>
    <w:qFormat/>
    <w:rsid w:val="00557A6F"/>
    <w:rPr>
      <w:smallCaps/>
      <w:color w:val="C0504D"/>
      <w:u w:val="single"/>
    </w:rPr>
  </w:style>
  <w:style w:type="character" w:styleId="Svakutheving">
    <w:name w:val="Subtle Emphasis"/>
    <w:uiPriority w:val="19"/>
    <w:qFormat/>
    <w:rsid w:val="00557A6F"/>
    <w:rPr>
      <w:i/>
      <w:iCs/>
      <w:color w:val="808080"/>
    </w:rPr>
  </w:style>
  <w:style w:type="paragraph" w:styleId="Tittel">
    <w:name w:val="Title"/>
    <w:basedOn w:val="Normal"/>
    <w:next w:val="Normal"/>
    <w:link w:val="TittelTegn"/>
    <w:uiPriority w:val="10"/>
    <w:qFormat/>
    <w:rsid w:val="00557A6F"/>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telTegn">
    <w:name w:val="Tittel Tegn"/>
    <w:link w:val="Tittel"/>
    <w:uiPriority w:val="10"/>
    <w:rsid w:val="00557A6F"/>
    <w:rPr>
      <w:rFonts w:ascii="Cambria" w:eastAsia="Times New Roman" w:hAnsi="Cambria" w:cs="Times New Roman"/>
      <w:color w:val="17365D"/>
      <w:spacing w:val="5"/>
      <w:kern w:val="28"/>
      <w:sz w:val="52"/>
      <w:szCs w:val="52"/>
    </w:rPr>
  </w:style>
  <w:style w:type="paragraph" w:styleId="Underskrift">
    <w:name w:val="Signature"/>
    <w:basedOn w:val="Normal"/>
    <w:link w:val="UnderskriftTegn"/>
    <w:uiPriority w:val="99"/>
    <w:semiHidden/>
    <w:unhideWhenUsed/>
    <w:rsid w:val="00557A6F"/>
    <w:pPr>
      <w:spacing w:after="0"/>
      <w:ind w:left="4252"/>
    </w:pPr>
  </w:style>
  <w:style w:type="character" w:customStyle="1" w:styleId="UnderskriftTegn1">
    <w:name w:val="Underskrift Tegn1"/>
    <w:basedOn w:val="Standardskriftforavsnitt"/>
    <w:uiPriority w:val="99"/>
    <w:semiHidden/>
    <w:rsid w:val="00557A6F"/>
    <w:rPr>
      <w:rFonts w:ascii="Times" w:eastAsia="Batang" w:hAnsi="Times" w:cs="Times New Roman"/>
      <w:sz w:val="24"/>
      <w:szCs w:val="20"/>
    </w:rPr>
  </w:style>
  <w:style w:type="character" w:styleId="Utheving">
    <w:name w:val="Emphasis"/>
    <w:uiPriority w:val="20"/>
    <w:qFormat/>
    <w:rsid w:val="00557A6F"/>
    <w:rPr>
      <w:i/>
      <w:iCs/>
    </w:rPr>
  </w:style>
  <w:style w:type="paragraph" w:styleId="Vanliginnrykk">
    <w:name w:val="Normal Indent"/>
    <w:basedOn w:val="Normal"/>
    <w:uiPriority w:val="99"/>
    <w:semiHidden/>
    <w:unhideWhenUsed/>
    <w:rsid w:val="00557A6F"/>
    <w:pPr>
      <w:ind w:left="708"/>
    </w:pPr>
  </w:style>
  <w:style w:type="numbering" w:customStyle="1" w:styleId="AlfaListeStil">
    <w:name w:val="AlfaListeStil"/>
    <w:uiPriority w:val="99"/>
    <w:rsid w:val="00557A6F"/>
    <w:pPr>
      <w:numPr>
        <w:numId w:val="7"/>
      </w:numPr>
    </w:pPr>
  </w:style>
  <w:style w:type="numbering" w:customStyle="1" w:styleId="l-AlfaListeStil">
    <w:name w:val="l-AlfaListeStil"/>
    <w:uiPriority w:val="99"/>
    <w:rsid w:val="00557A6F"/>
    <w:pPr>
      <w:numPr>
        <w:numId w:val="8"/>
      </w:numPr>
    </w:pPr>
  </w:style>
  <w:style w:type="numbering" w:customStyle="1" w:styleId="l-ListeStilMal">
    <w:name w:val="l-ListeStilMal"/>
    <w:uiPriority w:val="99"/>
    <w:rsid w:val="00557A6F"/>
    <w:pPr>
      <w:numPr>
        <w:numId w:val="9"/>
      </w:numPr>
    </w:pPr>
  </w:style>
  <w:style w:type="numbering" w:customStyle="1" w:styleId="l-NummerertListeStil">
    <w:name w:val="l-NummerertListeStil"/>
    <w:uiPriority w:val="99"/>
    <w:rsid w:val="00557A6F"/>
    <w:pPr>
      <w:numPr>
        <w:numId w:val="10"/>
      </w:numPr>
    </w:pPr>
  </w:style>
  <w:style w:type="numbering" w:customStyle="1" w:styleId="NrListeStil">
    <w:name w:val="NrListeStil"/>
    <w:uiPriority w:val="99"/>
    <w:rsid w:val="00557A6F"/>
    <w:pPr>
      <w:numPr>
        <w:numId w:val="11"/>
      </w:numPr>
    </w:pPr>
  </w:style>
  <w:style w:type="numbering" w:customStyle="1" w:styleId="OpplistingListeStil">
    <w:name w:val="OpplistingListeStil"/>
    <w:uiPriority w:val="99"/>
    <w:rsid w:val="00557A6F"/>
    <w:pPr>
      <w:numPr>
        <w:numId w:val="12"/>
      </w:numPr>
    </w:pPr>
  </w:style>
  <w:style w:type="numbering" w:customStyle="1" w:styleId="OverskrifterListeStil">
    <w:name w:val="OverskrifterListeStil"/>
    <w:uiPriority w:val="99"/>
    <w:rsid w:val="00557A6F"/>
    <w:pPr>
      <w:numPr>
        <w:numId w:val="13"/>
      </w:numPr>
    </w:pPr>
  </w:style>
  <w:style w:type="numbering" w:customStyle="1" w:styleId="RomListeStil">
    <w:name w:val="RomListeStil"/>
    <w:uiPriority w:val="99"/>
    <w:rsid w:val="00557A6F"/>
    <w:pPr>
      <w:numPr>
        <w:numId w:val="14"/>
      </w:numPr>
    </w:pPr>
  </w:style>
  <w:style w:type="numbering" w:customStyle="1" w:styleId="StrekListeStil">
    <w:name w:val="StrekListeStil"/>
    <w:uiPriority w:val="99"/>
    <w:rsid w:val="00557A6F"/>
    <w:pPr>
      <w:numPr>
        <w:numId w:val="15"/>
      </w:numPr>
    </w:pPr>
  </w:style>
  <w:style w:type="paragraph" w:customStyle="1" w:styleId="Figur">
    <w:name w:val="Figur"/>
    <w:basedOn w:val="Normal"/>
    <w:uiPriority w:val="99"/>
    <w:rsid w:val="00557A6F"/>
    <w:pPr>
      <w:suppressAutoHyphens/>
      <w:spacing w:before="400" w:after="200" w:line="240" w:lineRule="exact"/>
      <w:jc w:val="center"/>
    </w:pPr>
    <w:rPr>
      <w:rFonts w:ascii="Times New Roman" w:eastAsia="Times New Roman" w:hAnsi="Times New Roman"/>
      <w:b/>
      <w:bCs/>
      <w:color w:val="FF0000"/>
      <w:szCs w:val="22"/>
    </w:rPr>
  </w:style>
  <w:style w:type="paragraph" w:customStyle="1" w:styleId="Sammendrag">
    <w:name w:val="Sammendrag"/>
    <w:basedOn w:val="Overskrift1"/>
    <w:qFormat/>
    <w:rsid w:val="00557A6F"/>
    <w:pPr>
      <w:numPr>
        <w:numId w:val="0"/>
      </w:numPr>
      <w:spacing w:line="276" w:lineRule="auto"/>
      <w:jc w:val="left"/>
    </w:pPr>
    <w:rPr>
      <w:rFonts w:eastAsia="Times New Roman"/>
      <w:szCs w:val="22"/>
    </w:rPr>
  </w:style>
  <w:style w:type="paragraph" w:customStyle="1" w:styleId="ForfatterMerknad">
    <w:name w:val="ForfatterMerknad"/>
    <w:basedOn w:val="Normal"/>
    <w:qFormat/>
    <w:rsid w:val="00557A6F"/>
    <w:pPr>
      <w:shd w:val="clear" w:color="auto" w:fill="FFFF99"/>
      <w:spacing w:before="60"/>
    </w:pPr>
    <w:rPr>
      <w:rFonts w:ascii="Arial" w:eastAsia="Times New Roman" w:hAnsi="Arial"/>
      <w:color w:val="632423"/>
      <w:spacing w:val="4"/>
      <w:sz w:val="26"/>
      <w:szCs w:val="22"/>
    </w:rPr>
  </w:style>
  <w:style w:type="paragraph" w:customStyle="1" w:styleId="TrykkeriMerknad">
    <w:name w:val="TrykkeriMerknad"/>
    <w:basedOn w:val="Normal"/>
    <w:qFormat/>
    <w:rsid w:val="00557A6F"/>
    <w:pPr>
      <w:spacing w:before="60" w:line="276" w:lineRule="auto"/>
    </w:pPr>
    <w:rPr>
      <w:rFonts w:ascii="Arial" w:eastAsia="Times New Roman" w:hAnsi="Arial"/>
      <w:color w:val="943634"/>
      <w:spacing w:val="4"/>
      <w:sz w:val="26"/>
      <w:szCs w:val="22"/>
    </w:rPr>
  </w:style>
  <w:style w:type="paragraph" w:styleId="Sitat0">
    <w:name w:val="Quote"/>
    <w:basedOn w:val="Normal"/>
    <w:next w:val="Normal"/>
    <w:link w:val="SitatTegn1"/>
    <w:uiPriority w:val="29"/>
    <w:qFormat/>
    <w:rsid w:val="004769CB"/>
    <w:rPr>
      <w:i/>
      <w:iCs/>
      <w:color w:val="000000" w:themeColor="text1"/>
    </w:rPr>
  </w:style>
  <w:style w:type="character" w:customStyle="1" w:styleId="SitatTegn1">
    <w:name w:val="Sitat Tegn1"/>
    <w:basedOn w:val="Standardskriftforavsnitt"/>
    <w:link w:val="Sitat0"/>
    <w:uiPriority w:val="29"/>
    <w:rsid w:val="004769CB"/>
    <w:rPr>
      <w:rFonts w:ascii="Times" w:eastAsia="Batang" w:hAnsi="Times" w:cs="Times New Roman"/>
      <w:i/>
      <w:iCs/>
      <w:color w:val="000000" w:themeColor="text1"/>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FagPr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6815-663B-46B0-9253-781C0C2D1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FagPrp-mal-V11.dotx</Template>
  <TotalTime>0</TotalTime>
  <Pages>334</Pages>
  <Words>155358</Words>
  <Characters>823398</Characters>
  <Application>Microsoft Office Word</Application>
  <DocSecurity>0</DocSecurity>
  <Lines>6861</Lines>
  <Paragraphs>1953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976803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Reidun</dc:creator>
  <cp:lastModifiedBy>Reidun</cp:lastModifiedBy>
  <cp:revision>2</cp:revision>
  <dcterms:created xsi:type="dcterms:W3CDTF">2019-09-27T19:24:00Z</dcterms:created>
  <dcterms:modified xsi:type="dcterms:W3CDTF">2019-09-27T19:24:00Z</dcterms:modified>
</cp:coreProperties>
</file>