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70589C" w14:textId="77777777" w:rsidR="00A54846" w:rsidRDefault="008A2731">
      <w:pPr>
        <w:pStyle w:val="MainTitle"/>
      </w:pPr>
      <w:r>
        <w:rPr>
          <w:caps/>
        </w:rPr>
        <w:t>Delegert kommisjonsforordning</w:t>
      </w:r>
      <w:r>
        <w:t xml:space="preserve"> (EU) 2021/2178</w:t>
      </w:r>
    </w:p>
    <w:p w14:paraId="05041EA9" w14:textId="77777777" w:rsidR="00A54846" w:rsidRDefault="008A2731">
      <w:pPr>
        <w:pStyle w:val="MainTitle"/>
      </w:pPr>
      <w:r>
        <w:t>av 6. juli 2021</w:t>
      </w:r>
    </w:p>
    <w:p w14:paraId="0A18DF89" w14:textId="77777777" w:rsidR="00A54846" w:rsidRDefault="008A2731">
      <w:pPr>
        <w:pStyle w:val="MainTitle"/>
        <w:spacing w:after="360"/>
      </w:pPr>
      <w:r>
        <w:t>om utfylling av europaparlaments- og rådsforordning (EU) 2020/852 ved å presisere innholdet i og presentasjonen av opplysninger som skal gis av foretak som er omfattet av artikkel 19a eller 29a i direktiv 2013/34/EU med hensyn til miljømessig bærekraftige økonomiske aktiviteter, og ved å fastsette metoden som skal anvendes for å overholde denne opplysningsplikten</w:t>
      </w:r>
    </w:p>
    <w:p w14:paraId="77444FB3" w14:textId="77777777" w:rsidR="00A54846" w:rsidRDefault="008A2731">
      <w:pPr>
        <w:pStyle w:val="PreambleInit"/>
      </w:pPr>
      <w:r>
        <w:t>EUROPAKOMMISJONEN HAR</w:t>
      </w:r>
    </w:p>
    <w:p w14:paraId="12B28A6E" w14:textId="77777777" w:rsidR="00A54846" w:rsidRDefault="008A2731">
      <w:pPr>
        <w:pStyle w:val="Para"/>
      </w:pPr>
      <w:r>
        <w:t>under henvisning til traktaten om Den europeiske unions virkemåte,</w:t>
      </w:r>
    </w:p>
    <w:p w14:paraId="66754FF0" w14:textId="77777777" w:rsidR="00A54846" w:rsidRDefault="008A2731">
      <w:pPr>
        <w:pStyle w:val="Para"/>
        <w:rPr>
          <w:szCs w:val="18"/>
        </w:rPr>
      </w:pPr>
      <w:r>
        <w:t>under henvisning til europaparlaments- og rådsforordning (EU) nr. 2020/852 av 18. juni 2020 om etablering av et rammeverk for å fremme bærekraftige investeringer og om endring av forordning (EU) 2019/2088(</w:t>
      </w:r>
      <w:bookmarkStart w:id="0" w:name="NOTE_1"/>
      <w:r>
        <w:rPr>
          <w:rStyle w:val="FootnoteReference"/>
          <w:sz w:val="18"/>
          <w:szCs w:val="18"/>
        </w:rPr>
        <w:footnoteReference w:id="2"/>
      </w:r>
      <w:bookmarkEnd w:id="0"/>
      <w:r>
        <w:t>), særlig artikkel 8 nr. 4, og</w:t>
      </w:r>
    </w:p>
    <w:p w14:paraId="3D8889F2" w14:textId="77777777" w:rsidR="00A54846" w:rsidRDefault="008A2731">
      <w:pPr>
        <w:pStyle w:val="Para"/>
        <w:rPr>
          <w:szCs w:val="18"/>
        </w:rPr>
      </w:pPr>
      <w:r>
        <w:t>ut fra følgende betraktninger:</w:t>
      </w:r>
    </w:p>
    <w:p w14:paraId="3A20E800" w14:textId="77777777" w:rsidR="00A54846" w:rsidRDefault="008A2731">
      <w:pPr>
        <w:pStyle w:val="Consid"/>
      </w:pPr>
      <w:r>
        <w:t>1)</w:t>
      </w:r>
      <w:r>
        <w:tab/>
        <w:t>I henhold til artikkel 8 nr. 1 i forordning (EU) 2020/852 skal foretak som er omfattet av artikkel 19a eller 29a i europaparlaments- og rådsdirektiv 2013/34/EU(</w:t>
      </w:r>
      <w:bookmarkStart w:id="1" w:name="NOTE_2"/>
      <w:r>
        <w:rPr>
          <w:rStyle w:val="FootnoteReference"/>
          <w:sz w:val="18"/>
          <w:szCs w:val="18"/>
        </w:rPr>
        <w:footnoteReference w:id="3"/>
      </w:r>
      <w:bookmarkEnd w:id="1"/>
      <w:r>
        <w:t>), opplyse om hvordan og i hvilken grad deres virksomhet er forbundet med økonomiske aktiviteter som er miljømessig bærekraftige. I henhold til artikkel 8 nr. 2 i forordning (EU) 2020/852 skal ikke-finansielle foretak legge fram opplysninger om hvor stor andel av virksomhetens omsetning, investeringsutgifter og driftsutgifter («nøkkeltallsindikatorer» eller «KPI» («Key Performance Indicators»)) som er knyttet til eiendeler eller prosesser som er forbundet med miljømessig bærekraftige økonomiske aktiviteter. Denne bestemmelsen angir imidlertid ikke tilsvarende nøkkeltallsindikatorer for finansforetak, dvs. kredittinstitusjoner, kapitalforvaltere, verdipapirforetak og forsikrings- og gjenforsikringsforetak. Artikkel 8 i forordning (EU) 2020/852 bør derfor utfylles for å angi de nøkkeltallsindikatorene som finansforetak skal legge fram, og angi nærmere kravene til innholdet i og presentasjonen av de opplysningene som alle foretak skal legge fram, samt metoden som skal anvendes for å overholde denne opplysningsplikten.</w:t>
      </w:r>
    </w:p>
    <w:p w14:paraId="1B710EBC" w14:textId="77777777" w:rsidR="00A54846" w:rsidRDefault="008A2731">
      <w:pPr>
        <w:pStyle w:val="Consid"/>
      </w:pPr>
      <w:r>
        <w:t>2)</w:t>
      </w:r>
      <w:r>
        <w:tab/>
        <w:t>Det er nødvendig å sikre at ikke-finansielle foretak som er omfattet av artikkel 19a eller 29a i direktiv 2013/34/EU, anvender opplysningskravene i artikkel 8 nr. 2 i forordning (EU) 2020/852 på en ensartet måte. Det bør derfor fastsettes regler som angir nærmere krav til innholdet i og presentasjonen av opplysningene som kreves i henhold til artikkel 8 i forordning (EU) 2020/852, herunder metoden for å overholde disse reglene. For at investorer og allmennheten skal kunne foreta en forsvarlig vurdering av andelen miljømessig bærekraftige økonomiske aktiviteter («taksonomiforenlige aktiviteter») i ikke-finansielle foretak, bør det stilles krav om at disse foretakene opplyser om hvilke av deres økonomiske aktiviteter som er taksonomiforenlige. I tillegg er det nødvendig å legge fram opplysninger om hvilke miljømål de aktuelle aktivitetene bidrar vesentlig til. Ikke-finansielle foretak bør i nøkkeltallsindikatorene derfor også spesifisere hvordan andelen taksonomiforenlige aktiviteter fordeler seg på de ulike miljømålene som de bidrar vesentlig til.</w:t>
      </w:r>
    </w:p>
    <w:p w14:paraId="5B4F07C1" w14:textId="77777777" w:rsidR="00A54846" w:rsidRDefault="008A2731">
      <w:pPr>
        <w:pStyle w:val="Consid"/>
        <w:spacing w:after="0"/>
      </w:pPr>
      <w:r>
        <w:t>3)</w:t>
      </w:r>
      <w:r>
        <w:tab/>
        <w:t>Omsetning, investeringsutgifter og driftsutgifter er ikke relevante for vurderingen av den miljømessige bærekraften ved finansielle aktiviteter, herunder utlån, investering og forsikring. De tre nøkkeltallsindikatorene for ikke-finansielle foretak fastsatt i artikkel 8 nr. 2 i forordning (EU) 2020/852 egner seg derfor ikke til å vise i hvilken utstrekning finansforetaks økonomiske aktiviteter er taksonomiforenlige. Det er derfor nødvendig å fastsette særskilte nøkkeltallsindikatorer og beregningsmetoder for nøkkeltallsindikatorene for finansforetak. For å bidra til at markedet skal forstå disse nøkkeltallsindikatorene, bør alle opplysninger om nøkkeltallsindikatorene ledsages av kvalitative opplysninger der finansforetakene redegjør for hvordan de har kommet fram til nøkkeltallsindikatorene.</w:t>
      </w:r>
      <w:r>
        <w:br w:type="page"/>
      </w:r>
    </w:p>
    <w:p w14:paraId="01E95F91" w14:textId="77777777" w:rsidR="00A54846" w:rsidRDefault="008A2731">
      <w:pPr>
        <w:pStyle w:val="Consid"/>
        <w:spacing w:after="500"/>
      </w:pPr>
      <w:r>
        <w:lastRenderedPageBreak/>
        <w:t>4)</w:t>
      </w:r>
      <w:r>
        <w:tab/>
        <w:t>Investorer og allmennheten bør kunne vurdere hvor stor andel av de økonomiske aktivitetene et investeringsobjekt utøver, som er taksonomiforenlige. Kapitalforvaltere bør derfor opplyse om hvor stor andel investeringene de har gjort i økonomiske aktiviteter som er taksonomiforenlige, utgjør av verdien av alle investeringer de forvalter gjennom sin kollektive og individuelle porteføljeforvaltning. Andelen investeringer som er taksonomiforenlige, bør beregnes som den andelen av investeringsobjektenes taksonomiforenlige økonomiske aktiviteter som framkommer av deres respektive nøkkeltallsindikatorer, ettersom nøkkeltallsindikatorene gjenspeiler investeringsobjektenes miljøprestasjoner.</w:t>
      </w:r>
    </w:p>
    <w:p w14:paraId="7103F917" w14:textId="78B62163" w:rsidR="00A54846" w:rsidRDefault="008A2731">
      <w:pPr>
        <w:pStyle w:val="Consid"/>
        <w:spacing w:after="500"/>
      </w:pPr>
      <w:r>
        <w:t>5)</w:t>
      </w:r>
      <w:r>
        <w:tab/>
        <w:t>Kredittinstitusjonenes hovedaktivitet er å yte finansiering til og investere i realøkonomien. Kredittinstitusjonenes eksponeringer mot foretak de finansierer eller investerer i, avspeiles som eiendeler i kredittinstitusjonenes balanse. Den viktigste nøkkeltallsindikatoren for kredittinstitusjoner som er omfattet av opplysningsplikten fastsatt i artikkel 19a og</w:t>
      </w:r>
      <w:r w:rsidR="007D4CBF">
        <w:t> </w:t>
      </w:r>
      <w:r>
        <w:t>29a i direktiv 2013/34/EU, bør være den grønne brøken («Green Asset Ratio», GAR), som viser andelen eksponeringer som er knyttet til aktiviteter som er taksonomiforenlige, i forhold til kredittinstitusjonenes samlede eiendeler. GAR bør gjelde kredittinstitusjonenes viktigste utlåns- og investeringsvirksomhet, herunder lån/forskudd, gjeldsinstrumenter og egenkapitalbeholdninger, for å gjenspeile i hvilken utstrekning disse institusjonene finansierer taksonomiforenlige aktiviteter.</w:t>
      </w:r>
    </w:p>
    <w:p w14:paraId="4077E922" w14:textId="77777777" w:rsidR="00A54846" w:rsidRDefault="008A2731">
      <w:pPr>
        <w:pStyle w:val="Consid"/>
        <w:spacing w:after="500"/>
      </w:pPr>
      <w:r>
        <w:t>6)</w:t>
      </w:r>
      <w:r>
        <w:tab/>
        <w:t>Kredittinstitusjonene tilbyr også andre kommersielle tjenester og aktiviteter enn finansiering. Disse aktivitetene genererer inntekter fra gebyrer og provisjoner. Det er nødvendig å sette investorer og allmennheten i stand til å vurdere hvor stor andel av de økonomiske aktivitetene mottakerne av disse tjenestene utøver, som er taksonomiforenlig. Kredittinstitusjoner som er omfattet av opplysningsplikten fastsatt i artikkel 19a og 29a i direktiv 2013/34/EU, bør derfor også opplyse om hvor stor andel av deres gebyr- og provisjonsinntekter som knytter seg til kommersielle tjenester og aktiviteter som er forbundet med deres kunders taksonomiforenlige økonomiske aktiviteter.</w:t>
      </w:r>
    </w:p>
    <w:p w14:paraId="53379EFB" w14:textId="77777777" w:rsidR="00A54846" w:rsidRDefault="008A2731">
      <w:pPr>
        <w:pStyle w:val="Consid"/>
        <w:spacing w:after="500"/>
      </w:pPr>
      <w:r>
        <w:t>7)</w:t>
      </w:r>
      <w:r>
        <w:tab/>
        <w:t>Kredittinstitusjoner kan forvalte underliggende eiendeler eller stille finansielle garantier, noe som medfører eksponeringer utenfor balansen. For å sette investorer og allmennheten i stand til å vurdere andelen taksonomiforenlige aktiviteter som kredittinstitusjoner utøver av disse eksponeringene utenfor balansen, bør kredittinstitusjoner som er omfattet av opplysningsplikten fastsatt i artikkel 19a og 29a i direktiv 2013/34/EU, opplyse om andelen taksonomiforenlige aktiviteter i de underliggende eiendelene de forvalter eller de forpliktelsene de garanterer oppfyllelsen av.</w:t>
      </w:r>
    </w:p>
    <w:p w14:paraId="17DAF707" w14:textId="77777777" w:rsidR="00A54846" w:rsidRDefault="008A2731">
      <w:pPr>
        <w:pStyle w:val="Consid"/>
        <w:spacing w:after="500"/>
      </w:pPr>
      <w:r>
        <w:t>8)</w:t>
      </w:r>
      <w:r>
        <w:tab/>
        <w:t>I tillegg til opplysninger om sin bankportefølje bør kredittinstitusjoner som er omfattet av opplysningsplikten fastsatt i artikkel 19a og 29a i direktiv 2013/34/EU, separat også opplyse om den overordnede sammensetningen av sine samlede eiendeler, herunder om sin handelsportefølje, samt om eventuelle tendenser og grenseverdier med hensyn til klima- og miljørisikoer. Kredittinstitusjoner med betydelig handelsaktivitet bør omfattes av krav om mer detaljerte opplysninger om sin handelsportefølje.</w:t>
      </w:r>
    </w:p>
    <w:p w14:paraId="464373FA" w14:textId="77777777" w:rsidR="00A54846" w:rsidRDefault="008A2731">
      <w:pPr>
        <w:pStyle w:val="Consid"/>
        <w:spacing w:after="500"/>
      </w:pPr>
      <w:r>
        <w:t>9)</w:t>
      </w:r>
      <w:r>
        <w:tab/>
        <w:t>Det er viktig å gi investorer og allmennheten fullstendig oversikt over hvilke investeringer et verdipapirforetak som er omfattet av opplysningsplikten fastsatt i artikkel 19a og 29a i direktiv 2013/34/EU, har gjort i taksonomiforenlige aktiviteter. Nøkkeltallsindikatorene for slike verdipapirforetak bør derfor omfatte deres handler for egen regning og deres handler på vegne av kunder. Nøkkeltallsindikatoren for handel for egen regning bør gjenspeile hvilken andel av de samlede eiendelene som består av eiendeler knyttet til taksonomiforenlige aktiviteter. Denne indikatoren bør fokusere på verdipapirforetakenes investeringer, herunder gjeldsinstrumenter og egenkapitalinstrumenter i investeringsobjekter. Nøkkeltallsindikatoren for den miljømessige bærekraften ved de tjenestene og aktivitetene verdipapirforetakene utøver på vegne av alle sine kunder, bør baseres på de inntektene i form av gebyrer, provisjoner og andre pengeytelser som verdipapirforetakene får av investeringstjenestene og -aktivitetene de utfører for sine kunder.</w:t>
      </w:r>
    </w:p>
    <w:p w14:paraId="24C50CA6" w14:textId="77777777" w:rsidR="00A54846" w:rsidRDefault="008A2731">
      <w:pPr>
        <w:pStyle w:val="Consid"/>
        <w:rPr>
          <w:szCs w:val="18"/>
        </w:rPr>
      </w:pPr>
      <w:r>
        <w:t>10)</w:t>
      </w:r>
      <w:r>
        <w:tab/>
        <w:t xml:space="preserve">Nøkkeltallsindikatorene for forsikrings- og gjenforsikringsforetak som er omfattet av opplysningsplikten fastsatt i artikkel 19a og 29a i direktiv 2013/34/EU, bør omfatte deres skadeforsikringsvirksomhet og investeringsstrategien som inngår i deres forretningsmodell, for å vise i hvilken utstrekning disse aktivitetene er taksonomiforenlige. En av nøkkeltallsindikatorene for disse forsikrings- og gjenforsikringsforetakene bør gjelde investeringsstrategien for midler som stammer fra deres forsikringsvirksomhet, og bør vise hvor stor andel av deres samlede eiendeler som er investert i taksonomiforenlige aktiviteter. En annen nøkkeltallsindikator bør gjelde selve forsikringsvirksomheten og vise hvor stor </w:t>
      </w:r>
      <w:r>
        <w:lastRenderedPageBreak/>
        <w:t>andel av den samlede skadeforsikringsvirksomheten som er knyttet til klimatilpasning, og som utøves i samsvar med delegert kommisjonsforordning (EU) 2021/2139(</w:t>
      </w:r>
      <w:bookmarkStart w:id="2" w:name="NOTE_3"/>
      <w:r>
        <w:rPr>
          <w:rStyle w:val="FootnoteReference"/>
          <w:sz w:val="18"/>
          <w:szCs w:val="18"/>
        </w:rPr>
        <w:footnoteReference w:id="4"/>
      </w:r>
      <w:bookmarkEnd w:id="2"/>
      <w:r>
        <w:t>) («den delegerte klimarettsakten»).</w:t>
      </w:r>
    </w:p>
    <w:p w14:paraId="3682F314" w14:textId="77777777" w:rsidR="00A54846" w:rsidRDefault="008A2731">
      <w:pPr>
        <w:pStyle w:val="Consid"/>
      </w:pPr>
      <w:r>
        <w:t>11)</w:t>
      </w:r>
      <w:r>
        <w:tab/>
        <w:t>Finansforetak som er omfattet av opplysningsplikten fastsatt i artikkel 19a og 29a i direktiv 2013/34/EU, bør ved beregning av telleren i nøkkeltallsindikatorene ikke ta hensyn til eksponeringen mot eller investeringer i ikke-finansielle foretak som ikke er omfattet av artikkel 19a og 29a i direktiv 2013/34/EU. Det kan bli vurdert å inkludere slike eksponeringer i telleren ved gjennomgåelsen av denne delegerte rettsakten, som vil ble ledsaget av en konsekvensvurdering. Slike ikke-finansielle foretak kan likevel frivillig legge fram sine nøkkeltallsindikatorer, enten for å få tilgang til miljømessig bærekraftig finansiering som en del av særlige ordninger for miljømerking og miljømessig bærekraftige finansielle produkter, eller som en del av sin overordnede forretningsstrategi som bygger på miljømessig bærekraft.</w:t>
      </w:r>
    </w:p>
    <w:p w14:paraId="58B417A3" w14:textId="77777777" w:rsidR="00A54846" w:rsidRDefault="008A2731">
      <w:pPr>
        <w:pStyle w:val="Consid"/>
      </w:pPr>
      <w:r>
        <w:t>12)</w:t>
      </w:r>
      <w:r>
        <w:tab/>
        <w:t>Ettersom den delegerte klimarettsakten trer i kraft og får anvendelse ved utgangen av 2021, og gitt hvor vanskelig det har vært å vurdere i 2022 om de økonomiske aktivitetene oppfyller de tekniske screeningkriteriene fastsatt i nevnte delegerte forordning for det foregående rapporteringsåret, bør anvendelsen av denne forordningen i 2022 begrenses til visse deler og til kvalitativ rapportering, slik at de øvrige bestemmelsene får anvendelse fra 1. januar 2023 for ikke-finansielle foretak og fra 1. januar 2024 for finansielle foretak. Videre bør kredittinstitusjonenes nøkkeltallsindikatorer knyttet til deres handelsportefølje og provisjoner og gebyrer for andre kommersielle tjenester og aktiviteter enn yting av finansiering, få anvendelse fra 1. januar 2026.</w:t>
      </w:r>
    </w:p>
    <w:p w14:paraId="0FFBAC19" w14:textId="77777777" w:rsidR="00A54846" w:rsidRDefault="008A2731">
      <w:pPr>
        <w:pStyle w:val="Consid"/>
      </w:pPr>
      <w:r>
        <w:t>13)</w:t>
      </w:r>
      <w:r>
        <w:tab/>
        <w:t>Ettersom det for tiden ikke finnes noen egnet beregningsmetode, bør eksponeringer mot sentralmyndigheter, sentralbanker og overnasjonale utstedere ikke tas med i beregningen av telleren og nevneren i nøkkeltallsindikatorer. Finansielle foretak har anledning til frivillig å legge fram opplysninger om eksponeringer mot taksonomiforenlige obligasjoner og taksonomiforenlige gjeldsinstrumenter som er utstedt av sentralmyndigheter, sentralbanker og overnasjonale utstedere. Det bør foretas en gjennomgåelse innen 30. juni 2024 for å vurdere muligheten for å ta med slike eksponeringer i nøkkeltallsindikatorene.</w:t>
      </w:r>
    </w:p>
    <w:p w14:paraId="4505F36E" w14:textId="77777777" w:rsidR="00A54846" w:rsidRDefault="008A2731">
      <w:pPr>
        <w:pStyle w:val="PreambleFinal"/>
        <w:spacing w:line="200" w:lineRule="exact"/>
      </w:pPr>
      <w:r>
        <w:t>VEDTATT DENNE FORORDNINGEN:</w:t>
      </w:r>
    </w:p>
    <w:p w14:paraId="10588D38" w14:textId="77777777" w:rsidR="00A54846" w:rsidRDefault="008A2731">
      <w:pPr>
        <w:pStyle w:val="TIART"/>
      </w:pPr>
      <w:r>
        <w:t>Artikkel 1</w:t>
      </w:r>
    </w:p>
    <w:p w14:paraId="302E510C" w14:textId="77777777" w:rsidR="00A54846" w:rsidRDefault="008A2731">
      <w:pPr>
        <w:pStyle w:val="STIART"/>
      </w:pPr>
      <w:r>
        <w:t>Definisjoner</w:t>
      </w:r>
    </w:p>
    <w:p w14:paraId="7BE7F992" w14:textId="77777777" w:rsidR="00A54846" w:rsidRDefault="008A2731">
      <w:pPr>
        <w:pStyle w:val="Alinea"/>
      </w:pPr>
      <w:r>
        <w:t>I denne forordningen menes med</w:t>
      </w:r>
    </w:p>
    <w:p w14:paraId="0D5E496F" w14:textId="77777777" w:rsidR="00A54846" w:rsidRDefault="008A2731">
      <w:pPr>
        <w:pStyle w:val="NumberedText"/>
        <w:tabs>
          <w:tab w:val="clear" w:pos="2047"/>
        </w:tabs>
        <w:ind w:left="383" w:hanging="383"/>
      </w:pPr>
      <w:r>
        <w:t>1)</w:t>
      </w:r>
      <w:r>
        <w:tab/>
        <w:t>«miljømål» et av miljømålene fastsatt i artikkel 9 i forordning (EU) 2020/852,</w:t>
      </w:r>
    </w:p>
    <w:p w14:paraId="7533D04F" w14:textId="77777777" w:rsidR="00A54846" w:rsidRDefault="008A2731">
      <w:pPr>
        <w:pStyle w:val="NumberedText"/>
        <w:tabs>
          <w:tab w:val="clear" w:pos="2047"/>
        </w:tabs>
        <w:ind w:left="383" w:hanging="383"/>
      </w:pPr>
      <w:r>
        <w:t>2)</w:t>
      </w:r>
      <w:r>
        <w:tab/>
        <w:t>«taksonomiforenlig økonomisk aktivitet» økonomisk aktivitet som oppfyller kravene fastsatt i artikkel 3 i forordning (EU) 2020/852,</w:t>
      </w:r>
    </w:p>
    <w:p w14:paraId="5FCB4E40" w14:textId="77777777" w:rsidR="00A54846" w:rsidRDefault="008A2731">
      <w:pPr>
        <w:pStyle w:val="NumberedText"/>
        <w:tabs>
          <w:tab w:val="clear" w:pos="2047"/>
        </w:tabs>
        <w:ind w:left="383" w:hanging="383"/>
      </w:pPr>
      <w:r>
        <w:t>3)</w:t>
      </w:r>
      <w:r>
        <w:tab/>
        <w:t>«økonomisk omstillingsaktivitet» økonomisk aktivitet som oppfyller kravene fastsatt i artikkel 10 nr. 2 i forordning (EU) 2020/852,</w:t>
      </w:r>
    </w:p>
    <w:p w14:paraId="1585C84A" w14:textId="77777777" w:rsidR="00A54846" w:rsidRDefault="008A2731">
      <w:pPr>
        <w:pStyle w:val="NumberedText"/>
        <w:tabs>
          <w:tab w:val="clear" w:pos="2047"/>
        </w:tabs>
        <w:spacing w:after="0"/>
        <w:ind w:left="383" w:hanging="383"/>
      </w:pPr>
      <w:r>
        <w:t>4)</w:t>
      </w:r>
      <w:r>
        <w:tab/>
        <w:t>«muliggjørende økonomisk aktivitet» økonomisk aktivitet som oppfyller kravene fastsatt i artikkel 16 i forordning (EU) 2020/852,</w:t>
      </w:r>
      <w:r>
        <w:br w:type="page"/>
      </w:r>
    </w:p>
    <w:p w14:paraId="48618CF5" w14:textId="77777777" w:rsidR="00A54846" w:rsidRDefault="008A2731">
      <w:pPr>
        <w:pStyle w:val="NumberedText"/>
        <w:tabs>
          <w:tab w:val="clear" w:pos="2047"/>
        </w:tabs>
        <w:ind w:left="383" w:hanging="383"/>
      </w:pPr>
      <w:r>
        <w:lastRenderedPageBreak/>
        <w:t>5)</w:t>
      </w:r>
      <w:r>
        <w:tab/>
        <w:t>«økonomisk aktivitet som er omfattet av taksonomien» økonomisk aktivitet som beskrevet i de delegerte rettsaktene vedtatt i samsvar med artikkel 10 nr. 3, artikkel 11 nr. 3, artikkel 12 nr. 2, artikkel 13 nr. 2, artikkel 14 nr. 2 og artikkel 15 nr. 2 i forordning (EU) 2020/852, uten hensyn til om den aktuelle økonomiske aktiviteten oppfyller alle de tekniske screeningkriteriene fastsatt i de nevnte delegerte rettsaktene,</w:t>
      </w:r>
    </w:p>
    <w:p w14:paraId="6169772E" w14:textId="77777777" w:rsidR="00A54846" w:rsidRDefault="008A2731">
      <w:pPr>
        <w:pStyle w:val="NumberedText"/>
        <w:tabs>
          <w:tab w:val="clear" w:pos="2047"/>
        </w:tabs>
        <w:ind w:left="383" w:hanging="383"/>
      </w:pPr>
      <w:r>
        <w:t>6)</w:t>
      </w:r>
      <w:r>
        <w:tab/>
        <w:t>«økonomisk aktivitet som ikke er omfattet av taksonomien» enhver økonomisk aktivitet som ikke er beskrevet i de delegerte rettsaktene vedtatt i samsvar med artikkel 10 nr. 3, artikkel 11 nr. 3, artikkel 12 nr. 2, artikkel 13 nr. 2, artikkel 14 nr. 2 og artikkel 15 nr. 2 i forordning (EU) 2020/852,</w:t>
      </w:r>
    </w:p>
    <w:p w14:paraId="260E1A4C" w14:textId="77777777" w:rsidR="00A54846" w:rsidRDefault="008A2731">
      <w:pPr>
        <w:pStyle w:val="NumberedText"/>
        <w:tabs>
          <w:tab w:val="clear" w:pos="2047"/>
        </w:tabs>
        <w:ind w:left="383" w:hanging="383"/>
      </w:pPr>
      <w:r>
        <w:t>7)</w:t>
      </w:r>
      <w:r>
        <w:tab/>
        <w:t>«kapitalforvalter» et foretak som er omfattet av opplysningsplikten fastsatt i artikkel 19a og 29a i direktiv 2013/34/EU, og som er en av følgende:</w:t>
      </w:r>
    </w:p>
    <w:p w14:paraId="06138F62" w14:textId="77777777" w:rsidR="00A54846" w:rsidRDefault="008A2731">
      <w:pPr>
        <w:pStyle w:val="NumberedText"/>
        <w:ind w:left="677" w:hanging="293"/>
      </w:pPr>
      <w:r>
        <w:t>a)</w:t>
      </w:r>
      <w:r>
        <w:tab/>
        <w:t>En AIF-forvalter som definert i artikkel 4 nr. 1 bokstav b) i europaparlaments- og rådsdirektiv 2011/61/EU(</w:t>
      </w:r>
      <w:bookmarkStart w:id="3" w:name="NOTE_4"/>
      <w:r>
        <w:rPr>
          <w:rStyle w:val="FootnoteReference"/>
          <w:sz w:val="18"/>
        </w:rPr>
        <w:footnoteReference w:id="5"/>
      </w:r>
      <w:bookmarkEnd w:id="3"/>
      <w:r>
        <w:t>).</w:t>
      </w:r>
    </w:p>
    <w:p w14:paraId="377057CD" w14:textId="77777777" w:rsidR="00A54846" w:rsidRDefault="008A2731">
      <w:pPr>
        <w:pStyle w:val="NumberedText"/>
        <w:ind w:left="677" w:hanging="293"/>
      </w:pPr>
      <w:r>
        <w:t>b)</w:t>
      </w:r>
      <w:r>
        <w:tab/>
        <w:t>Et forvaltningsselskap som definert i artikkel 2 nr. 1 bokstav b) i europaparlaments- og rådsdirektiv 2009/65/EF(</w:t>
      </w:r>
      <w:bookmarkStart w:id="4" w:name="NOTE_5"/>
      <w:r>
        <w:rPr>
          <w:rStyle w:val="FootnoteReference"/>
          <w:sz w:val="18"/>
        </w:rPr>
        <w:footnoteReference w:id="6"/>
      </w:r>
      <w:bookmarkEnd w:id="4"/>
      <w:r>
        <w:t>).</w:t>
      </w:r>
    </w:p>
    <w:p w14:paraId="6BE52BF6" w14:textId="77777777" w:rsidR="00A54846" w:rsidRDefault="008A2731">
      <w:pPr>
        <w:pStyle w:val="NumberedText"/>
        <w:ind w:left="677" w:hanging="293"/>
      </w:pPr>
      <w:r>
        <w:t>c)</w:t>
      </w:r>
      <w:r>
        <w:tab/>
        <w:t>Et investeringsselskap som er godkjent i samsvar med artikkel 27, 28 og 29 i direktiv 2009/65/EF, og som for sin forvaltning ikke har utpekt et forvaltningsselskap som er godkjent i samsvar med artikkel 6, 7 og 8 i nevnte direktiv,</w:t>
      </w:r>
    </w:p>
    <w:p w14:paraId="51D46A10" w14:textId="77777777" w:rsidR="00A54846" w:rsidRDefault="008A2731">
      <w:pPr>
        <w:pStyle w:val="NumberedText"/>
        <w:tabs>
          <w:tab w:val="clear" w:pos="2047"/>
        </w:tabs>
        <w:ind w:left="383" w:hanging="383"/>
      </w:pPr>
      <w:r>
        <w:t>8)</w:t>
      </w:r>
      <w:r>
        <w:tab/>
        <w:t>«finansforetak» et foretak som er omfattet av opplysningsplikten fastsatt i artikkel 19a og 29a i direktiv 2013/34/EU, og som er en kapitalforvalter, en kredittinstitusjon som definert i artikkel 4 nr. 1 punkt 1 i europaparlaments- og rådsforordning (EU) nr. 575/2013(</w:t>
      </w:r>
      <w:bookmarkStart w:id="5" w:name="NOTE_6"/>
      <w:r>
        <w:rPr>
          <w:rStyle w:val="FootnoteReference"/>
          <w:sz w:val="18"/>
        </w:rPr>
        <w:footnoteReference w:id="7"/>
      </w:r>
      <w:bookmarkEnd w:id="5"/>
      <w:r>
        <w:t>), et verdipapirforetak som definert i artikkel 4 nr. 1 punkt 2 i forordning (EU) nr. 575/2013, et forsikringsforetak som definert i artikkel 13 nr. 1 i europaparlaments- og rådsdirektiv 2009/138/EF(</w:t>
      </w:r>
      <w:bookmarkStart w:id="6" w:name="NOTE_7"/>
      <w:r>
        <w:rPr>
          <w:rStyle w:val="FootnoteReference"/>
          <w:sz w:val="18"/>
        </w:rPr>
        <w:footnoteReference w:id="8"/>
      </w:r>
      <w:bookmarkEnd w:id="6"/>
      <w:r>
        <w:t>), eller et gjenforsikringsforetak som definert i artikkel 13 nr. 4 i direktiv 2009/138/EF,</w:t>
      </w:r>
    </w:p>
    <w:p w14:paraId="5CF5BEA7" w14:textId="77777777" w:rsidR="00A54846" w:rsidRDefault="008A2731">
      <w:pPr>
        <w:pStyle w:val="NumberedText"/>
        <w:tabs>
          <w:tab w:val="clear" w:pos="2047"/>
        </w:tabs>
        <w:ind w:left="383" w:hanging="383"/>
      </w:pPr>
      <w:r>
        <w:t>9)</w:t>
      </w:r>
      <w:r>
        <w:tab/>
        <w:t>«ikke-finansielt foretak» et foretak som er omfattet av opplysningsplikten fastsatt i artikkel 19a og 29a i direktiv 2013/34/EU, og som ikke er et finansforetak som definert i punkt 8,</w:t>
      </w:r>
    </w:p>
    <w:p w14:paraId="5A9FFA83" w14:textId="77777777" w:rsidR="00A54846" w:rsidRDefault="008A2731">
      <w:pPr>
        <w:pStyle w:val="NumberedText"/>
        <w:tabs>
          <w:tab w:val="clear" w:pos="2047"/>
        </w:tabs>
        <w:ind w:left="383" w:hanging="383"/>
      </w:pPr>
      <w:r>
        <w:t>10)</w:t>
      </w:r>
      <w:r>
        <w:tab/>
        <w:t>«taksonomiforenlig økonomisk forsikrings- eller gjenforsikringsaktivitet» en forsikrings- eller gjenforsikringsaktivitet som oppfyller kriteriene fastsatt i vedlegg II avsnitt 10.1 og 10.2 i delegert forordning (EU) 2021/2139.</w:t>
      </w:r>
    </w:p>
    <w:p w14:paraId="465A585E" w14:textId="77777777" w:rsidR="00A54846" w:rsidRDefault="008A2731">
      <w:pPr>
        <w:pStyle w:val="TIART"/>
      </w:pPr>
      <w:r>
        <w:t>Artikkel 2</w:t>
      </w:r>
    </w:p>
    <w:p w14:paraId="12FCF3C1" w14:textId="77777777" w:rsidR="00A54846" w:rsidRDefault="008A2731">
      <w:pPr>
        <w:pStyle w:val="STIART"/>
      </w:pPr>
      <w:r>
        <w:t>Opplysninger fra ikke-finansielle foretak</w:t>
      </w:r>
    </w:p>
    <w:p w14:paraId="0D1FF248" w14:textId="77777777" w:rsidR="00A54846" w:rsidRDefault="008A2731">
      <w:pPr>
        <w:pStyle w:val="AlineaWithParag"/>
      </w:pPr>
      <w:r>
        <w:t>1.</w:t>
      </w:r>
      <w:r>
        <w:tab/>
        <w:t>Ikke-finansielle foretak skal legge fram opplysningene nevnt i artikkel 8 nr. 1 og 2 i forordning (EU) 2020/852 som angitt i vedlegg I til denne forordningen.</w:t>
      </w:r>
    </w:p>
    <w:p w14:paraId="1D9E6C5B" w14:textId="77777777" w:rsidR="00A54846" w:rsidRDefault="008A2731">
      <w:pPr>
        <w:pStyle w:val="AlineaWithParag"/>
        <w:spacing w:after="0"/>
      </w:pPr>
      <w:r>
        <w:t>2.</w:t>
      </w:r>
      <w:r>
        <w:tab/>
        <w:t>Opplysningene nevnt i nr. 1 skal legges fram i tabellform ved hjelp av malene fastsatt i vedlegg II til denne forordningen.</w:t>
      </w:r>
      <w:r>
        <w:br w:type="page"/>
      </w:r>
    </w:p>
    <w:p w14:paraId="61AF9B60" w14:textId="77777777" w:rsidR="00A54846" w:rsidRDefault="008A2731">
      <w:pPr>
        <w:pStyle w:val="TIART"/>
      </w:pPr>
      <w:r>
        <w:lastRenderedPageBreak/>
        <w:t>Artikkel 3</w:t>
      </w:r>
    </w:p>
    <w:p w14:paraId="28E8942F" w14:textId="77777777" w:rsidR="00A54846" w:rsidRDefault="008A2731">
      <w:pPr>
        <w:pStyle w:val="STIART"/>
      </w:pPr>
      <w:r>
        <w:t>Opplysninger fra kapitalforvaltere</w:t>
      </w:r>
    </w:p>
    <w:p w14:paraId="7D898E89" w14:textId="7398A729" w:rsidR="00A54846" w:rsidRDefault="008A2731">
      <w:pPr>
        <w:pStyle w:val="AlineaWithParag"/>
      </w:pPr>
      <w:r>
        <w:t>1.</w:t>
      </w:r>
      <w:r>
        <w:tab/>
        <w:t>Kapitalforvaltere skal legge fram opplysningene nevnt i artikkel 8 nr. 1 i forordning (EU) 2020/852 som angitt i vedlegg</w:t>
      </w:r>
      <w:r w:rsidR="007D4CBF">
        <w:t> </w:t>
      </w:r>
      <w:r>
        <w:t>III og XI til denne forordningen.</w:t>
      </w:r>
    </w:p>
    <w:p w14:paraId="212E1834" w14:textId="77777777" w:rsidR="00A54846" w:rsidRDefault="008A2731">
      <w:pPr>
        <w:pStyle w:val="AlineaWithParag"/>
      </w:pPr>
      <w:r>
        <w:t>2.</w:t>
      </w:r>
      <w:r>
        <w:tab/>
        <w:t>Opplysningene nevnt i nr. 1 skal legges fram i tabellform ved hjelp av malen fastsatt i vedlegg IV til denne forordningen.</w:t>
      </w:r>
    </w:p>
    <w:p w14:paraId="0063553E" w14:textId="77777777" w:rsidR="00A54846" w:rsidRDefault="008A2731">
      <w:pPr>
        <w:pStyle w:val="TIART"/>
      </w:pPr>
      <w:r>
        <w:t>Artikkel 4</w:t>
      </w:r>
    </w:p>
    <w:p w14:paraId="7DC9D089" w14:textId="77777777" w:rsidR="00A54846" w:rsidRDefault="008A2731">
      <w:pPr>
        <w:pStyle w:val="STIART"/>
      </w:pPr>
      <w:r>
        <w:t>Opplysninger fra kredittinstitusjoner</w:t>
      </w:r>
    </w:p>
    <w:p w14:paraId="42520DA2" w14:textId="77777777" w:rsidR="00A54846" w:rsidRDefault="008A2731">
      <w:pPr>
        <w:pStyle w:val="AlineaWithParag"/>
      </w:pPr>
      <w:r>
        <w:t>1.</w:t>
      </w:r>
      <w:r>
        <w:tab/>
        <w:t>Kredittinstitusjoner skal legge fram opplysningene nevnt i artikkel 8 nr. 1 i forordning (EU) 2020/852 som angitt i vedlegg V og XI til denne forordningen.</w:t>
      </w:r>
    </w:p>
    <w:p w14:paraId="60E1DD6F" w14:textId="77777777" w:rsidR="00A54846" w:rsidRDefault="008A2731">
      <w:pPr>
        <w:pStyle w:val="AlineaWithParag"/>
      </w:pPr>
      <w:r>
        <w:t>2.</w:t>
      </w:r>
      <w:r>
        <w:tab/>
        <w:t>Opplysningene nevnt i nr. 1 skal legges fram i tabellform ved hjelp av malen fastsatt i vedlegg VI til denne forordningen.</w:t>
      </w:r>
    </w:p>
    <w:p w14:paraId="53F8E681" w14:textId="77777777" w:rsidR="00A54846" w:rsidRDefault="008A2731">
      <w:pPr>
        <w:pStyle w:val="TIART"/>
      </w:pPr>
      <w:r>
        <w:t>Artikkel 5</w:t>
      </w:r>
    </w:p>
    <w:p w14:paraId="0EAFD462" w14:textId="77777777" w:rsidR="00A54846" w:rsidRDefault="008A2731">
      <w:pPr>
        <w:pStyle w:val="STIART"/>
      </w:pPr>
      <w:r>
        <w:t>Opplysninger fra verdipapirforetak</w:t>
      </w:r>
    </w:p>
    <w:p w14:paraId="0A736E33" w14:textId="5713A78D" w:rsidR="00A54846" w:rsidRDefault="008A2731">
      <w:pPr>
        <w:pStyle w:val="AlineaWithParag"/>
      </w:pPr>
      <w:r>
        <w:t>1.</w:t>
      </w:r>
      <w:r>
        <w:tab/>
        <w:t>Verdipapirforetak skal legge fram opplysningene nevnt i artikkel 8 nr. 1 i forordning (EU) 2020/852 som angitt i vedlegg</w:t>
      </w:r>
      <w:r w:rsidR="007D4CBF">
        <w:t> </w:t>
      </w:r>
      <w:r>
        <w:t>VII og XI til denne forordningen.</w:t>
      </w:r>
    </w:p>
    <w:p w14:paraId="09574FA8" w14:textId="77777777" w:rsidR="00A54846" w:rsidRDefault="008A2731">
      <w:pPr>
        <w:pStyle w:val="AlineaWithParag"/>
      </w:pPr>
      <w:r>
        <w:t>2.</w:t>
      </w:r>
      <w:r>
        <w:tab/>
        <w:t>Opplysningene nevnt i nr. 1 skal legges fram i tabellform ved hjelp av malen fastsatt i vedlegg VIII til denne forordningen.</w:t>
      </w:r>
    </w:p>
    <w:p w14:paraId="75978B30" w14:textId="77777777" w:rsidR="00A54846" w:rsidRDefault="008A2731">
      <w:pPr>
        <w:pStyle w:val="TIART"/>
      </w:pPr>
      <w:r>
        <w:t>Artikkel 6</w:t>
      </w:r>
    </w:p>
    <w:p w14:paraId="51C3A241" w14:textId="77777777" w:rsidR="00A54846" w:rsidRDefault="008A2731">
      <w:pPr>
        <w:pStyle w:val="STIART"/>
      </w:pPr>
      <w:r>
        <w:t>Opplysninger fra forsikrings- og gjenforsikringsforetak</w:t>
      </w:r>
    </w:p>
    <w:p w14:paraId="59346E27" w14:textId="77777777" w:rsidR="00A54846" w:rsidRDefault="008A2731">
      <w:pPr>
        <w:pStyle w:val="AlineaWithParag"/>
      </w:pPr>
      <w:r>
        <w:t>1.</w:t>
      </w:r>
      <w:r>
        <w:tab/>
        <w:t>Forsikrings- og gjenforsikringsforetak skal legge fram opplysningene nevnt i artikkel 8 nr. 1 i forordning (EU) 2020/852 som angitt i vedlegg IX og XI til denne forordningen.</w:t>
      </w:r>
    </w:p>
    <w:p w14:paraId="4B72C681" w14:textId="77777777" w:rsidR="00A54846" w:rsidRDefault="008A2731">
      <w:pPr>
        <w:pStyle w:val="AlineaWithParag"/>
      </w:pPr>
      <w:r>
        <w:t>2.</w:t>
      </w:r>
      <w:r>
        <w:tab/>
        <w:t>Opplysningene nevnt i nr. 1 skal legges fram i tabellform ved hjelp av malene fastsatt i vedlegg X til denne forordningen.</w:t>
      </w:r>
    </w:p>
    <w:p w14:paraId="0D3611C4" w14:textId="77777777" w:rsidR="00A54846" w:rsidRDefault="008A2731">
      <w:pPr>
        <w:pStyle w:val="TIART"/>
      </w:pPr>
      <w:r>
        <w:t>Artikkel 7</w:t>
      </w:r>
    </w:p>
    <w:p w14:paraId="6E5449F1" w14:textId="77777777" w:rsidR="00A54846" w:rsidRDefault="008A2731">
      <w:pPr>
        <w:pStyle w:val="STIART"/>
      </w:pPr>
      <w:r>
        <w:t>Felles regler for offentliggjøring for alle finansforetak</w:t>
      </w:r>
    </w:p>
    <w:p w14:paraId="32A5962B" w14:textId="77777777" w:rsidR="00A54846" w:rsidRDefault="008A2731">
      <w:pPr>
        <w:pStyle w:val="AlineaWithParag"/>
      </w:pPr>
      <w:r>
        <w:t>1.</w:t>
      </w:r>
      <w:r>
        <w:tab/>
        <w:t>Eksponeringer mot sentralmyndigheter, sentralbanker og overnasjonale utstedere skal ikke tas med i beregningen av telleren og nevneren i finansforetakenes nøkkeltallsindikatorer.</w:t>
      </w:r>
    </w:p>
    <w:p w14:paraId="157EAD97" w14:textId="77777777" w:rsidR="00A54846" w:rsidRDefault="008A2731">
      <w:pPr>
        <w:pStyle w:val="AlineaWithParag"/>
      </w:pPr>
      <w:r>
        <w:t>2.</w:t>
      </w:r>
      <w:r>
        <w:tab/>
        <w:t>Derivater skal ikke tas med i beregningen av telleren i finansforetakenes nøkkeltallsindikatorer.</w:t>
      </w:r>
    </w:p>
    <w:p w14:paraId="37D635A6" w14:textId="77777777" w:rsidR="00A54846" w:rsidRDefault="008A2731">
      <w:pPr>
        <w:pStyle w:val="AlineaWithParag"/>
      </w:pPr>
      <w:r>
        <w:t>3.</w:t>
      </w:r>
      <w:r>
        <w:tab/>
        <w:t>Eksponeringer mot foretak som ikke har plikt til å offentliggjøre ikke-finansiell informasjon i samsvar med artikkel 19a eller 29a i direktiv 2013/34/EU, skal ikke tas med i telleren i finansforetakenes nøkkeltallsindikatorer.</w:t>
      </w:r>
    </w:p>
    <w:p w14:paraId="2FD4F932" w14:textId="77777777" w:rsidR="00A54846" w:rsidRDefault="008A2731">
      <w:pPr>
        <w:pStyle w:val="AlineaWithParag"/>
        <w:spacing w:after="0"/>
      </w:pPr>
      <w:r>
        <w:t>4.</w:t>
      </w:r>
      <w:r>
        <w:tab/>
        <w:t>Uten at det berører nr. 1, skal miljømessig bærekraftige obligasjoner eller gjeldsinstrumenter hvis formål er å finansiere konkrete, identifiserte aktiviteter, og som er utstedt av et investeringsobjekt, tas med i telleren for nøkkeltallsindikatorer opp til den fulle verdien av taksonomiforenlige økonomiske aktiviteter som provenyet fra disse obligasjonene og gjeldsinstrumentene finansierer, på grunnlag av opplysninger framlagt av investeringsobjektet.</w:t>
      </w:r>
      <w:r>
        <w:br w:type="page"/>
      </w:r>
    </w:p>
    <w:p w14:paraId="1868CF7A" w14:textId="77777777" w:rsidR="00A54846" w:rsidRDefault="008A2731">
      <w:pPr>
        <w:pStyle w:val="Alinea"/>
      </w:pPr>
      <w:r>
        <w:lastRenderedPageBreak/>
        <w:t>Eksponeringer hvis formål ikke er finansiering av konkrete, identifiserte aktiviteter, skal tas med i telleren, vektet med utstederens KPI for omsetning og KPI for investeringsutgifter i samsvar med metoden fastsatt i vedlegg III, V, VII og IX.</w:t>
      </w:r>
    </w:p>
    <w:p w14:paraId="07EC4CC5" w14:textId="77777777" w:rsidR="00A54846" w:rsidRDefault="008A2731">
      <w:pPr>
        <w:pStyle w:val="Alinea"/>
      </w:pPr>
      <w:r>
        <w:t>Dersom et investeringsobjekt har utstedt miljømessig bærekraftige obligasjoner eller gjeldsinstrumenter med sikte på å finansiere konkrete, identifiserte aktiviteter, skal finansforetakene gjøre tilsvarende fradrag i investeringsobjektets KPI for å unngå dobbelttelling.</w:t>
      </w:r>
    </w:p>
    <w:p w14:paraId="0F49E60E" w14:textId="7FBAF36F" w:rsidR="00A54846" w:rsidRDefault="008A2731">
      <w:pPr>
        <w:pStyle w:val="AlineaWithParag"/>
      </w:pPr>
      <w:r>
        <w:t>5.</w:t>
      </w:r>
      <w:r>
        <w:tab/>
        <w:t>Dersom de tekniske screeningkriteriene fastsatt i de delegerte rettsaktene vedtatt i samsvar med artikkel 10 nr. 3, artikkel</w:t>
      </w:r>
      <w:r w:rsidR="007D4CBF">
        <w:t> </w:t>
      </w:r>
      <w:r>
        <w:t>11 nr. 3, artikkel 12 nr. 2, artikkel 13 nr. 2, artikkel 14 nr. 2 og artikkel 15 nr. 2 i forordning (EU) 2020/852 endres, skal lånene for spesifikke formål og instrumentene nevnt i nr. 4 som innehas av finansforetak som finansierer taksonomiforenlige økonomiske aktiviteter eller eiendeler, dersom de økonomiske aktivitetene eller eiendelene som finansieres, ikke oppfyller de endrede tekniske screeningkriteriene, rapporteres som sådan i henhold til denne forordningen i inntil fem år etter anvendelsesdatoen for de delegerte rettsaktene som endrer de tekniske screeningkriteriene.</w:t>
      </w:r>
    </w:p>
    <w:p w14:paraId="210B5B50" w14:textId="77777777" w:rsidR="00A54846" w:rsidRDefault="008A2731">
      <w:pPr>
        <w:pStyle w:val="AlineaWithParag"/>
      </w:pPr>
      <w:r>
        <w:t>6.</w:t>
      </w:r>
      <w:r>
        <w:tab/>
        <w:t>Finansforetakene skal i telleren, der det er aktuelt, og nevneren for nøkkeltallsindikatorene spesifisere alle</w:t>
      </w:r>
    </w:p>
    <w:p w14:paraId="4BBAD6B1" w14:textId="77777777" w:rsidR="00A54846" w:rsidRDefault="008A2731">
      <w:pPr>
        <w:pStyle w:val="NumberedText"/>
        <w:ind w:left="293" w:hanging="293"/>
      </w:pPr>
      <w:r>
        <w:t>a)</w:t>
      </w:r>
      <w:r>
        <w:tab/>
        <w:t>eksponeringer mot og investeringer i ikke-finansielle foretak,</w:t>
      </w:r>
    </w:p>
    <w:p w14:paraId="59CB1AD7" w14:textId="77777777" w:rsidR="00A54846" w:rsidRDefault="008A2731">
      <w:pPr>
        <w:pStyle w:val="NumberedText"/>
        <w:ind w:left="293" w:hanging="293"/>
      </w:pPr>
      <w:r>
        <w:t>b)</w:t>
      </w:r>
      <w:r>
        <w:tab/>
        <w:t>eksponeringer mot og investeringer i finansforetak,</w:t>
      </w:r>
    </w:p>
    <w:p w14:paraId="5FD1A270" w14:textId="77777777" w:rsidR="00A54846" w:rsidRDefault="008A2731">
      <w:pPr>
        <w:pStyle w:val="NumberedText"/>
        <w:ind w:left="293" w:hanging="293"/>
      </w:pPr>
      <w:r>
        <w:t>c)</w:t>
      </w:r>
      <w:r>
        <w:tab/>
        <w:t>eksponeringer mot og investeringer i ikke-finansielle foretak etablert i Unionen som ikke er omfattet av plikten til å offentliggjøre en ikke-finansiell erklæring i samsvar med artikkel 19a og 29a i direktiv 2013/34/EU,</w:t>
      </w:r>
    </w:p>
    <w:p w14:paraId="085197F4" w14:textId="77777777" w:rsidR="00A54846" w:rsidRDefault="008A2731">
      <w:pPr>
        <w:pStyle w:val="NumberedText"/>
        <w:ind w:left="293" w:hanging="293"/>
      </w:pPr>
      <w:r>
        <w:t>d)</w:t>
      </w:r>
      <w:r>
        <w:tab/>
        <w:t>eksponeringer mot og investeringer i finansforetak etablert i Unionen som ikke er omfattet av plikten til å offentliggjøre en ikke-finansiell erklæring i samsvar med artikkel 19a og 29a i direktiv 2013/34/EU som nevnt i nr. 2,</w:t>
      </w:r>
    </w:p>
    <w:p w14:paraId="3D3F2962" w14:textId="77777777" w:rsidR="00A54846" w:rsidRDefault="008A2731">
      <w:pPr>
        <w:pStyle w:val="NumberedText"/>
        <w:ind w:left="293" w:hanging="293"/>
      </w:pPr>
      <w:r>
        <w:t>e)</w:t>
      </w:r>
      <w:r>
        <w:tab/>
        <w:t>eksponeringer mot og investeringer i ikke-finansielle foretak etablert i et tredjeland som ikke er omfattet av plikten til å offentliggjøre en ikke-finansiell erklæring i samsvar med artikkel 19a og 29a i direktiv 2013/34/EU,</w:t>
      </w:r>
    </w:p>
    <w:p w14:paraId="3B2361DA" w14:textId="77777777" w:rsidR="00A54846" w:rsidRDefault="008A2731">
      <w:pPr>
        <w:pStyle w:val="NumberedText"/>
        <w:ind w:left="293" w:hanging="293"/>
      </w:pPr>
      <w:r>
        <w:t>f)</w:t>
      </w:r>
      <w:r>
        <w:tab/>
        <w:t>eksponeringer mot og investeringer i finansforetak etablert i et tredjeland som ikke er omfattet av plikten til å offentliggjøre en ikke-finansiell erklæring i samsvar med artikkel 19a og 29a i direktiv 2013/34/EU,</w:t>
      </w:r>
    </w:p>
    <w:p w14:paraId="576DCC73" w14:textId="77777777" w:rsidR="00A54846" w:rsidRDefault="008A2731">
      <w:pPr>
        <w:pStyle w:val="NumberedText"/>
        <w:ind w:left="293" w:hanging="293"/>
      </w:pPr>
      <w:r>
        <w:t>g)</w:t>
      </w:r>
      <w:r>
        <w:tab/>
        <w:t>eksponeringer mot og investeringer i derivater,</w:t>
      </w:r>
    </w:p>
    <w:p w14:paraId="2A4932F7" w14:textId="77777777" w:rsidR="00A54846" w:rsidRDefault="008A2731">
      <w:pPr>
        <w:pStyle w:val="NumberedText"/>
        <w:ind w:left="293" w:hanging="293"/>
      </w:pPr>
      <w:r>
        <w:t>h)</w:t>
      </w:r>
      <w:r>
        <w:tab/>
        <w:t>andre eksponeringer og investeringer.</w:t>
      </w:r>
    </w:p>
    <w:p w14:paraId="553509BE" w14:textId="534396C2" w:rsidR="00A54846" w:rsidRDefault="008A2731">
      <w:pPr>
        <w:pStyle w:val="AlineaWithParag"/>
      </w:pPr>
      <w:r>
        <w:t>7.</w:t>
      </w:r>
      <w:r>
        <w:tab/>
        <w:t>Finansforetakene kan anvende estimater for å vurdere i hvilken grad deres eksponeringer mot foretak nevnt i nr. 6 bokstav</w:t>
      </w:r>
      <w:r w:rsidR="007D4CBF">
        <w:t> </w:t>
      </w:r>
      <w:r>
        <w:t>e) og f) er taksonomiforenlige, dersom disse finansforetakene er i stand til å vise at de oppfyller alle kriteriene i artikkel</w:t>
      </w:r>
      <w:r w:rsidR="007D4CBF">
        <w:t> </w:t>
      </w:r>
      <w:r>
        <w:t>3 i forordning (EU) 2020/852, med unntak av kriteriene fastsatt i artikkel 3 bokstav b) i den nevnte forordningen.</w:t>
      </w:r>
    </w:p>
    <w:p w14:paraId="6EC399F5" w14:textId="77777777" w:rsidR="00A54846" w:rsidRDefault="008A2731">
      <w:pPr>
        <w:pStyle w:val="Alinea"/>
      </w:pPr>
      <w:r>
        <w:t>Finansforetakene skal formalisere, dokumentere og offentliggjøre metoden som slike estimater er basert på, herunder tilnærmingen og forskningsmetoden, de viktigste forutsetningene og de føre-var-prinsippene som er lagt til grunn.</w:t>
      </w:r>
    </w:p>
    <w:p w14:paraId="60F64756" w14:textId="77777777" w:rsidR="00A54846" w:rsidRDefault="008A2731">
      <w:pPr>
        <w:pStyle w:val="Alinea"/>
      </w:pPr>
      <w:r>
        <w:t>Finansforetakene skal legge fram opplysninger om</w:t>
      </w:r>
    </w:p>
    <w:p w14:paraId="631B877B" w14:textId="77777777" w:rsidR="00A54846" w:rsidRDefault="008A2731">
      <w:pPr>
        <w:pStyle w:val="NumberedText"/>
        <w:ind w:left="293" w:hanging="293"/>
      </w:pPr>
      <w:r>
        <w:t>a)</w:t>
      </w:r>
      <w:r>
        <w:tab/>
        <w:t>andelen taksonomiforenlige eksponeringer fastsatt på grunnlag av estimater, atskilt fra sine nøkkeltallsindikatorer framlagt i samsvar med denne forordningen,</w:t>
      </w:r>
    </w:p>
    <w:p w14:paraId="32296056" w14:textId="77777777" w:rsidR="00A54846" w:rsidRDefault="008A2731">
      <w:pPr>
        <w:pStyle w:val="NumberedText"/>
        <w:ind w:left="293" w:hanging="293"/>
      </w:pPr>
      <w:r>
        <w:t>b)</w:t>
      </w:r>
      <w:r>
        <w:tab/>
        <w:t>tiltakene som er truffet, og den tiden de trenger for å vise at de oppfyller kriteriene fastsatt i artikkel 3 bokstav b) i forordning (EU) 2020/852.</w:t>
      </w:r>
    </w:p>
    <w:p w14:paraId="7861973C" w14:textId="77777777" w:rsidR="00A54846" w:rsidRDefault="008A2731">
      <w:pPr>
        <w:pStyle w:val="TIART"/>
      </w:pPr>
      <w:r>
        <w:t>Artikkel 8</w:t>
      </w:r>
    </w:p>
    <w:p w14:paraId="52F3CA63" w14:textId="77777777" w:rsidR="00A54846" w:rsidRDefault="008A2731">
      <w:pPr>
        <w:pStyle w:val="STIART"/>
      </w:pPr>
      <w:r>
        <w:t>Felles regler for offentliggjøring for alle finansforetak og ikke-finansielle foretak</w:t>
      </w:r>
    </w:p>
    <w:p w14:paraId="6DA81FE3" w14:textId="77777777" w:rsidR="00A54846" w:rsidRDefault="008A2731">
      <w:pPr>
        <w:pStyle w:val="AlineaWithParag"/>
        <w:spacing w:after="0"/>
      </w:pPr>
      <w:r>
        <w:t>1.</w:t>
      </w:r>
      <w:r>
        <w:tab/>
        <w:t>Finansforetak og ikke-finansielle foretak skal ta med alle tilleggsopplysninger som skal vedlegges nøkkeltallsindikatorene i henhold til vedlegg I, III, V, VII og XI i de samme delene av den ikke-finansielle erklæringen som inneholder disse tallene, eller sette inn krysshenvisninger til de delene av de ikke-finansielle erklæringene som inneholder disse tallene.</w:t>
      </w:r>
      <w:r>
        <w:br w:type="page"/>
      </w:r>
    </w:p>
    <w:p w14:paraId="65DC4531" w14:textId="77777777" w:rsidR="00A54846" w:rsidRDefault="008A2731">
      <w:pPr>
        <w:pStyle w:val="AlineaWithParag"/>
      </w:pPr>
      <w:r>
        <w:lastRenderedPageBreak/>
        <w:t>2.</w:t>
      </w:r>
      <w:r>
        <w:tab/>
        <w:t>Opplysninger som legges fram i samsvar med denne forordningen, skal omfatte den årlige rapporteringsperioden for det kalenderåret som går forut for datoen for offentliggjøring av opplysningene.</w:t>
      </w:r>
    </w:p>
    <w:p w14:paraId="4E576136" w14:textId="77777777" w:rsidR="00A54846" w:rsidRDefault="008A2731">
      <w:pPr>
        <w:pStyle w:val="AlineaWithParag"/>
      </w:pPr>
      <w:r>
        <w:t>3.</w:t>
      </w:r>
      <w:r>
        <w:tab/>
        <w:t>Finansforetak og ikke-finansielle foretak skal i den ikke-finansielle erklæringen legge fram nøkkeltallsindikatorer som dekker den foregående årlige rapporteringsperioden.</w:t>
      </w:r>
    </w:p>
    <w:p w14:paraId="09392A7D" w14:textId="77777777" w:rsidR="00A54846" w:rsidRDefault="008A2731">
      <w:pPr>
        <w:pStyle w:val="Alinea"/>
      </w:pPr>
      <w:r>
        <w:t>For anvendelsen av dette nummeret skal den første årlige rapporteringsperioden dekke året 2023.</w:t>
      </w:r>
    </w:p>
    <w:p w14:paraId="711FB707" w14:textId="77777777" w:rsidR="00A54846" w:rsidRDefault="008A2731">
      <w:pPr>
        <w:pStyle w:val="AlineaWithParag"/>
      </w:pPr>
      <w:r>
        <w:t>4.</w:t>
      </w:r>
      <w:r>
        <w:tab/>
        <w:t>Finansforetak og ikke-finansielle foretak skal i opplysningene de legger fram, bruke samme valuta som i sine finansregnskaper.</w:t>
      </w:r>
    </w:p>
    <w:p w14:paraId="68BD7B88" w14:textId="77777777" w:rsidR="00A54846" w:rsidRDefault="008A2731">
      <w:pPr>
        <w:pStyle w:val="Alinea"/>
      </w:pPr>
      <w:r>
        <w:t>Finansforetakene skal beregne sine nøkkeltallsindikatorer på grunnlag av de senest tilgjengelige dataene og nøkkeltallsindikatorene fra sine motparter.</w:t>
      </w:r>
    </w:p>
    <w:p w14:paraId="4838F123" w14:textId="77777777" w:rsidR="00A54846" w:rsidRDefault="008A2731">
      <w:pPr>
        <w:pStyle w:val="AlineaWithParag"/>
      </w:pPr>
      <w:r>
        <w:t>5.</w:t>
      </w:r>
      <w:r>
        <w:tab/>
        <w:t>Nøkkeltallsindikatorene skal bare omfatte målene begrensning av klimaendringer og tilpasning til klimaendringer fram til tolv måneder etter anvendelsesdatoen for de delegerte forordningene som inneholder de tekniske screeningkriteriene for de andre miljømålene, og som er vedtatt i samsvar med artikkel 12 nr. 2, artikkel 13 nr. 2, artikkel 14 nr. 2 og artikkel 15 nr. 2 i forordning (EU) 2020/852.</w:t>
      </w:r>
    </w:p>
    <w:p w14:paraId="4B87B8A9" w14:textId="77777777" w:rsidR="00A54846" w:rsidRDefault="008A2731">
      <w:pPr>
        <w:pStyle w:val="TIART"/>
      </w:pPr>
      <w:r>
        <w:t>Artikkel 9</w:t>
      </w:r>
    </w:p>
    <w:p w14:paraId="30C40948" w14:textId="77777777" w:rsidR="00A54846" w:rsidRDefault="008A2731">
      <w:pPr>
        <w:pStyle w:val="STIART"/>
      </w:pPr>
      <w:r>
        <w:t>Gjennomgåelse</w:t>
      </w:r>
    </w:p>
    <w:p w14:paraId="6BA4D97C" w14:textId="77777777" w:rsidR="00A54846" w:rsidRDefault="008A2731">
      <w:pPr>
        <w:pStyle w:val="AlineaWithParag"/>
      </w:pPr>
      <w:r>
        <w:t>1.</w:t>
      </w:r>
      <w:r>
        <w:tab/>
        <w:t>Kommisjonen skal innen 30. juni 2024 gjennomgå anvendelsen av denne forordningen. Kommisjonen skal særlig vurdere behovet for eventuelle ytterligere endringer med hensyn til inkludering av</w:t>
      </w:r>
    </w:p>
    <w:p w14:paraId="2E384B15" w14:textId="77777777" w:rsidR="00A54846" w:rsidRDefault="008A2731">
      <w:pPr>
        <w:pStyle w:val="NumberedText"/>
        <w:ind w:left="293" w:hanging="293"/>
      </w:pPr>
      <w:r>
        <w:t>a)</w:t>
      </w:r>
      <w:r>
        <w:tab/>
        <w:t>eksponeringer mot sentralmyndigheter og sentralbanker i telleren og nevneren i finansforetakenes nøkkeltallsindikatorer,</w:t>
      </w:r>
    </w:p>
    <w:p w14:paraId="40A520CC" w14:textId="77777777" w:rsidR="00A54846" w:rsidRDefault="008A2731">
      <w:pPr>
        <w:pStyle w:val="NumberedText"/>
        <w:ind w:left="293" w:hanging="293"/>
      </w:pPr>
      <w:r>
        <w:t>b)</w:t>
      </w:r>
      <w:r>
        <w:tab/>
        <w:t>eksponeringer mot foretak som ikke offentliggjør en ikke-finansiell erklæring i samsvar med artikkel 19a eller 29a i direktiv 2013/34/EU, i telleren i finansforetakenes nøkkeltallsindikatorer.</w:t>
      </w:r>
    </w:p>
    <w:p w14:paraId="19E8067B" w14:textId="77777777" w:rsidR="00A54846" w:rsidRDefault="008A2731">
      <w:pPr>
        <w:pStyle w:val="AlineaWithParag"/>
      </w:pPr>
      <w:r>
        <w:t>2.</w:t>
      </w:r>
      <w:r>
        <w:tab/>
        <w:t>Gjennomgåelsen med hensyn til eksponeringer mot små og mellomstore bedrifter vil bli ledsaget av en vurdering av konsekvensene for den administrative byrden, tilgangen til finansiering og eventuelle konsekvenser for små og mellomstore bedrifter av en mulig utvidelse til eksponeringer mot små og mellomstore bedrifter som ikke er omfattet av denne delegerte forordningen, eller som frivillig framlegger slike opplysninger.</w:t>
      </w:r>
    </w:p>
    <w:p w14:paraId="754D6463" w14:textId="64B9D99C" w:rsidR="00A54846" w:rsidRDefault="008A2731">
      <w:pPr>
        <w:pStyle w:val="AlineaWithParag"/>
      </w:pPr>
      <w:r>
        <w:t>3.</w:t>
      </w:r>
      <w:r>
        <w:tab/>
        <w:t>Eksponeringer mot og investeringer i foretak som ikke offentliggjør ikke-finansiell informasjon i samsvar med artikkel</w:t>
      </w:r>
      <w:r w:rsidR="007D4CBF">
        <w:t> </w:t>
      </w:r>
      <w:r>
        <w:t>19a og 29a i direktiv 2013/34/EU og artikkel 8 i forordning (EU) 2020/852, men som frivillig legger fram tilsvarende opplysninger, kan inkluderes i telleren i finansforetakenes nøkkeltallsindikatorer fra og med 1. januar 2025 forutsatt at vurderingen nevnt i nr. 2 er positiv.</w:t>
      </w:r>
    </w:p>
    <w:p w14:paraId="351123A6" w14:textId="77777777" w:rsidR="00A54846" w:rsidRDefault="008A2731">
      <w:pPr>
        <w:pStyle w:val="TIART"/>
      </w:pPr>
      <w:r>
        <w:t>Artikkel 10</w:t>
      </w:r>
    </w:p>
    <w:p w14:paraId="6D91708B" w14:textId="77777777" w:rsidR="00A54846" w:rsidRDefault="008A2731">
      <w:pPr>
        <w:pStyle w:val="STIART"/>
      </w:pPr>
      <w:r>
        <w:t>Ikrafttredelse og anvendelse</w:t>
      </w:r>
    </w:p>
    <w:p w14:paraId="7F976B25" w14:textId="77777777" w:rsidR="00A54846" w:rsidRDefault="008A2731">
      <w:pPr>
        <w:pStyle w:val="AlineaWithParag"/>
      </w:pPr>
      <w:r>
        <w:t>1.</w:t>
      </w:r>
      <w:r>
        <w:tab/>
        <w:t xml:space="preserve">Denne forordningen trer i kraft den 20. dagen etter at den er kunngjort i </w:t>
      </w:r>
      <w:r>
        <w:rPr>
          <w:i/>
        </w:rPr>
        <w:t>Den europeiske unions tidende</w:t>
      </w:r>
      <w:r>
        <w:t>.</w:t>
      </w:r>
    </w:p>
    <w:p w14:paraId="6EF664F2" w14:textId="77777777" w:rsidR="00A54846" w:rsidRDefault="008A2731">
      <w:pPr>
        <w:pStyle w:val="AlineaWithParag"/>
      </w:pPr>
      <w:r>
        <w:t>2.</w:t>
      </w:r>
      <w:r>
        <w:tab/>
        <w:t>Fra og med 1. januar 2022 til og med 31. desember 2022 skal ikke-finansielle foretak bare legge fram opplysninger om hvor stor andel av deres samlede omsetning og investerings- og driftsutgifter som utgjøres av økonomiske aktiviteter som er omfattet av taksonomien, og økonomiske aktiviteter som ikke er omfattet av taksonomien, og de kvalitative opplysningene nevnt i avsnitt 1.2 i vedlegg I som er relevante for denne offentliggjøringen.</w:t>
      </w:r>
    </w:p>
    <w:p w14:paraId="7D8B9783" w14:textId="77777777" w:rsidR="00A54846" w:rsidRDefault="008A2731">
      <w:pPr>
        <w:pStyle w:val="AlineaWithParag"/>
      </w:pPr>
      <w:r>
        <w:t>3.</w:t>
      </w:r>
      <w:r>
        <w:tab/>
        <w:t>Fra 1. januar 2022 til 31. desember 2023 skal finansforetak bare legge fram opplysninger om</w:t>
      </w:r>
    </w:p>
    <w:p w14:paraId="6F4089AD" w14:textId="77777777" w:rsidR="00A54846" w:rsidRDefault="008A2731">
      <w:pPr>
        <w:pStyle w:val="NumberedText"/>
        <w:ind w:left="293" w:hanging="293"/>
      </w:pPr>
      <w:r>
        <w:t>a)</w:t>
      </w:r>
      <w:r>
        <w:tab/>
        <w:t>hvor stor andel av deres samlede eiendeler som er eksponert mot økonomiske aktiviteter som ikke er omfattet av taksonomien, og mot økonomiske aktiviteter som er omfattet av taksonomien,</w:t>
      </w:r>
    </w:p>
    <w:p w14:paraId="19EEB340" w14:textId="77777777" w:rsidR="00A54846" w:rsidRDefault="008A2731">
      <w:pPr>
        <w:pStyle w:val="NumberedText"/>
        <w:spacing w:after="0"/>
        <w:ind w:left="293" w:hanging="293"/>
      </w:pPr>
      <w:r>
        <w:t>b)</w:t>
      </w:r>
      <w:r>
        <w:tab/>
        <w:t>hvor stor andel eksponeringene nevnt i artikkel 7 nr. 1 og 2 utgjør av deres samlede eiendeler,</w:t>
      </w:r>
    </w:p>
    <w:p w14:paraId="755F6C66" w14:textId="77777777" w:rsidR="00A54846" w:rsidRDefault="00A54846">
      <w:pPr>
        <w:pStyle w:val="NumberedText"/>
        <w:ind w:left="293" w:hanging="293"/>
        <w:sectPr w:rsidR="00A54846">
          <w:headerReference w:type="even" r:id="rId8"/>
          <w:headerReference w:type="default" r:id="rId9"/>
          <w:footerReference w:type="even" r:id="rId10"/>
          <w:footerReference w:type="default" r:id="rId11"/>
          <w:headerReference w:type="first" r:id="rId12"/>
          <w:footerReference w:type="first" r:id="rId13"/>
          <w:footnotePr>
            <w:pos w:val="beneathText"/>
          </w:footnotePr>
          <w:type w:val="nextColumn"/>
          <w:pgSz w:w="11906" w:h="16838" w:code="9"/>
          <w:pgMar w:top="1680" w:right="1333" w:bottom="840" w:left="1333" w:header="920" w:footer="280" w:gutter="0"/>
          <w:cols w:space="708"/>
          <w:vAlign w:val="both"/>
          <w:docGrid w:linePitch="360"/>
        </w:sectPr>
      </w:pPr>
    </w:p>
    <w:p w14:paraId="68CE7033" w14:textId="77777777" w:rsidR="00A54846" w:rsidRDefault="008A2731">
      <w:pPr>
        <w:pStyle w:val="NumberedText"/>
        <w:spacing w:after="120"/>
        <w:ind w:left="293" w:hanging="293"/>
      </w:pPr>
      <w:r>
        <w:lastRenderedPageBreak/>
        <w:t>c)</w:t>
      </w:r>
      <w:r>
        <w:tab/>
        <w:t>hvor stor andel eksponeringene nevnt i artikkel 7 nr. 3 utgjør av deres samlede eiendeler,</w:t>
      </w:r>
    </w:p>
    <w:p w14:paraId="52B34B23" w14:textId="77777777" w:rsidR="00A54846" w:rsidRDefault="008A2731">
      <w:pPr>
        <w:pStyle w:val="NumberedText"/>
        <w:spacing w:after="120"/>
        <w:ind w:left="293" w:hanging="293"/>
      </w:pPr>
      <w:r>
        <w:t>d)</w:t>
      </w:r>
      <w:r>
        <w:tab/>
        <w:t>de kvalitative opplysningene nevnt i vedlegg XI.</w:t>
      </w:r>
    </w:p>
    <w:p w14:paraId="43566C29" w14:textId="77777777" w:rsidR="00A54846" w:rsidRDefault="008A2731">
      <w:pPr>
        <w:pStyle w:val="Alinea"/>
        <w:spacing w:after="120"/>
      </w:pPr>
      <w:r>
        <w:t>Kredittinstitusjoner skal også legge fram opplysninger om hvor stor andel deres handelsportefølje og interbanklån på anfordring utgjør av deres samlede eiendeler.</w:t>
      </w:r>
    </w:p>
    <w:p w14:paraId="658030B1" w14:textId="77777777" w:rsidR="00A54846" w:rsidRDefault="008A2731">
      <w:pPr>
        <w:pStyle w:val="Alinea"/>
        <w:spacing w:after="120"/>
      </w:pPr>
      <w:r>
        <w:t>Forsikrings- og gjenforsikringsforetak skal også legge fram opplysninger om hvor stor andel av skadeforsikringsvirksomheten som er omfattet av taksonomien, og hvor stor andel av skadeforsikringsvirksomheten som ikke er omfattet av taksonomien.</w:t>
      </w:r>
    </w:p>
    <w:p w14:paraId="01D8E14D" w14:textId="77777777" w:rsidR="00A54846" w:rsidRDefault="008A2731">
      <w:pPr>
        <w:pStyle w:val="AlineaWithParag"/>
        <w:spacing w:after="120"/>
      </w:pPr>
      <w:r>
        <w:t>4.</w:t>
      </w:r>
      <w:r>
        <w:tab/>
        <w:t>Nøkkeltallsindikatorene for ikke-finansielle foretak, herunder eventuelle medfølgende opplysninger som skal legges fram i samsvar med vedlegg I og II til denne forordningen, skal offentliggjøres fra og med 1. januar 2023.</w:t>
      </w:r>
    </w:p>
    <w:p w14:paraId="78480922" w14:textId="77777777" w:rsidR="00A54846" w:rsidRDefault="008A2731">
      <w:pPr>
        <w:pStyle w:val="AlineaWithParag"/>
        <w:spacing w:after="120"/>
      </w:pPr>
      <w:r>
        <w:t>5.</w:t>
      </w:r>
      <w:r>
        <w:tab/>
        <w:t>Nøkkeltallsindikatorene for finansforetak, herunder eventuelle medfølgende opplysninger som skal legges fram i samsvar med vedlegg III, V, VII, IX og XI til denne forordningen, skal offentliggjøres fra og med 1. januar 2024.</w:t>
      </w:r>
    </w:p>
    <w:p w14:paraId="7E93461A" w14:textId="77777777" w:rsidR="00A54846" w:rsidRDefault="008A2731">
      <w:pPr>
        <w:pStyle w:val="Alinea"/>
        <w:spacing w:after="600"/>
      </w:pPr>
      <w:r>
        <w:t>Avsnitt 1.2.3 og 1.2.4 i vedlegg V får anvendelse fra 1. januar 2026.</w:t>
      </w:r>
    </w:p>
    <w:p w14:paraId="72F541D0" w14:textId="77777777" w:rsidR="00A54846" w:rsidRDefault="008A2731">
      <w:pPr>
        <w:pStyle w:val="Final"/>
        <w:spacing w:after="300"/>
        <w:ind w:left="1020"/>
      </w:pPr>
      <w:r>
        <w:t>Denne forordningen er bindende i alle deler og kommer direkte til anvendelse i alle medlemsstater.</w:t>
      </w:r>
    </w:p>
    <w:p w14:paraId="45EAB7D5" w14:textId="77777777" w:rsidR="00A54846" w:rsidRDefault="008A2731">
      <w:pPr>
        <w:pStyle w:val="Final"/>
        <w:ind w:left="1020"/>
      </w:pPr>
      <w:r>
        <w:t>Utferdiget i Brussel 6. juli 2021.</w:t>
      </w:r>
    </w:p>
    <w:tbl>
      <w:tblPr>
        <w:tblW w:w="7908" w:type="dxa"/>
        <w:tblInd w:w="670" w:type="dxa"/>
        <w:tblLook w:val="04A0" w:firstRow="1" w:lastRow="0" w:firstColumn="1" w:lastColumn="0" w:noHBand="0" w:noVBand="1"/>
      </w:tblPr>
      <w:tblGrid>
        <w:gridCol w:w="4346"/>
        <w:gridCol w:w="3562"/>
      </w:tblGrid>
      <w:tr w:rsidR="00A54846" w14:paraId="58B988F8" w14:textId="77777777">
        <w:trPr>
          <w:trHeight w:val="440"/>
        </w:trPr>
        <w:tc>
          <w:tcPr>
            <w:tcW w:w="4346" w:type="dxa"/>
          </w:tcPr>
          <w:p w14:paraId="589B362D" w14:textId="77777777" w:rsidR="00A54846" w:rsidRDefault="00A54846">
            <w:pPr>
              <w:pStyle w:val="Para"/>
            </w:pPr>
          </w:p>
        </w:tc>
        <w:tc>
          <w:tcPr>
            <w:tcW w:w="3562" w:type="dxa"/>
          </w:tcPr>
          <w:p w14:paraId="557A4758" w14:textId="77777777" w:rsidR="00A54846" w:rsidRDefault="008A2731">
            <w:pPr>
              <w:pStyle w:val="Signatory"/>
              <w:spacing w:after="120"/>
            </w:pPr>
            <w:r>
              <w:rPr>
                <w:i/>
              </w:rPr>
              <w:t>For Kommisjonen</w:t>
            </w:r>
          </w:p>
          <w:p w14:paraId="4F0FE37E" w14:textId="77777777" w:rsidR="00A54846" w:rsidRDefault="008A2731">
            <w:pPr>
              <w:pStyle w:val="SignatorySmall"/>
              <w:spacing w:after="120"/>
            </w:pPr>
            <w:r>
              <w:t xml:space="preserve">Ursula </w:t>
            </w:r>
            <w:r>
              <w:rPr>
                <w:caps/>
              </w:rPr>
              <w:t>von der Leyen</w:t>
            </w:r>
          </w:p>
          <w:p w14:paraId="2F974186" w14:textId="77777777" w:rsidR="00A54846" w:rsidRDefault="008A2731">
            <w:pPr>
              <w:pStyle w:val="Signatory"/>
            </w:pPr>
            <w:r>
              <w:rPr>
                <w:i/>
              </w:rPr>
              <w:t>President</w:t>
            </w:r>
          </w:p>
        </w:tc>
      </w:tr>
    </w:tbl>
    <w:p w14:paraId="60C88362" w14:textId="77777777" w:rsidR="00A54846" w:rsidRDefault="008A2731">
      <w:pPr>
        <w:pStyle w:val="line2"/>
        <w:pBdr>
          <w:bottom w:val="none" w:sz="0" w:space="0" w:color="auto"/>
        </w:pBdr>
        <w:tabs>
          <w:tab w:val="left" w:leader="underscore" w:pos="522"/>
        </w:tabs>
        <w:spacing w:before="200"/>
        <w:ind w:left="0" w:right="0"/>
      </w:pPr>
      <w:r>
        <w:tab/>
      </w:r>
    </w:p>
    <w:p w14:paraId="07653905" w14:textId="77777777" w:rsidR="00A54846" w:rsidRDefault="00A54846">
      <w:pPr>
        <w:pStyle w:val="AnnexTI"/>
        <w:spacing w:after="360"/>
        <w:sectPr w:rsidR="00A54846">
          <w:footnotePr>
            <w:pos w:val="beneathText"/>
          </w:footnotePr>
          <w:pgSz w:w="11906" w:h="16838" w:code="9"/>
          <w:pgMar w:top="1680" w:right="1333" w:bottom="840" w:left="1333" w:header="920" w:footer="280" w:gutter="0"/>
          <w:cols w:space="708"/>
          <w:docGrid w:linePitch="360"/>
        </w:sectPr>
      </w:pPr>
    </w:p>
    <w:p w14:paraId="5149364E" w14:textId="77777777" w:rsidR="00A54846" w:rsidRDefault="008A2731">
      <w:pPr>
        <w:pStyle w:val="AnnexTI"/>
        <w:spacing w:after="360"/>
      </w:pPr>
      <w:r>
        <w:lastRenderedPageBreak/>
        <w:t>VEDLEGG I</w:t>
      </w:r>
    </w:p>
    <w:p w14:paraId="00B51EBD" w14:textId="77777777" w:rsidR="00A54846" w:rsidRDefault="008A2731">
      <w:pPr>
        <w:pStyle w:val="AnnexSTI"/>
        <w:spacing w:after="300" w:line="200" w:lineRule="exact"/>
        <w:rPr>
          <w:sz w:val="16"/>
        </w:rPr>
      </w:pPr>
      <w:r>
        <w:rPr>
          <w:sz w:val="16"/>
        </w:rPr>
        <w:t>KPI-er FOR IKKE-FINANSIELLE FORETAK</w:t>
      </w:r>
    </w:p>
    <w:p w14:paraId="3F68E851" w14:textId="77777777" w:rsidR="00A54846" w:rsidRDefault="008A2731">
      <w:pPr>
        <w:pStyle w:val="AnnexNumberedText"/>
        <w:ind w:left="684" w:hanging="684"/>
      </w:pPr>
      <w:r>
        <w:t>1.</w:t>
      </w:r>
      <w:r>
        <w:rPr>
          <w:b/>
        </w:rPr>
        <w:tab/>
        <w:t>Innholdet i KPI-er som skal legges fram av ikke-finansielle foretak</w:t>
      </w:r>
    </w:p>
    <w:p w14:paraId="36A532FC" w14:textId="77777777" w:rsidR="00A54846" w:rsidRDefault="008A2731">
      <w:pPr>
        <w:pStyle w:val="AnnexNumberedText"/>
        <w:ind w:left="684" w:hanging="684"/>
      </w:pPr>
      <w:r>
        <w:t>1.1.</w:t>
      </w:r>
      <w:r>
        <w:rPr>
          <w:i/>
        </w:rPr>
        <w:tab/>
        <w:t>Nærmere beskrivelse av nøkkeltallsindikatorene (KPI-ene)</w:t>
      </w:r>
    </w:p>
    <w:p w14:paraId="7AA1BE64" w14:textId="77777777" w:rsidR="00A54846" w:rsidRDefault="008A2731">
      <w:pPr>
        <w:pStyle w:val="AnnexNumberedText"/>
        <w:ind w:left="684" w:hanging="684"/>
      </w:pPr>
      <w:r>
        <w:t>1.1.1.</w:t>
      </w:r>
      <w:r>
        <w:tab/>
        <w:t>KPI for omsetning</w:t>
      </w:r>
    </w:p>
    <w:p w14:paraId="2A120228" w14:textId="77777777" w:rsidR="00A54846" w:rsidRDefault="008A2731">
      <w:pPr>
        <w:pStyle w:val="AnnexNormal"/>
      </w:pPr>
      <w:r>
        <w:t>Den andelen av omsetningen som er nevnt i artikkel 8 nr. 2 bokstav a) i forordning (EU) 2020/852, skal beregnes som den andelen av nettoomsetningen som kan henføres til produkter eller tjenester, herunder immaterielle, som er forbundet med taksonomiforenlige økonomiske aktiviteter (telleren), dividert med nettoomsetningen (nevneren) som definert i artikkel 2 nr. 5 i direktiv 2013/34/EU. Omsetningen skal omfatte inntekter som er innregnet i samsvar med internasjonal regnskapsstandard (IAS) 1 avsnitt 82 bokstav a) som vedtatt ved kommisjonsforordning (EF) nr. 1126/2008(</w:t>
      </w:r>
      <w:bookmarkStart w:id="7" w:name="NOTE_8"/>
      <w:r>
        <w:rPr>
          <w:rStyle w:val="FootnoteReference"/>
        </w:rPr>
        <w:footnoteReference w:id="9"/>
      </w:r>
      <w:bookmarkEnd w:id="7"/>
      <w:r>
        <w:t>).</w:t>
      </w:r>
    </w:p>
    <w:p w14:paraId="0FE98DE1" w14:textId="77777777" w:rsidR="00A54846" w:rsidRDefault="008A2731">
      <w:pPr>
        <w:pStyle w:val="AnnexNormal"/>
      </w:pPr>
      <w:r>
        <w:t>I telleren for KPI-en nevnt i første ledd, skal den andelen av nettoomsetningen som kan henføres til produkter og tjenester som er forbundet med økonomiske aktiviteter som er tilpasset klimaendringer i tråd med artikkel 11 nr. 1 bokstav a) i forordning (EU) 2020/852 og i samsvar med vedlegg II til delegert forordning (EU) 2021/2139, ikke tas med med mindre aktivitetene</w:t>
      </w:r>
    </w:p>
    <w:p w14:paraId="0DF49FF2" w14:textId="77777777" w:rsidR="00A54846" w:rsidRDefault="008A2731">
      <w:pPr>
        <w:pStyle w:val="AnnexNumberedText"/>
        <w:ind w:left="293" w:hanging="293"/>
      </w:pPr>
      <w:r>
        <w:t>a)</w:t>
      </w:r>
      <w:r>
        <w:tab/>
        <w:t>anses som muliggjørende aktiviteter i samsvar med artikkel 11 nr. 1 bokstav b) i forordning (EU) 2020/852, eller</w:t>
      </w:r>
    </w:p>
    <w:p w14:paraId="7CA8CB05" w14:textId="77777777" w:rsidR="00A54846" w:rsidRDefault="008A2731">
      <w:pPr>
        <w:pStyle w:val="AnnexNumberedText"/>
        <w:ind w:left="293" w:hanging="293"/>
      </w:pPr>
      <w:r>
        <w:t>b)</w:t>
      </w:r>
      <w:r>
        <w:tab/>
        <w:t>selv er taksonomiforenlige.</w:t>
      </w:r>
    </w:p>
    <w:p w14:paraId="72818349" w14:textId="77777777" w:rsidR="00A54846" w:rsidRDefault="008A2731">
      <w:pPr>
        <w:pStyle w:val="AnnexNumberedText"/>
        <w:ind w:left="684" w:hanging="684"/>
      </w:pPr>
      <w:r>
        <w:t>1.1.2.</w:t>
      </w:r>
      <w:r>
        <w:tab/>
        <w:t>KPI for investeringsutgifter (CapEx) (CapEx-basert KPI)</w:t>
      </w:r>
    </w:p>
    <w:p w14:paraId="6D968D1D" w14:textId="77777777" w:rsidR="00A54846" w:rsidRDefault="008A2731">
      <w:pPr>
        <w:pStyle w:val="AnnexNormal"/>
      </w:pPr>
      <w:r>
        <w:t>Den andelen av investeringsutgiftene som er nevnt i artikkel 8 nr. 2 bokstav b) i forordning (EU) 2020/852, skal beregnes som telleren dividert med nevneren som angitt i punkt 1.1.2.1 og 1.1.2.2 i dette vedlegget.</w:t>
      </w:r>
    </w:p>
    <w:p w14:paraId="43B08CA4" w14:textId="77777777" w:rsidR="00A54846" w:rsidRDefault="008A2731">
      <w:pPr>
        <w:pStyle w:val="AnnexNumberedText"/>
        <w:ind w:left="684" w:hanging="684"/>
      </w:pPr>
      <w:r>
        <w:t>1.1.2.1.</w:t>
      </w:r>
      <w:r>
        <w:tab/>
        <w:t>Nevner</w:t>
      </w:r>
    </w:p>
    <w:p w14:paraId="67105A33" w14:textId="77777777" w:rsidR="00A54846" w:rsidRDefault="008A2731">
      <w:pPr>
        <w:pStyle w:val="AnnexNormal"/>
      </w:pPr>
      <w:r>
        <w:t>Nevneren skal omfatte tilganger i materielle og immaterielle eiendeler i løpet av det aktuelle regnskapsåret, før avskrivninger og eventuelle justeringer av måling av balanseverdier, herunder slike som oppstår etter verdiregulering og verdifall, for det aktuelle regnskapsåret, og unntatt endringer i virkelig verdi. Nevneren skal også omfatte tilganger i materielle og immaterielle eiendeler som kan henføres til virksomhetssammenslutninger.</w:t>
      </w:r>
    </w:p>
    <w:p w14:paraId="79614292" w14:textId="77777777" w:rsidR="00A54846" w:rsidRDefault="008A2731">
      <w:pPr>
        <w:pStyle w:val="AnnexNormal"/>
      </w:pPr>
      <w:r>
        <w:t>For ikke-finansielle foretak som anvender internasjonal standard for finansiell rapportering (IFRS) som vedtatt ved forordning (EF) nr. 1126/2008, skal investeringsutgifter omfatte kostnader som er regnskapsført på grunnlag av:</w:t>
      </w:r>
    </w:p>
    <w:p w14:paraId="2343D865" w14:textId="77777777" w:rsidR="00A54846" w:rsidRDefault="008A2731">
      <w:pPr>
        <w:pStyle w:val="AnnexNumberedText"/>
        <w:ind w:left="293" w:hanging="293"/>
      </w:pPr>
      <w:r>
        <w:t>a)</w:t>
      </w:r>
      <w:r>
        <w:tab/>
        <w:t>IAS 16 Eiendom, anlegg og utstyr, avsnitt 73 bokstav e) punkt i) og iii),</w:t>
      </w:r>
    </w:p>
    <w:p w14:paraId="7CD1702E" w14:textId="77777777" w:rsidR="00A54846" w:rsidRDefault="008A2731">
      <w:pPr>
        <w:pStyle w:val="AnnexNumberedText"/>
        <w:ind w:left="293" w:hanging="293"/>
      </w:pPr>
      <w:r>
        <w:t>b)</w:t>
      </w:r>
      <w:r>
        <w:tab/>
        <w:t>IAS 38 Immaterielle eiendeler, avsnitt 118 bokstav e) punkt i),</w:t>
      </w:r>
    </w:p>
    <w:p w14:paraId="09C99E95" w14:textId="77777777" w:rsidR="00A54846" w:rsidRDefault="008A2731">
      <w:pPr>
        <w:pStyle w:val="AnnexNumberedText"/>
        <w:ind w:left="293" w:hanging="293"/>
      </w:pPr>
      <w:r>
        <w:t>c)</w:t>
      </w:r>
      <w:r>
        <w:tab/>
        <w:t>IAS 40 Investeringseiendom, avsnitt 76 bokstav a) og b) (for modellen med virkelig verdi),</w:t>
      </w:r>
    </w:p>
    <w:p w14:paraId="16D57600" w14:textId="77777777" w:rsidR="00A54846" w:rsidRDefault="008A2731">
      <w:pPr>
        <w:pStyle w:val="AnnexNumberedText"/>
        <w:ind w:left="293" w:hanging="293"/>
      </w:pPr>
      <w:r>
        <w:t>d)</w:t>
      </w:r>
      <w:r>
        <w:tab/>
        <w:t>IAS 40 Investeringseiendom, avsnitt 79 bokstav d) punkt i) og ii) (for anskaffelseskostmodellen),</w:t>
      </w:r>
    </w:p>
    <w:p w14:paraId="161C9680" w14:textId="77777777" w:rsidR="00A54846" w:rsidRDefault="008A2731">
      <w:pPr>
        <w:pStyle w:val="AnnexNumberedText"/>
        <w:ind w:left="293" w:hanging="293"/>
      </w:pPr>
      <w:r>
        <w:t>e)</w:t>
      </w:r>
      <w:r>
        <w:tab/>
        <w:t>IAS 41 Landbruk, avsnitt 50 bokstav b) og e),</w:t>
      </w:r>
    </w:p>
    <w:p w14:paraId="61C65E53" w14:textId="77777777" w:rsidR="00A54846" w:rsidRDefault="008A2731">
      <w:pPr>
        <w:pStyle w:val="AnnexNumberedText"/>
        <w:ind w:left="293" w:hanging="293"/>
      </w:pPr>
      <w:r>
        <w:t>f)</w:t>
      </w:r>
      <w:r>
        <w:tab/>
        <w:t>IFRS 16 Leieavtaler, avsnitt 53 bokstav h).</w:t>
      </w:r>
    </w:p>
    <w:p w14:paraId="121D8E57" w14:textId="77777777" w:rsidR="00A54846" w:rsidRDefault="008A2731">
      <w:pPr>
        <w:pStyle w:val="AnnexNormal"/>
      </w:pPr>
      <w:r>
        <w:t>For ikke-finansielle foretak som anvender nasjonale alminnelig anerkjente regnskapsprinsipper (GAAP), skal investeringsutgiftene omfatte kostnader som er regnskapsført i samsvar med gjeldende GAAP, tilsvarende de kostnadene ikke-finansielle foretak som anvender IFRS, medregner i investeringsutgiftene.</w:t>
      </w:r>
    </w:p>
    <w:p w14:paraId="12EA6092" w14:textId="77777777" w:rsidR="00A54846" w:rsidRDefault="008A2731">
      <w:pPr>
        <w:pStyle w:val="AnnexNormal"/>
        <w:spacing w:after="0"/>
      </w:pPr>
      <w:r>
        <w:t>Leieavtaler som ikke medfører innregning av en bruksrett til eiendelen, skal ikke regnes som investeringsutgifter.</w:t>
      </w:r>
      <w:r>
        <w:br w:type="page"/>
      </w:r>
    </w:p>
    <w:p w14:paraId="44878706" w14:textId="77777777" w:rsidR="00A54846" w:rsidRDefault="008A2731">
      <w:pPr>
        <w:pStyle w:val="AnnexNumberedText"/>
        <w:ind w:left="684" w:hanging="684"/>
      </w:pPr>
      <w:r>
        <w:lastRenderedPageBreak/>
        <w:t>1.1.2.2.</w:t>
      </w:r>
      <w:r>
        <w:tab/>
        <w:t>Teller</w:t>
      </w:r>
    </w:p>
    <w:p w14:paraId="1E53BDAF" w14:textId="77777777" w:rsidR="00A54846" w:rsidRDefault="008A2731">
      <w:pPr>
        <w:pStyle w:val="AnnexNormal"/>
      </w:pPr>
      <w:r>
        <w:t>Telleren er lik den delen av investeringsutgiftene som inngår i nevneren, og som er en av følgende:</w:t>
      </w:r>
    </w:p>
    <w:p w14:paraId="0DA0A783" w14:textId="77777777" w:rsidR="00A54846" w:rsidRDefault="008A2731">
      <w:pPr>
        <w:pStyle w:val="AnnexNumberedText"/>
        <w:ind w:left="293" w:hanging="293"/>
      </w:pPr>
      <w:r>
        <w:t>a)</w:t>
      </w:r>
      <w:r>
        <w:tab/>
        <w:t>De er knyttet til eiendeler eller prosesser som er forbundet med taksonomiforenlige økonomiske aktiviteter.</w:t>
      </w:r>
    </w:p>
    <w:p w14:paraId="67470442" w14:textId="77777777" w:rsidR="00A54846" w:rsidRDefault="008A2731">
      <w:pPr>
        <w:pStyle w:val="AnnexNumberedText"/>
        <w:ind w:left="293" w:hanging="293"/>
      </w:pPr>
      <w:r>
        <w:t>b)</w:t>
      </w:r>
      <w:r>
        <w:tab/>
        <w:t>De inngår i en plan for å utvide taksonomiforenlige økonomiske aktiviteter eller for å sette økonomiske aktiviteter som omfattes av taksonomien, i stand til å bli taksonomiforenlige («CapEx-plan») i samsvar med vilkårene angitt i andre ledd i dette punkt 1.1.2.2.</w:t>
      </w:r>
    </w:p>
    <w:p w14:paraId="2A7B569B" w14:textId="77777777" w:rsidR="00A54846" w:rsidRDefault="008A2731">
      <w:pPr>
        <w:pStyle w:val="AnnexNumberedText"/>
        <w:ind w:left="293" w:hanging="293"/>
      </w:pPr>
      <w:r>
        <w:t>c)</w:t>
      </w:r>
      <w:r>
        <w:tab/>
        <w:t>De er knyttet til kjøp av produksjon fra taksonomiforenlige økonomiske aktiviteter og til enkeltstående tiltak som gjør det mulig for målaktivitetene å bli lavkarbonaktiviteter eller fører til reduserte klimagassutslipp, særlig aktivitetene oppført i punkt 7.3–7.6 i vedlegg I til den delegerte klimarettsakten, samt andre økonomiske aktiviteter som er oppført i de delegerte rettsaktene vedtatt i samsvar med artikkel 10 nr. 3, artikkel 11 nr. 3, artikkel 12 nr. 2, artikkel 13 nr. 2, artikkel 14 nr. 2 og artikkel 15 nr. 2 i forordning (EU) 2020/852, forutsatt at slike tiltak gjennomføres og er driftsklare innen 18 måneder.</w:t>
      </w:r>
    </w:p>
    <w:p w14:paraId="58B65119" w14:textId="77777777" w:rsidR="00A54846" w:rsidRDefault="008A2731">
      <w:pPr>
        <w:pStyle w:val="AnnexNormal"/>
      </w:pPr>
      <w:r>
        <w:t>CapEx-planen nevnt i første ledd i dette punkt 1.1.2.2 skal oppfylle følgende vilkår:</w:t>
      </w:r>
    </w:p>
    <w:p w14:paraId="65520F49" w14:textId="77777777" w:rsidR="00A54846" w:rsidRDefault="008A2731">
      <w:pPr>
        <w:pStyle w:val="AnnexNumberedText"/>
        <w:ind w:left="293" w:hanging="293"/>
      </w:pPr>
      <w:r>
        <w:t>a)</w:t>
      </w:r>
      <w:r>
        <w:tab/>
        <w:t>Planen har som mål enten å utvide foretakets taksonomiforenlige økonomiske aktiviteter eller å oppgradere økonomiske aktiviteter som er omfattet av taksonomien slik at de blir taksonomiforenlige i løpet av en femårsperiode.</w:t>
      </w:r>
    </w:p>
    <w:p w14:paraId="1821503E" w14:textId="77777777" w:rsidR="00A54846" w:rsidRDefault="008A2731">
      <w:pPr>
        <w:pStyle w:val="AnnexNumberedText"/>
        <w:ind w:left="293" w:hanging="293"/>
      </w:pPr>
      <w:r>
        <w:t>b)</w:t>
      </w:r>
      <w:r>
        <w:tab/>
        <w:t>Planen skal legges fram på aggregert nivå for hver økonomiske aktivitet og godkjennes av ledelsesorganet for ikke-finansielle foretak, enten direkte eller gjennom delegering.</w:t>
      </w:r>
    </w:p>
    <w:p w14:paraId="51102381" w14:textId="77777777" w:rsidR="00A54846" w:rsidRDefault="008A2731">
      <w:pPr>
        <w:pStyle w:val="AnnexNormal"/>
      </w:pPr>
      <w:r>
        <w:t>Dersom de relevante tekniske screeningkriteriene endres før CapEx-planen er ferdigstilt, skal ikke-finansielle foretak enten oppdatere planen innen to år for å sikre at de økonomiske aktivitetene nevnt i bokstav a) er i henhold til de endrede tekniske screeningkriteriene når planen ferdigstilles, eller justere telleren for den CapEx-baserte KPI-en. Ved oppdatering av planen begynner perioden nevnt i bokstav a) å løpe på nytt. Perioden nevnt i andre ledd bokstav a) i dette punkt 1.1.2.2 kan overstige fem år bare dersom en lengre periode er objektivt begrunnet i konkrete særtrekk ved den økonomiske aktiviteten og den berørte oppgraderingen, men den kan ikke være på mer enn ti år. Begrunnelsen skal angis i selve CapEx-planen og i bakgrunnsopplysningene nærmere beskrevet i punkt 1.2.3 i dette vedlegget.</w:t>
      </w:r>
    </w:p>
    <w:p w14:paraId="732EE28D" w14:textId="77777777" w:rsidR="00A54846" w:rsidRDefault="008A2731">
      <w:pPr>
        <w:pStyle w:val="AnnexNormal"/>
      </w:pPr>
      <w:r>
        <w:t>Dersom CapEx-planen ikke oppfyller vilkårene nevnt i andre ledd i dette punkt 1.1.2.2, skal tidligere offentliggjort KPI for investeringsutgifter justeres.</w:t>
      </w:r>
    </w:p>
    <w:p w14:paraId="68B6417E" w14:textId="77777777" w:rsidR="00A54846" w:rsidRDefault="008A2731">
      <w:pPr>
        <w:pStyle w:val="AnnexNormal"/>
      </w:pPr>
      <w:r>
        <w:t>Telleren skal også inneholde den delen av investeringsutgiftene som gjelder tilpasning av økonomiske aktiviteter til klimaendringer, i samsvar med vedlegg II til denne delegerte klimarettsakten. Den delen av investeringsutgiftene som skal bidra vesentlig til tilpasning til klimaendringer, skal spesifiseres i telleren.</w:t>
      </w:r>
    </w:p>
    <w:p w14:paraId="32FB6BCC" w14:textId="77777777" w:rsidR="00A54846" w:rsidRDefault="008A2731">
      <w:pPr>
        <w:pStyle w:val="AnnexNumberedText"/>
        <w:ind w:left="684" w:hanging="684"/>
      </w:pPr>
      <w:r>
        <w:t>1.1.3.</w:t>
      </w:r>
      <w:r>
        <w:tab/>
        <w:t>KPI for driftsutgifter (OpEx) (OpEx-basert KPI)</w:t>
      </w:r>
    </w:p>
    <w:p w14:paraId="72632F99" w14:textId="77777777" w:rsidR="00A54846" w:rsidRDefault="008A2731">
      <w:pPr>
        <w:pStyle w:val="AnnexNormal"/>
      </w:pPr>
      <w:r>
        <w:t>Den andelen av driftsutgiftene som er nevnt i artikkel 8 nr. 2 bokstav b) i forordning (EU) 2020/852, skal beregnes som telleren dividert med nevneren som angitt i punkt 1.1.3.1 og 1.1.3.2 i dette vedlegget.</w:t>
      </w:r>
    </w:p>
    <w:p w14:paraId="6225ED27" w14:textId="77777777" w:rsidR="00A54846" w:rsidRDefault="008A2731">
      <w:pPr>
        <w:pStyle w:val="AnnexNumberedText"/>
        <w:ind w:left="684" w:hanging="684"/>
      </w:pPr>
      <w:r>
        <w:t>1.1.3.1.</w:t>
      </w:r>
      <w:r>
        <w:tab/>
        <w:t>Nevner</w:t>
      </w:r>
    </w:p>
    <w:p w14:paraId="6407D2A6" w14:textId="77777777" w:rsidR="00A54846" w:rsidRDefault="008A2731">
      <w:pPr>
        <w:pStyle w:val="AnnexNormal"/>
      </w:pPr>
      <w:r>
        <w:t>Nevneren skal omfatte direkte, ikke-balanseførte kostnader knyttet til forskning og utvikling, byggrenovering, kortsiktige leieavtaler, vedlikehold og reparasjoner samt alle andre direkte utgifter knyttet til løpende vedlikehold av eiendom, anlegg og utstyr som forestås av foretaket eller av en tredjepart som aktiviteter som er nødvendige for at slike eiendeler til enhver tid skal fungere effektivt, er satt ut til.</w:t>
      </w:r>
    </w:p>
    <w:p w14:paraId="1B291036" w14:textId="77777777" w:rsidR="00A54846" w:rsidRDefault="008A2731">
      <w:pPr>
        <w:pStyle w:val="AnnexNormal"/>
      </w:pPr>
      <w:r>
        <w:t>Ikke-finansielle foretak som anvender nasjonale GAAP, og som ikke balansefører bruksretter, skal i driftsutgiftene ta med leiekostnader i tillegg til kostnadene oppført i første ledd i punkt 1.1.3.1 i dette vedlegget.</w:t>
      </w:r>
    </w:p>
    <w:p w14:paraId="115F9C4C" w14:textId="77777777" w:rsidR="00A54846" w:rsidRDefault="008A2731">
      <w:pPr>
        <w:pStyle w:val="AnnexNumberedText"/>
        <w:ind w:left="684" w:hanging="684"/>
      </w:pPr>
      <w:r>
        <w:t>1.1.3.2.</w:t>
      </w:r>
      <w:r>
        <w:tab/>
        <w:t>Teller</w:t>
      </w:r>
    </w:p>
    <w:p w14:paraId="1BFBB753" w14:textId="77777777" w:rsidR="00A54846" w:rsidRDefault="008A2731">
      <w:pPr>
        <w:pStyle w:val="AnnexNormal"/>
      </w:pPr>
      <w:r>
        <w:t>Telleren er lik den delen av driftsutgiftene som inngår i nevneren, og som er en av følgende:</w:t>
      </w:r>
    </w:p>
    <w:p w14:paraId="22B4A8F8" w14:textId="77777777" w:rsidR="00A54846" w:rsidRDefault="008A2731">
      <w:pPr>
        <w:pStyle w:val="AnnexNumberedText"/>
        <w:spacing w:after="0"/>
        <w:ind w:left="293" w:hanging="293"/>
      </w:pPr>
      <w:r>
        <w:t>a)</w:t>
      </w:r>
      <w:r>
        <w:tab/>
        <w:t>Den er knyttet til eiendeler eller prosesser som er forbundet med taksonomiforenlige økonomiske aktiviteter, herunder opplærings- og andre personaltilpasningsbehov, samt direkte, ikke-balanseførte kostnader til forskning og utvikling.</w:t>
      </w:r>
      <w:r>
        <w:br w:type="page"/>
      </w:r>
    </w:p>
    <w:p w14:paraId="07C30651" w14:textId="77777777" w:rsidR="00A54846" w:rsidRDefault="008A2731">
      <w:pPr>
        <w:pStyle w:val="AnnexNumberedText"/>
        <w:ind w:left="293" w:hanging="293"/>
      </w:pPr>
      <w:r>
        <w:lastRenderedPageBreak/>
        <w:t>b)</w:t>
      </w:r>
      <w:r>
        <w:tab/>
        <w:t>De inngår i CapEx-planen for å utvide taksonomiforenlige økonomiske aktiviteter eller for å sette økonomiske aktiviteter som omfattes av taksonomien, i stand til å bli taksonomiforenlige innen en forhåndsdefinert tidsramme som angitt i andre ledd i dette punkt 1.1.3.2.</w:t>
      </w:r>
    </w:p>
    <w:p w14:paraId="5FD60B32" w14:textId="77777777" w:rsidR="00A54846" w:rsidRDefault="008A2731">
      <w:pPr>
        <w:pStyle w:val="AnnexNumberedText"/>
        <w:ind w:left="293" w:hanging="293"/>
      </w:pPr>
      <w:r>
        <w:t>c)</w:t>
      </w:r>
      <w:r>
        <w:tab/>
        <w:t>De er knyttet til kjøp av produksjon fra taksonomiforenlige økonomiske aktiviteter og til enkeltstående tiltak som gjør det mulig for målaktivitetene å bli lavkarbonaktiviteter eller fører til reduserte klimagassutslipp, samt enkeltstående byggrenoveringstiltak som definert i de delegerte rettsaktene vedtatt i samsvar med artikkel 10 nr. 3, artikkel 11 nr. 3, artikkel 12 nr. 2, artikkel 13 nr. 2, artikkel 14 nr. 2 eller artikkel 15 nr. 2 i forordning (EU) 2020/852, forutsatt at slike tiltak gjennomføres og er driftsklare innen 18 måneder.</w:t>
      </w:r>
    </w:p>
    <w:p w14:paraId="317858BA" w14:textId="77777777" w:rsidR="00A54846" w:rsidRDefault="008A2731">
      <w:pPr>
        <w:pStyle w:val="AnnexNormal"/>
      </w:pPr>
      <w:r>
        <w:t>CapEx-planen nevnt i første ledd i dette punkt 1.1.3.2 skal oppfylle vilkårene angitt i punkt 1.1.2.2 i dette vedlegget.</w:t>
      </w:r>
    </w:p>
    <w:p w14:paraId="70F0B00F" w14:textId="77777777" w:rsidR="00A54846" w:rsidRDefault="008A2731">
      <w:pPr>
        <w:pStyle w:val="AnnexNormal"/>
      </w:pPr>
      <w:r>
        <w:t>Forsknings- og utviklingskostnader som allerede er medregnet i KPI-en for investeringsutgifter, skal ikke regnes som driftsutgifter.</w:t>
      </w:r>
    </w:p>
    <w:p w14:paraId="5C9F1D25" w14:textId="77777777" w:rsidR="00A54846" w:rsidRDefault="008A2731">
      <w:pPr>
        <w:pStyle w:val="AnnexNormal"/>
      </w:pPr>
      <w:r>
        <w:t>Telleren skal også omfatte den delen av driftsutgiftene som gjelder tilpasning av økonomiske aktiviteter til klimaendringer, i samsvar med vedlegg II til den delegerte klimarettsakten. Den delen av driftsutgiftene som skal bidra vesentlig til tilpasning til klimaendringer, skal spesifiseres i telleren.</w:t>
      </w:r>
    </w:p>
    <w:p w14:paraId="5F2DEB48" w14:textId="77777777" w:rsidR="00A54846" w:rsidRDefault="008A2731">
      <w:pPr>
        <w:pStyle w:val="AnnexNormal"/>
      </w:pPr>
      <w:r>
        <w:t>Dersom driftsutgiftene ikke er vesentlige for ikke-finansielle foretaks forretningsmodell, skal disse foretakene</w:t>
      </w:r>
    </w:p>
    <w:p w14:paraId="7FA816FF" w14:textId="77777777" w:rsidR="00A54846" w:rsidRDefault="008A2731">
      <w:pPr>
        <w:pStyle w:val="AnnexNumberedText"/>
        <w:ind w:left="293" w:hanging="293"/>
      </w:pPr>
      <w:r>
        <w:t>a)</w:t>
      </w:r>
      <w:r>
        <w:tab/>
        <w:t>fritas fra å beregne telleren i den OpEx-baserte KPI-en i samsvar med punkt 1.1.3.2, og offentliggjøre denne telleren som null,</w:t>
      </w:r>
    </w:p>
    <w:p w14:paraId="6E873FC7" w14:textId="77777777" w:rsidR="00A54846" w:rsidRDefault="008A2731">
      <w:pPr>
        <w:pStyle w:val="AnnexNumberedText"/>
        <w:ind w:left="293" w:hanging="293"/>
      </w:pPr>
      <w:r>
        <w:t>b)</w:t>
      </w:r>
      <w:r>
        <w:tab/>
        <w:t>offentliggjøre den samlede verdien av OpEx-nevneren beregnet i samsvar med punkt 1.1.3.1,</w:t>
      </w:r>
    </w:p>
    <w:p w14:paraId="55A69AF8" w14:textId="77777777" w:rsidR="00A54846" w:rsidRDefault="008A2731">
      <w:pPr>
        <w:pStyle w:val="AnnexNumberedText"/>
        <w:ind w:left="293" w:hanging="293"/>
      </w:pPr>
      <w:r>
        <w:t>c)</w:t>
      </w:r>
      <w:r>
        <w:tab/>
        <w:t>redegjøre for hvorfor driftsutgiftene ikke er vesentlige for deres forretningsmodell.</w:t>
      </w:r>
    </w:p>
    <w:p w14:paraId="739408A9" w14:textId="77777777" w:rsidR="00A54846" w:rsidRDefault="008A2731">
      <w:pPr>
        <w:pStyle w:val="AnnexNumberedText"/>
        <w:ind w:left="684" w:hanging="684"/>
      </w:pPr>
      <w:r>
        <w:t>1.2.</w:t>
      </w:r>
      <w:r>
        <w:rPr>
          <w:i/>
        </w:rPr>
        <w:tab/>
        <w:t>Nærmere beskrivelse av opplysningene som skal vedlegges KPI-ene for ikke-finansielle foretak</w:t>
      </w:r>
    </w:p>
    <w:p w14:paraId="111D432B" w14:textId="77777777" w:rsidR="00A54846" w:rsidRDefault="008A2731">
      <w:pPr>
        <w:pStyle w:val="AnnexNormal"/>
      </w:pPr>
      <w:r>
        <w:t>Ikke-finansielle foretak skal legge fram følgende opplysninger sammen med de relevante KPI-ene.</w:t>
      </w:r>
    </w:p>
    <w:p w14:paraId="2AA68132" w14:textId="77777777" w:rsidR="00A54846" w:rsidRDefault="008A2731">
      <w:pPr>
        <w:pStyle w:val="AnnexNumberedText"/>
        <w:ind w:left="684" w:hanging="684"/>
      </w:pPr>
      <w:r>
        <w:t>1.2.1.</w:t>
      </w:r>
      <w:r>
        <w:tab/>
        <w:t>Regnskapsprinsipper</w:t>
      </w:r>
    </w:p>
    <w:p w14:paraId="50B713F6" w14:textId="77777777" w:rsidR="00A54846" w:rsidRDefault="008A2731">
      <w:pPr>
        <w:pStyle w:val="AnnexNormal"/>
      </w:pPr>
      <w:r>
        <w:t>Ikke-finansielle foretak skal redegjøre for</w:t>
      </w:r>
    </w:p>
    <w:p w14:paraId="1A859212" w14:textId="77777777" w:rsidR="00A54846" w:rsidRDefault="008A2731">
      <w:pPr>
        <w:pStyle w:val="AnnexNumberedText"/>
        <w:ind w:left="293" w:hanging="293"/>
      </w:pPr>
      <w:r>
        <w:t>a)</w:t>
      </w:r>
      <w:r>
        <w:tab/>
        <w:t>hvordan omsetning, investeringsutgifter og driftsutgifter er fastsatt og overført til telleren,</w:t>
      </w:r>
    </w:p>
    <w:p w14:paraId="11417DE1" w14:textId="77777777" w:rsidR="00A54846" w:rsidRDefault="008A2731">
      <w:pPr>
        <w:pStyle w:val="AnnexNumberedText"/>
        <w:ind w:left="293" w:hanging="293"/>
      </w:pPr>
      <w:r>
        <w:t>b)</w:t>
      </w:r>
      <w:r>
        <w:tab/>
        <w:t>grunnlaget for beregning av omsetningen, investeringsutgiftene og driftsutgiftene, herunder alle vurderinger som er gjort i forbindelse med fordelingen av inntekter og utgifter på de ulike økonomiske aktivitetene.</w:t>
      </w:r>
    </w:p>
    <w:p w14:paraId="1886E334" w14:textId="77777777" w:rsidR="00A54846" w:rsidRDefault="008A2731">
      <w:pPr>
        <w:pStyle w:val="AnnexNormal"/>
      </w:pPr>
      <w:r>
        <w:t>For omsetning og investeringsutgifter skal ikke-finansielle foretak ta med henvisninger til de aktuelle postene i de ikke-finansielle erklæringene.</w:t>
      </w:r>
    </w:p>
    <w:p w14:paraId="09C6F9CA" w14:textId="77777777" w:rsidR="00A54846" w:rsidRDefault="008A2731">
      <w:pPr>
        <w:pStyle w:val="AnnexNormal"/>
      </w:pPr>
      <w:r>
        <w:t>Dersom anvendelsen av beregninger er endret siden den foregående rapporteringsperioden, skal ikke-finansielle foretak redegjøre for hvordan disse endringene gir mer pålitelige og relevante opplysninger, og legge fram justerte sammenligningstall.</w:t>
      </w:r>
    </w:p>
    <w:p w14:paraId="31698131" w14:textId="77777777" w:rsidR="00A54846" w:rsidRDefault="008A2731">
      <w:pPr>
        <w:pStyle w:val="AnnexNormal"/>
      </w:pPr>
      <w:r>
        <w:t>Ikke-finansielle foretak skal legge fram opplysninger om alle vesentlige endringer som har funnet sted i rapporteringsperioden i forbindelse med gjennomføringen av CapEx-planen slik denne er offentliggjort i samsvar med punkt 1.1.2 i dette vedlegget. Ikke-finansielle foretak skal legge fram samtlige av følgende opplysninger:</w:t>
      </w:r>
    </w:p>
    <w:p w14:paraId="378E013A" w14:textId="77777777" w:rsidR="00A54846" w:rsidRDefault="008A2731">
      <w:pPr>
        <w:pStyle w:val="AnnexNumberedText"/>
        <w:ind w:left="293" w:hanging="293"/>
      </w:pPr>
      <w:r>
        <w:t>a)</w:t>
      </w:r>
      <w:r>
        <w:tab/>
        <w:t>Alle vesentlige endringer som er gjort i CapEx-planen, og årsakene som ligger til grunn for disse endringene.</w:t>
      </w:r>
    </w:p>
    <w:p w14:paraId="5DD1F266" w14:textId="77777777" w:rsidR="00A54846" w:rsidRDefault="008A2731">
      <w:pPr>
        <w:pStyle w:val="AnnexNumberedText"/>
        <w:ind w:left="293" w:hanging="293"/>
      </w:pPr>
      <w:r>
        <w:t>b)</w:t>
      </w:r>
      <w:r>
        <w:tab/>
        <w:t>Konsekvensene av disse endringene for mulighetene for at foretakets økonomiske aktiviteter kan bli taksonomiforenlige, og hvor lang tid det antas at denne endringen vil ta.</w:t>
      </w:r>
    </w:p>
    <w:p w14:paraId="5A4D1536" w14:textId="77777777" w:rsidR="00A54846" w:rsidRDefault="008A2731">
      <w:pPr>
        <w:pStyle w:val="AnnexNumberedText"/>
        <w:spacing w:after="0"/>
        <w:ind w:left="293" w:hanging="293"/>
      </w:pPr>
      <w:r>
        <w:t>c)</w:t>
      </w:r>
      <w:r>
        <w:tab/>
        <w:t>Justeringen av KPI-en for investeringsutgifter og driftsutgifter for hvert foregående rapporteringsår planen dekker, hver gang disse KPI-ene har blitt påvirket av endringer i planen.</w:t>
      </w:r>
      <w:r>
        <w:br w:type="page"/>
      </w:r>
    </w:p>
    <w:p w14:paraId="5A339082" w14:textId="77777777" w:rsidR="00A54846" w:rsidRDefault="008A2731">
      <w:pPr>
        <w:pStyle w:val="AnnexNumberedText"/>
        <w:ind w:left="684" w:hanging="684"/>
      </w:pPr>
      <w:r>
        <w:lastRenderedPageBreak/>
        <w:t>1.2.2.</w:t>
      </w:r>
      <w:r>
        <w:tab/>
        <w:t>Vurderingen av samsvar med forordning (EU) 2020/852</w:t>
      </w:r>
    </w:p>
    <w:p w14:paraId="073BA78B" w14:textId="77777777" w:rsidR="00A54846" w:rsidRDefault="008A2731">
      <w:pPr>
        <w:pStyle w:val="AnnexNumberedText"/>
        <w:ind w:left="684" w:hanging="684"/>
      </w:pPr>
      <w:r>
        <w:t>1.2.2.1.</w:t>
      </w:r>
      <w:r>
        <w:tab/>
        <w:t>Opplysninger om vurderingen av samsvar med forordning (EU) 2020/852:</w:t>
      </w:r>
    </w:p>
    <w:p w14:paraId="16972A95" w14:textId="77777777" w:rsidR="00A54846" w:rsidRDefault="008A2731">
      <w:pPr>
        <w:pStyle w:val="AnnexNormal"/>
      </w:pPr>
      <w:r>
        <w:t>Ikke-finansielle foretak skal</w:t>
      </w:r>
    </w:p>
    <w:p w14:paraId="40495A9D" w14:textId="77777777" w:rsidR="00A54846" w:rsidRDefault="008A2731">
      <w:pPr>
        <w:pStyle w:val="AnnexNumberedText"/>
        <w:ind w:left="293" w:hanging="293"/>
      </w:pPr>
      <w:r>
        <w:t>a)</w:t>
      </w:r>
      <w:r>
        <w:tab/>
        <w:t>beskrive typen økonomiske aktiviteter foretaket har som er omfattet av taksonomien, og dets taksonomiforenlige økonomiske aktiviteter, ved henvisning til de delegerte rettsaktene vedtatt i samsvar med artikkel 10 nr. 3, artikkel 11 nr. 3, artikkel 12 nr. 2, artikkel 13 nr. 2, artikkel 14 nr. 2 og artikkel 15 nr. 2 i forordning (EU) 2020/852,</w:t>
      </w:r>
    </w:p>
    <w:p w14:paraId="5926139F" w14:textId="77777777" w:rsidR="00A54846" w:rsidRDefault="008A2731">
      <w:pPr>
        <w:pStyle w:val="AnnexNumberedText"/>
        <w:ind w:left="293" w:hanging="293"/>
      </w:pPr>
      <w:r>
        <w:t>b)</w:t>
      </w:r>
      <w:r>
        <w:tab/>
        <w:t>redegjøre for hvordan de har vurdert oppfyllelsen av kriteriene fastsatt i artikkel 3 i forordning (EU) 2020/852 og de tilsvarende tekniske screeningkriteriene i de delegerte rettsaktene nevnt i bokstav a),</w:t>
      </w:r>
    </w:p>
    <w:p w14:paraId="24CBABC1" w14:textId="77777777" w:rsidR="00A54846" w:rsidRDefault="008A2731">
      <w:pPr>
        <w:pStyle w:val="AnnexNumberedText"/>
        <w:ind w:left="293" w:hanging="293"/>
      </w:pPr>
      <w:r>
        <w:t>c)</w:t>
      </w:r>
      <w:r>
        <w:tab/>
        <w:t>redegjøre for hvordan de har unngått dobbelttelling av kostnader ved overføring til telleren for KPI-ene for omsetning, investeringsutgifter og driftsutgifter for de ulike økonomiske aktivitetene.</w:t>
      </w:r>
    </w:p>
    <w:p w14:paraId="3488E1A8" w14:textId="77777777" w:rsidR="00A54846" w:rsidRDefault="008A2731">
      <w:pPr>
        <w:pStyle w:val="AnnexNumberedText"/>
        <w:ind w:left="684" w:hanging="684"/>
      </w:pPr>
      <w:r>
        <w:t>1.2.2.2.</w:t>
      </w:r>
      <w:r>
        <w:tab/>
        <w:t>Bidrag til flere mål</w:t>
      </w:r>
    </w:p>
    <w:p w14:paraId="0245BC02" w14:textId="77777777" w:rsidR="00A54846" w:rsidRDefault="008A2731">
      <w:pPr>
        <w:pStyle w:val="AnnexNormal"/>
      </w:pPr>
      <w:r>
        <w:t>Dersom en økonomisk aktivitet bidrar til flere miljømål, skal ikke-finansielle foretak</w:t>
      </w:r>
    </w:p>
    <w:p w14:paraId="484A4143" w14:textId="77777777" w:rsidR="00A54846" w:rsidRDefault="008A2731">
      <w:pPr>
        <w:pStyle w:val="AnnexNumberedText"/>
        <w:ind w:left="293" w:hanging="293"/>
      </w:pPr>
      <w:r>
        <w:t>a)</w:t>
      </w:r>
      <w:r>
        <w:tab/>
        <w:t>vise at kriteriene fastsatt i artikkel 3 i forordning (EU) 2020/852 er oppfylt, særlig de tekniske screeningkriteriene som gjelder flere miljømål,</w:t>
      </w:r>
    </w:p>
    <w:p w14:paraId="63B68B72" w14:textId="77777777" w:rsidR="00A54846" w:rsidRDefault="008A2731">
      <w:pPr>
        <w:pStyle w:val="AnnexNumberedText"/>
        <w:ind w:left="293" w:hanging="293"/>
      </w:pPr>
      <w:r>
        <w:t>b)</w:t>
      </w:r>
      <w:r>
        <w:tab/>
        <w:t>offentliggjøre omsetning, investeringsutgifter og driftsutgifter for den aktuelle aktiviteten som bidrar til flere miljømål,</w:t>
      </w:r>
    </w:p>
    <w:p w14:paraId="6D1078AA" w14:textId="77777777" w:rsidR="00A54846" w:rsidRDefault="008A2731">
      <w:pPr>
        <w:pStyle w:val="AnnexNumberedText"/>
        <w:ind w:left="293" w:hanging="293"/>
      </w:pPr>
      <w:r>
        <w:t>c)</w:t>
      </w:r>
      <w:r>
        <w:tab/>
        <w:t>for å unngå dobbelttelling, ta med omsetningen for denne aktiviteten bare én gang i tellerne i KPI-ene i punkt 1.1 i dette vedlegget.</w:t>
      </w:r>
    </w:p>
    <w:p w14:paraId="2BF2134F" w14:textId="77777777" w:rsidR="00A54846" w:rsidRDefault="008A2731">
      <w:pPr>
        <w:pStyle w:val="AnnexNumberedText"/>
        <w:ind w:left="684" w:hanging="684"/>
      </w:pPr>
      <w:r>
        <w:t>1.2.2.3.</w:t>
      </w:r>
      <w:r>
        <w:tab/>
        <w:t>Oppdeling av KPI-ene</w:t>
      </w:r>
    </w:p>
    <w:p w14:paraId="00DB99CA" w14:textId="77777777" w:rsidR="00A54846" w:rsidRDefault="008A2731">
      <w:pPr>
        <w:pStyle w:val="AnnexNormal"/>
      </w:pPr>
      <w:r>
        <w:t>Dersom en KPI for en økonomisk aktivitet skal deles opp, særlig ved integrert bruk av produksjonsanlegg, skal ikke-finansielle foretak sikre at</w:t>
      </w:r>
    </w:p>
    <w:p w14:paraId="03A796EE" w14:textId="77777777" w:rsidR="00A54846" w:rsidRDefault="008A2731">
      <w:pPr>
        <w:pStyle w:val="AnnexNumberedText"/>
        <w:ind w:left="293" w:hanging="293"/>
      </w:pPr>
      <w:r>
        <w:t>a)</w:t>
      </w:r>
      <w:r>
        <w:tab/>
        <w:t>all oppdeling skjer på grunnlag av kriterier som er egnet for produksjonsprosessen som gjennomføres, og gjenspeiler denne prosessens tekniske særtrekk,</w:t>
      </w:r>
    </w:p>
    <w:p w14:paraId="4F55D2F2" w14:textId="77777777" w:rsidR="00A54846" w:rsidRDefault="008A2731">
      <w:pPr>
        <w:pStyle w:val="AnnexNumberedText"/>
        <w:ind w:left="293" w:hanging="293"/>
      </w:pPr>
      <w:r>
        <w:t>b)</w:t>
      </w:r>
      <w:r>
        <w:tab/>
        <w:t>hensiktsmessige opplysninger om grunnlaget for oppdelingen legges fram sammen med KPI-ene.</w:t>
      </w:r>
    </w:p>
    <w:p w14:paraId="2A8A72E0" w14:textId="77777777" w:rsidR="00A54846" w:rsidRDefault="008A2731">
      <w:pPr>
        <w:pStyle w:val="AnnexNumberedText"/>
        <w:ind w:left="684" w:hanging="684"/>
      </w:pPr>
      <w:r>
        <w:t>1.2.3.</w:t>
      </w:r>
      <w:r>
        <w:tab/>
        <w:t>Bakgrunnsopplysninger</w:t>
      </w:r>
    </w:p>
    <w:p w14:paraId="1C65D79D" w14:textId="77777777" w:rsidR="00A54846" w:rsidRDefault="008A2731">
      <w:pPr>
        <w:pStyle w:val="AnnexNormal"/>
      </w:pPr>
      <w:r>
        <w:t>Ikke-finansielle foretak skal redegjøre for tallene for hver KPI og grunnene til eventuelle endringer i disse i løpet av rapporteringsperioden.</w:t>
      </w:r>
    </w:p>
    <w:p w14:paraId="0A0D6C84" w14:textId="77777777" w:rsidR="00A54846" w:rsidRDefault="008A2731">
      <w:pPr>
        <w:pStyle w:val="AnnexNormal"/>
      </w:pPr>
      <w:r>
        <w:t>Ikke-finansielle foretak kan legge fram ytterligere KPI-er på grunnlag av omsetning, investeringsutgifter og driftsutgifter som omfatter investeringer i aksjer som regnskapsføres i fellesforetak i samsvar med IFRS 11 eller IAS28, på forholdsmessig grunnlag i forhold til deres andel i fellesforetakets egenkapital.</w:t>
      </w:r>
    </w:p>
    <w:p w14:paraId="4008CC8F" w14:textId="77777777" w:rsidR="00A54846" w:rsidRDefault="008A2731">
      <w:pPr>
        <w:pStyle w:val="AnnexNumberedText"/>
        <w:ind w:left="684" w:hanging="684"/>
      </w:pPr>
      <w:r>
        <w:t>1.2.3.1.</w:t>
      </w:r>
      <w:r>
        <w:tab/>
        <w:t>Bakgrunnsopplysninger om KPI-en for omsetning</w:t>
      </w:r>
    </w:p>
    <w:p w14:paraId="2C9C642A" w14:textId="77777777" w:rsidR="00A54846" w:rsidRDefault="008A2731">
      <w:pPr>
        <w:pStyle w:val="AnnexNormal"/>
      </w:pPr>
      <w:r>
        <w:t>Ikke-finansielle foretak skal legge fram samtlige av følgende opplysninger:</w:t>
      </w:r>
    </w:p>
    <w:p w14:paraId="06BB6D69" w14:textId="77777777" w:rsidR="00A54846" w:rsidRDefault="008A2731">
      <w:pPr>
        <w:pStyle w:val="AnnexNumberedText"/>
        <w:ind w:left="293" w:hanging="293"/>
      </w:pPr>
      <w:r>
        <w:t>a)</w:t>
      </w:r>
      <w:r>
        <w:tab/>
        <w:t>En kvantitativ spesifikasjon av telleren for å illustrere de viktigste driverne bak endringer i KPI-en for omsetning i rapporteringsperioden, som inntekter fra kontrakter med kunder, leieinntekter og andre inntektskilder.</w:t>
      </w:r>
    </w:p>
    <w:p w14:paraId="5F6119ED" w14:textId="77777777" w:rsidR="00A54846" w:rsidRDefault="008A2731">
      <w:pPr>
        <w:pStyle w:val="AnnexNumberedText"/>
        <w:ind w:left="293" w:hanging="293"/>
      </w:pPr>
      <w:r>
        <w:t>b)</w:t>
      </w:r>
      <w:r>
        <w:tab/>
        <w:t>Opplysninger om beløpene knyttet til taksonomiforenlige aktiviteter som utøves i forbindelse med ikke-finansielle foretaks eget interne forbruk.</w:t>
      </w:r>
    </w:p>
    <w:p w14:paraId="2B2C8F90" w14:textId="77777777" w:rsidR="00A54846" w:rsidRDefault="008A2731">
      <w:pPr>
        <w:pStyle w:val="AnnexNumberedText"/>
        <w:ind w:left="293" w:hanging="293"/>
      </w:pPr>
      <w:r>
        <w:t>c)</w:t>
      </w:r>
      <w:r>
        <w:tab/>
        <w:t>En kvalitativ redegjørelse for de viktigste aspektene ved endringer i KPI-en for omsetning i rapporteringsperioden.</w:t>
      </w:r>
    </w:p>
    <w:p w14:paraId="678C4174" w14:textId="77777777" w:rsidR="00A54846" w:rsidRDefault="008A2731">
      <w:pPr>
        <w:pStyle w:val="AnnexNormal"/>
        <w:spacing w:after="0"/>
      </w:pPr>
      <w:r>
        <w:t>Ikke-finansielle foretak som har utstedt miljømessig bærekraftige obligasjoner eller gjeldsinstrumenter hvis formål er å finansiere konkrete, identifiserte taksonomiforenlige aktiviteter, skal også legge fram KPI-en for omsetning, justert for å unngå dobbelttelling.</w:t>
      </w:r>
      <w:r>
        <w:br w:type="page"/>
      </w:r>
    </w:p>
    <w:p w14:paraId="0AB7FD8C" w14:textId="77777777" w:rsidR="00A54846" w:rsidRDefault="008A2731">
      <w:pPr>
        <w:pStyle w:val="AnnexNumberedText"/>
        <w:ind w:left="684" w:hanging="684"/>
      </w:pPr>
      <w:r>
        <w:lastRenderedPageBreak/>
        <w:t>1.2.3.2.</w:t>
      </w:r>
      <w:r>
        <w:tab/>
        <w:t>Bakgrunnsopplysninger om KPI-en for investeringsutgifter</w:t>
      </w:r>
    </w:p>
    <w:p w14:paraId="4F86A7BE" w14:textId="77777777" w:rsidR="00A54846" w:rsidRDefault="008A2731">
      <w:pPr>
        <w:pStyle w:val="AnnexNormal"/>
      </w:pPr>
      <w:r>
        <w:t>Ikke-finansielle foretak skal legge fram en kvantitativ spesifikasjon på aggregert nivå for hver økonomiske aktivitet av beløpene i telleren og en kvalitativ redegjørelse for de viktigste aspektene ved endringer i KPI-en for investeringsutgifter i rapporteringsperioden. Spesifikasjonen skal inneholde samtlige av følgende opplysninger:</w:t>
      </w:r>
    </w:p>
    <w:p w14:paraId="7BDE1397" w14:textId="77777777" w:rsidR="00A54846" w:rsidRDefault="008A2731">
      <w:pPr>
        <w:pStyle w:val="AnnexNumberedText"/>
        <w:ind w:left="293" w:hanging="293"/>
      </w:pPr>
      <w:r>
        <w:t>a)</w:t>
      </w:r>
      <w:r>
        <w:tab/>
        <w:t>En aggregering av tilganger i eiendom, anlegg og utstyr, til internt genererte immaterielle eiendeler, herunder gjennom virksomhetssammenslutning eller -overtakelse, til investeringseiendommer som er ervervet eller innregnet i den balanseførte verdien og der dette er aktuelt, til balanseførte bruksretter.</w:t>
      </w:r>
    </w:p>
    <w:p w14:paraId="11A27375" w14:textId="77777777" w:rsidR="00A54846" w:rsidRDefault="008A2731">
      <w:pPr>
        <w:pStyle w:val="AnnexNumberedText"/>
        <w:ind w:left="293" w:hanging="293"/>
      </w:pPr>
      <w:r>
        <w:t>b)</w:t>
      </w:r>
      <w:r>
        <w:tab/>
        <w:t>En aggregering av tilganger knyttet til erverv gjennom foretakssammenslutninger.</w:t>
      </w:r>
    </w:p>
    <w:p w14:paraId="2033FCB0" w14:textId="77777777" w:rsidR="00A54846" w:rsidRDefault="008A2731">
      <w:pPr>
        <w:pStyle w:val="AnnexNumberedText"/>
        <w:ind w:left="293" w:hanging="293"/>
      </w:pPr>
      <w:r>
        <w:t>c)</w:t>
      </w:r>
      <w:r>
        <w:tab/>
        <w:t>En aggregering av utgifter som er påløpt i forbindelse med taksonomiforenlige økonomiske aktiviteter, og utgifter som er påløpt i forbindelse med CapEx-planen nevnt i punkt 1.1.2. i dette vedlegget.</w:t>
      </w:r>
    </w:p>
    <w:p w14:paraId="0571B3B9" w14:textId="77777777" w:rsidR="00A54846" w:rsidRDefault="008A2731">
      <w:pPr>
        <w:pStyle w:val="AnnexNormal"/>
      </w:pPr>
      <w:r>
        <w:t>Ikke-finansielle foretak skal legge fram de viktigste opplysningene om hver enkelt CapEx-plan nevnt i punkt 1.1.2 i dette vedlegget, herunder samtlige av følgende opplysninger:</w:t>
      </w:r>
    </w:p>
    <w:p w14:paraId="76087421" w14:textId="77777777" w:rsidR="00A54846" w:rsidRDefault="008A2731">
      <w:pPr>
        <w:pStyle w:val="AnnexNumberedText"/>
        <w:ind w:left="293" w:hanging="293"/>
      </w:pPr>
      <w:r>
        <w:t>a)</w:t>
      </w:r>
      <w:r>
        <w:tab/>
        <w:t>Miljømålene som skal nås.</w:t>
      </w:r>
    </w:p>
    <w:p w14:paraId="3D5C1178" w14:textId="77777777" w:rsidR="00A54846" w:rsidRDefault="008A2731">
      <w:pPr>
        <w:pStyle w:val="AnnexNumberedText"/>
        <w:ind w:left="293" w:hanging="293"/>
      </w:pPr>
      <w:r>
        <w:t>b)</w:t>
      </w:r>
      <w:r>
        <w:tab/>
        <w:t>De berørte økonomiske aktivitetene.</w:t>
      </w:r>
    </w:p>
    <w:p w14:paraId="10170FA0" w14:textId="77777777" w:rsidR="00A54846" w:rsidRDefault="008A2731">
      <w:pPr>
        <w:pStyle w:val="AnnexNumberedText"/>
        <w:ind w:left="293" w:hanging="293"/>
      </w:pPr>
      <w:r>
        <w:t>c)</w:t>
      </w:r>
      <w:r>
        <w:tab/>
        <w:t>Eventuelle forsknings-, utviklings- og innovasjonsaktiviteter som er berørt.</w:t>
      </w:r>
    </w:p>
    <w:p w14:paraId="5FBF173C" w14:textId="77777777" w:rsidR="00A54846" w:rsidRDefault="008A2731">
      <w:pPr>
        <w:pStyle w:val="AnnexNumberedText"/>
        <w:ind w:left="293" w:hanging="293"/>
      </w:pPr>
      <w:r>
        <w:t>d)</w:t>
      </w:r>
      <w:r>
        <w:tab/>
        <w:t>Den tiden det forventes å ta for å utvide den enkelte taksonomiforenlige økonomiske aktiviteten eller for at den enkelte økonomiske aktiviteten skal bli taksonomiforenlig, herunder dersom det forventes at det vil ta mer enn fem år for den økonomiske aktiviteten å bli taksonomiforenlig, en objektiv begrunnelse for at det skal ta så lang tid, på grunnlag av de konkrete særtrekkene ved den økonomiske aktiviteten og den aktuelle oppgraderingen.</w:t>
      </w:r>
    </w:p>
    <w:p w14:paraId="40EB35C8" w14:textId="77777777" w:rsidR="00A54846" w:rsidRDefault="008A2731">
      <w:pPr>
        <w:pStyle w:val="AnnexNumberedText"/>
        <w:ind w:left="293" w:hanging="293"/>
      </w:pPr>
      <w:r>
        <w:t>e)</w:t>
      </w:r>
      <w:r>
        <w:tab/>
        <w:t>Samlede investeringsutgifter som forventes å påløpe i rapporteringsperioden og i CapEx-planenes løpetid.</w:t>
      </w:r>
    </w:p>
    <w:p w14:paraId="1A7B2375" w14:textId="77777777" w:rsidR="00A54846" w:rsidRDefault="008A2731">
      <w:pPr>
        <w:pStyle w:val="AnnexNormal"/>
      </w:pPr>
      <w:r>
        <w:t>Ikke-finansielle foretak som har utstedt miljømessig bærekraftige obligasjoner eller gjeldsinstrumenter hvis formål er å finansiere konkrete, identifiserte taksonomiforenlige aktiviteter, skal også legge fram KPI-en for investeringsutgifter som finansieres med slike obligasjoner eller gjeldsinstrumenter.</w:t>
      </w:r>
    </w:p>
    <w:p w14:paraId="010C0544" w14:textId="77777777" w:rsidR="00A54846" w:rsidRDefault="008A2731">
      <w:pPr>
        <w:pStyle w:val="AnnexNumberedText"/>
        <w:ind w:left="684" w:hanging="684"/>
      </w:pPr>
      <w:r>
        <w:t>1.2.3.3.</w:t>
      </w:r>
      <w:r>
        <w:tab/>
        <w:t>Bakgrunnsopplysninger om KPI-en for driftsutgifter</w:t>
      </w:r>
    </w:p>
    <w:p w14:paraId="4532B94D" w14:textId="77777777" w:rsidR="00A54846" w:rsidRDefault="008A2731">
      <w:pPr>
        <w:pStyle w:val="AnnexNormal"/>
      </w:pPr>
      <w:r>
        <w:t>Ikke-finansielle foretak skal legge fram samtlige av følgende opplysninger:</w:t>
      </w:r>
    </w:p>
    <w:p w14:paraId="45FB9045" w14:textId="77777777" w:rsidR="00A54846" w:rsidRDefault="008A2731">
      <w:pPr>
        <w:pStyle w:val="AnnexNumberedText"/>
        <w:ind w:left="293" w:hanging="293"/>
      </w:pPr>
      <w:r>
        <w:t>a)</w:t>
      </w:r>
      <w:r>
        <w:tab/>
        <w:t>En kvantitativ spesifikasjon av telleren (driftsutgifter fastsatt i samsvar med punkt 1.1.3.2 i dette vedlegget) for å illustrere de viktigste aspektene ved endringer i KPI-en for driftsutgifter i rapporteringsperioden.</w:t>
      </w:r>
    </w:p>
    <w:p w14:paraId="5EDA8F71" w14:textId="77777777" w:rsidR="00A54846" w:rsidRDefault="008A2731">
      <w:pPr>
        <w:pStyle w:val="AnnexNumberedText"/>
        <w:ind w:left="293" w:hanging="293"/>
      </w:pPr>
      <w:r>
        <w:t>b)</w:t>
      </w:r>
      <w:r>
        <w:tab/>
        <w:t>En kvalitativ redegjørelse for de viktigste aspektene ved endringer i KPI-en for driftsutgifter i rapporteringsperioden.</w:t>
      </w:r>
    </w:p>
    <w:p w14:paraId="01BDBCDE" w14:textId="77777777" w:rsidR="00A54846" w:rsidRDefault="008A2731">
      <w:pPr>
        <w:pStyle w:val="AnnexNumberedText"/>
        <w:ind w:left="293" w:hanging="293"/>
      </w:pPr>
      <w:r>
        <w:t>c)</w:t>
      </w:r>
      <w:r>
        <w:tab/>
        <w:t>En redegjørelse for de andre utgiftene knyttet til løpende vedlikehold av eiendom, anlegg og utstyr som inngår i beregningen av driftsutgifter for både telleren og nevneren.</w:t>
      </w:r>
    </w:p>
    <w:p w14:paraId="670349D1" w14:textId="77777777" w:rsidR="00A54846" w:rsidRDefault="008A2731">
      <w:pPr>
        <w:pStyle w:val="AnnexNormal"/>
      </w:pPr>
      <w:r>
        <w:t>Dersom driftsutgiftene inngår i en CapEx-plan som nevnt i punkt 1.1.2.2 og 1.1.3.2 i dette vedlegget, skal ikke-finansielle foretak legge fram de viktigste opplysningene om hver enkelt CapEx-plan i tråd med kravene i punkt 1.2.3.2 i dette vedlegget.</w:t>
      </w:r>
    </w:p>
    <w:p w14:paraId="0433C779" w14:textId="77777777" w:rsidR="00A54846" w:rsidRDefault="008A2731">
      <w:pPr>
        <w:pStyle w:val="AnnexNumberedText"/>
        <w:ind w:left="684" w:hanging="684"/>
      </w:pPr>
      <w:r>
        <w:t>2.</w:t>
      </w:r>
      <w:r>
        <w:rPr>
          <w:b/>
        </w:rPr>
        <w:tab/>
        <w:t>Metode for rapportering av KPI-er som skal legges fram av ikke-finansielle foretak</w:t>
      </w:r>
    </w:p>
    <w:p w14:paraId="517830B1" w14:textId="77777777" w:rsidR="00A54846" w:rsidRDefault="008A2731">
      <w:pPr>
        <w:pStyle w:val="AnnexNormal"/>
      </w:pPr>
      <w:r>
        <w:t>Følgende krav får anvendelse på opplysninger som skal legges fram i henhold til artikkel 8 nr. 2 i forordning (EU) 2020/852:</w:t>
      </w:r>
    </w:p>
    <w:p w14:paraId="0AF0D7F0" w14:textId="77777777" w:rsidR="00A54846" w:rsidRDefault="008A2731">
      <w:pPr>
        <w:pStyle w:val="AnnexNumberedText"/>
        <w:ind w:left="293" w:hanging="293"/>
      </w:pPr>
      <w:r>
        <w:t>a)</w:t>
      </w:r>
      <w:r>
        <w:tab/>
        <w:t>Ikke-finansielle foretak skal angi hver økonomiske aktivitet, herunder en undergruppe av omstillingsaktiviteter og muliggjørende aktiviteter.</w:t>
      </w:r>
    </w:p>
    <w:p w14:paraId="5498B94D" w14:textId="77777777" w:rsidR="00A54846" w:rsidRDefault="008A2731">
      <w:pPr>
        <w:pStyle w:val="AnnexNumberedText"/>
        <w:ind w:left="293" w:hanging="293"/>
      </w:pPr>
      <w:r>
        <w:t>b)</w:t>
      </w:r>
      <w:r>
        <w:tab/>
        <w:t>Ikke-finansielle foretak skal legge fram KPI-er for hver økonomiske aktivitet og samlede KPI-er for alle økonomiske aktiviteter på foretaks- eller konsernnivå.</w:t>
      </w:r>
    </w:p>
    <w:p w14:paraId="020991C6" w14:textId="77777777" w:rsidR="00A54846" w:rsidRDefault="008A2731">
      <w:pPr>
        <w:pStyle w:val="AnnexNumberedText"/>
        <w:spacing w:after="0"/>
        <w:ind w:left="293" w:hanging="293"/>
      </w:pPr>
      <w:r>
        <w:t>c)</w:t>
      </w:r>
      <w:r>
        <w:tab/>
        <w:t>Ikke-finansielle foretak skal legge fram KPI-ene fastsatt i punkt 1.1.1, 1.1.2 og 1.1.3 i dette vedlegget for hvert av miljømålene, og samlede KPI-er for alle miljømål samlet sett på foretaks- eller konsernnivå, samtidig som dobbelttelling unngås.</w:t>
      </w:r>
    </w:p>
    <w:p w14:paraId="442A0164" w14:textId="77777777" w:rsidR="00A54846" w:rsidRDefault="00A54846">
      <w:pPr>
        <w:pStyle w:val="AnnexNumberedText"/>
        <w:ind w:left="977" w:hanging="293"/>
        <w:sectPr w:rsidR="00A54846">
          <w:footnotePr>
            <w:pos w:val="beneathText"/>
            <w:numRestart w:val="eachSect"/>
          </w:footnotePr>
          <w:pgSz w:w="11906" w:h="16838" w:code="9"/>
          <w:pgMar w:top="1680" w:right="1333" w:bottom="840" w:left="1333" w:header="920" w:footer="280" w:gutter="0"/>
          <w:cols w:space="708"/>
          <w:vAlign w:val="both"/>
          <w:docGrid w:linePitch="360"/>
        </w:sectPr>
      </w:pPr>
    </w:p>
    <w:p w14:paraId="1A843678" w14:textId="77777777" w:rsidR="00A54846" w:rsidRDefault="008A2731">
      <w:pPr>
        <w:pStyle w:val="AnnexNumberedText"/>
        <w:ind w:left="293" w:hanging="293"/>
      </w:pPr>
      <w:r>
        <w:lastRenderedPageBreak/>
        <w:t>d)</w:t>
      </w:r>
      <w:r>
        <w:tab/>
        <w:t>Ikke-finansielle foretak skal identifisere hvilken andel av de økonomiske aktivitetene som er taksonomiforenlig, og hvilken andel av de økonomiske aktivitetene som er omfattet av taksonomien, men som ikke oppfyller tekniske screeningkrav. For en taksonomiforenlig økonomisk aktivitet skal ikke-finansielle foretak identifisere hvilken andel av aktiviteten som er taksonomiforenlig.</w:t>
      </w:r>
    </w:p>
    <w:p w14:paraId="5D2A5B9B" w14:textId="77777777" w:rsidR="00A54846" w:rsidRDefault="008A2731">
      <w:pPr>
        <w:pStyle w:val="AnnexNumberedText"/>
        <w:ind w:left="293" w:hanging="293"/>
      </w:pPr>
      <w:r>
        <w:t>e)</w:t>
      </w:r>
      <w:r>
        <w:tab/>
        <w:t>Ikke-finansielle foretak skal identifisere økonomiske aktiviteter som ikke er omfattet av taksonomien, og i nevneren for KPI-en for omsetning opplyse om hvor stor andel disse økonomiske aktivitetene utgjør, på foretaks- eller konsernnivå.</w:t>
      </w:r>
    </w:p>
    <w:p w14:paraId="3D09241F" w14:textId="77777777" w:rsidR="00A54846" w:rsidRDefault="008A2731">
      <w:pPr>
        <w:pStyle w:val="AnnexNumberedText"/>
        <w:spacing w:after="400"/>
        <w:ind w:left="293" w:hanging="293"/>
      </w:pPr>
      <w:r>
        <w:t>f)</w:t>
      </w:r>
      <w:r>
        <w:tab/>
        <w:t>KPI-ene skal legges fram for hvert enkelt foretak dersom foretaket utelukkende utarbeider individuelle ikke-finansielle erklæringer, eller på konsernnivå dersom foretaket utarbeider konsoliderte ikke-finansielle erklæringer.</w:t>
      </w:r>
    </w:p>
    <w:p w14:paraId="22BB98CC" w14:textId="77777777" w:rsidR="00A54846" w:rsidRDefault="008A2731">
      <w:pPr>
        <w:pStyle w:val="line2"/>
        <w:pBdr>
          <w:bottom w:val="none" w:sz="0" w:space="0" w:color="auto"/>
        </w:pBdr>
        <w:tabs>
          <w:tab w:val="left" w:leader="underscore" w:pos="522"/>
        </w:tabs>
        <w:ind w:left="0" w:right="0"/>
      </w:pPr>
      <w:r>
        <w:tab/>
      </w:r>
    </w:p>
    <w:p w14:paraId="11E1944B" w14:textId="77777777" w:rsidR="00A54846" w:rsidRDefault="00A54846">
      <w:pPr>
        <w:pStyle w:val="AnnexTI"/>
        <w:spacing w:after="360"/>
        <w:sectPr w:rsidR="00A54846">
          <w:pgSz w:w="11906" w:h="16838" w:code="9"/>
          <w:pgMar w:top="1680" w:right="1333" w:bottom="840" w:left="1333" w:header="920" w:footer="280" w:gutter="0"/>
          <w:cols w:space="708"/>
          <w:docGrid w:linePitch="360"/>
        </w:sectPr>
      </w:pPr>
    </w:p>
    <w:p w14:paraId="1602ADFB" w14:textId="77777777" w:rsidR="00A54846" w:rsidRDefault="008A2731">
      <w:pPr>
        <w:pStyle w:val="AnnexTI"/>
        <w:spacing w:after="360"/>
      </w:pPr>
      <w:r>
        <w:lastRenderedPageBreak/>
        <w:t>VEDLEGG II</w:t>
      </w:r>
    </w:p>
    <w:p w14:paraId="7FD93A84" w14:textId="77777777" w:rsidR="00A54846" w:rsidRDefault="008A2731">
      <w:pPr>
        <w:pStyle w:val="AnnexSTI"/>
        <w:spacing w:line="200" w:lineRule="exact"/>
        <w:rPr>
          <w:sz w:val="16"/>
        </w:rPr>
      </w:pPr>
      <w:r>
        <w:rPr>
          <w:sz w:val="16"/>
        </w:rPr>
        <w:t>MALER FOR KPI-er FOR IKKE-FINANSIELLE FORETAK</w:t>
      </w:r>
    </w:p>
    <w:p w14:paraId="4BA6CCF8" w14:textId="77777777" w:rsidR="00A54846" w:rsidRDefault="00A54846">
      <w:pPr>
        <w:pStyle w:val="AnnexGrSeq1"/>
        <w:rPr>
          <w:i/>
        </w:rPr>
        <w:sectPr w:rsidR="00A54846">
          <w:pgSz w:w="11906" w:h="16838" w:code="9"/>
          <w:pgMar w:top="1680" w:right="1333" w:bottom="840" w:left="1333" w:header="920" w:footer="280" w:gutter="0"/>
          <w:cols w:space="708"/>
          <w:docGrid w:linePitch="360"/>
        </w:sectPr>
      </w:pPr>
    </w:p>
    <w:p w14:paraId="5912190A" w14:textId="77777777" w:rsidR="00A54846" w:rsidRDefault="008A2731">
      <w:pPr>
        <w:pStyle w:val="AnnexGrSeq1"/>
        <w:spacing w:line="240" w:lineRule="exact"/>
        <w:jc w:val="both"/>
        <w:rPr>
          <w:sz w:val="18"/>
        </w:rPr>
      </w:pPr>
      <w:r>
        <w:rPr>
          <w:i/>
          <w:sz w:val="18"/>
        </w:rPr>
        <w:lastRenderedPageBreak/>
        <w:t>Mal: Andel av omsetningen av produkter eller tjenester som er forbundet med taksonomiforenlige økonomiske aktiviteter – opplysninger for år N</w:t>
      </w:r>
    </w:p>
    <w:tbl>
      <w:tblPr>
        <w:tblOverlap w:val="never"/>
        <w:tblW w:w="0" w:type="auto"/>
        <w:tblInd w:w="72" w:type="dxa"/>
        <w:tblLayout w:type="fixed"/>
        <w:tblCellMar>
          <w:left w:w="10" w:type="dxa"/>
          <w:right w:w="10" w:type="dxa"/>
        </w:tblCellMar>
        <w:tblLook w:val="04A0" w:firstRow="1" w:lastRow="0" w:firstColumn="1" w:lastColumn="0" w:noHBand="0" w:noVBand="1"/>
      </w:tblPr>
      <w:tblGrid>
        <w:gridCol w:w="2005"/>
        <w:gridCol w:w="7"/>
        <w:gridCol w:w="520"/>
        <w:gridCol w:w="782"/>
        <w:gridCol w:w="6"/>
        <w:gridCol w:w="533"/>
        <w:gridCol w:w="527"/>
        <w:gridCol w:w="528"/>
        <w:gridCol w:w="506"/>
        <w:gridCol w:w="7"/>
        <w:gridCol w:w="531"/>
        <w:gridCol w:w="516"/>
        <w:gridCol w:w="566"/>
        <w:gridCol w:w="526"/>
        <w:gridCol w:w="526"/>
        <w:gridCol w:w="526"/>
        <w:gridCol w:w="526"/>
        <w:gridCol w:w="526"/>
        <w:gridCol w:w="524"/>
        <w:gridCol w:w="528"/>
        <w:gridCol w:w="6"/>
        <w:gridCol w:w="10"/>
        <w:gridCol w:w="860"/>
        <w:gridCol w:w="905"/>
        <w:gridCol w:w="761"/>
        <w:gridCol w:w="1059"/>
      </w:tblGrid>
      <w:tr w:rsidR="00A54846" w14:paraId="68404860" w14:textId="77777777">
        <w:trPr>
          <w:tblHeader/>
        </w:trPr>
        <w:tc>
          <w:tcPr>
            <w:tcW w:w="3853" w:type="dxa"/>
            <w:gridSpan w:val="6"/>
            <w:shd w:val="clear" w:color="auto" w:fill="FFFFFF"/>
            <w:tcMar>
              <w:top w:w="60" w:type="dxa"/>
              <w:left w:w="60" w:type="dxa"/>
              <w:bottom w:w="60" w:type="dxa"/>
              <w:right w:w="60" w:type="dxa"/>
            </w:tcMar>
          </w:tcPr>
          <w:p w14:paraId="26577165" w14:textId="77777777" w:rsidR="00A54846" w:rsidRPr="006A792F" w:rsidRDefault="00A54846">
            <w:pPr>
              <w:pStyle w:val="Para"/>
              <w:spacing w:after="0"/>
              <w:jc w:val="center"/>
              <w:rPr>
                <w:noProof/>
                <w:sz w:val="16"/>
                <w:szCs w:val="16"/>
                <w:lang w:bidi="en-US"/>
              </w:rPr>
            </w:pPr>
          </w:p>
        </w:tc>
        <w:tc>
          <w:tcPr>
            <w:tcW w:w="3181" w:type="dxa"/>
            <w:gridSpan w:val="7"/>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03A60497" w14:textId="77777777" w:rsidR="00A54846" w:rsidRDefault="008A2731">
            <w:pPr>
              <w:pStyle w:val="Para"/>
              <w:spacing w:after="0"/>
              <w:jc w:val="center"/>
              <w:rPr>
                <w:noProof/>
                <w:sz w:val="16"/>
                <w:szCs w:val="16"/>
              </w:rPr>
            </w:pPr>
            <w:r>
              <w:rPr>
                <w:sz w:val="16"/>
              </w:rPr>
              <w:t>Kriterier for vesentlig bidrag</w:t>
            </w:r>
          </w:p>
        </w:tc>
        <w:tc>
          <w:tcPr>
            <w:tcW w:w="3154" w:type="dxa"/>
            <w:gridSpan w:val="6"/>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130AC09E" w14:textId="77777777" w:rsidR="00A54846" w:rsidRDefault="008A2731">
            <w:pPr>
              <w:pStyle w:val="Para"/>
              <w:spacing w:after="0"/>
              <w:jc w:val="center"/>
              <w:rPr>
                <w:noProof/>
                <w:sz w:val="16"/>
                <w:szCs w:val="16"/>
              </w:rPr>
            </w:pPr>
            <w:r>
              <w:rPr>
                <w:sz w:val="16"/>
              </w:rPr>
              <w:t>Kriterier mht. at aktiviteten ikke er til betydelig skade</w:t>
            </w:r>
          </w:p>
          <w:p w14:paraId="1E8C23E0" w14:textId="77777777" w:rsidR="00A54846" w:rsidRDefault="008A2731">
            <w:pPr>
              <w:pStyle w:val="Para"/>
              <w:spacing w:after="0"/>
              <w:jc w:val="center"/>
              <w:rPr>
                <w:noProof/>
                <w:sz w:val="16"/>
                <w:szCs w:val="16"/>
              </w:rPr>
            </w:pPr>
            <w:r>
              <w:rPr>
                <w:sz w:val="16"/>
              </w:rPr>
              <w:t>(DNSH)</w:t>
            </w:r>
          </w:p>
        </w:tc>
        <w:tc>
          <w:tcPr>
            <w:tcW w:w="4128" w:type="dxa"/>
            <w:gridSpan w:val="7"/>
            <w:tcBorders>
              <w:top w:val="nil"/>
              <w:left w:val="single" w:sz="4" w:space="0" w:color="auto"/>
              <w:bottom w:val="nil"/>
              <w:right w:val="nil"/>
            </w:tcBorders>
            <w:shd w:val="clear" w:color="auto" w:fill="FFFFFF"/>
            <w:tcMar>
              <w:top w:w="60" w:type="dxa"/>
              <w:left w:w="60" w:type="dxa"/>
              <w:bottom w:w="60" w:type="dxa"/>
              <w:right w:w="60" w:type="dxa"/>
            </w:tcMar>
          </w:tcPr>
          <w:p w14:paraId="0148FDE1" w14:textId="77777777" w:rsidR="00A54846" w:rsidRDefault="00A54846">
            <w:pPr>
              <w:pStyle w:val="Para"/>
              <w:spacing w:after="0"/>
              <w:jc w:val="center"/>
              <w:rPr>
                <w:noProof/>
                <w:sz w:val="16"/>
                <w:szCs w:val="16"/>
                <w:lang w:val="en-US" w:bidi="en-US"/>
              </w:rPr>
            </w:pPr>
          </w:p>
        </w:tc>
      </w:tr>
      <w:tr w:rsidR="00A54846" w14:paraId="49AB306C" w14:textId="77777777">
        <w:trPr>
          <w:trHeight w:val="2606"/>
          <w:tblHeader/>
        </w:trPr>
        <w:tc>
          <w:tcPr>
            <w:tcW w:w="2012"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05256817" w14:textId="77777777" w:rsidR="00A54846" w:rsidRDefault="008A2731">
            <w:pPr>
              <w:pStyle w:val="Para"/>
              <w:spacing w:after="0"/>
              <w:jc w:val="center"/>
              <w:rPr>
                <w:b/>
                <w:noProof/>
                <w:sz w:val="16"/>
                <w:szCs w:val="16"/>
              </w:rPr>
            </w:pPr>
            <w:r>
              <w:rPr>
                <w:b/>
                <w:sz w:val="16"/>
              </w:rPr>
              <w:t>Økonomiske aktiviteter (1)</w:t>
            </w:r>
          </w:p>
        </w:tc>
        <w:tc>
          <w:tcPr>
            <w:tcW w:w="520"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0716F7CD" w14:textId="77777777" w:rsidR="00A54846" w:rsidRDefault="008A2731">
            <w:pPr>
              <w:pStyle w:val="Para"/>
              <w:spacing w:after="0"/>
              <w:jc w:val="center"/>
              <w:rPr>
                <w:b/>
                <w:noProof/>
                <w:sz w:val="16"/>
                <w:szCs w:val="16"/>
              </w:rPr>
            </w:pPr>
            <w:r>
              <w:rPr>
                <w:b/>
                <w:sz w:val="16"/>
              </w:rPr>
              <w:t>Kode(r) (2)</w:t>
            </w:r>
          </w:p>
        </w:tc>
        <w:tc>
          <w:tcPr>
            <w:tcW w:w="788"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172D24DA" w14:textId="77777777" w:rsidR="00A54846" w:rsidRDefault="008A2731">
            <w:pPr>
              <w:pStyle w:val="Para"/>
              <w:spacing w:after="0"/>
              <w:jc w:val="center"/>
              <w:rPr>
                <w:b/>
                <w:noProof/>
                <w:sz w:val="16"/>
                <w:szCs w:val="16"/>
              </w:rPr>
            </w:pPr>
            <w:r>
              <w:rPr>
                <w:b/>
                <w:sz w:val="16"/>
              </w:rPr>
              <w:t>Absolutt omsetning (3)</w:t>
            </w:r>
          </w:p>
        </w:tc>
        <w:tc>
          <w:tcPr>
            <w:tcW w:w="53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39EB8D92" w14:textId="77777777" w:rsidR="00A54846" w:rsidRDefault="008A2731">
            <w:pPr>
              <w:pStyle w:val="Para"/>
              <w:spacing w:after="0"/>
              <w:jc w:val="center"/>
              <w:rPr>
                <w:b/>
                <w:noProof/>
                <w:sz w:val="16"/>
                <w:szCs w:val="16"/>
              </w:rPr>
            </w:pPr>
            <w:r>
              <w:rPr>
                <w:b/>
                <w:sz w:val="16"/>
              </w:rPr>
              <w:t>Andel av omsetningen (4)</w:t>
            </w:r>
          </w:p>
        </w:tc>
        <w:tc>
          <w:tcPr>
            <w:tcW w:w="527"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1CA2F3BB" w14:textId="77777777" w:rsidR="00A54846" w:rsidRDefault="008A2731">
            <w:pPr>
              <w:pStyle w:val="Para"/>
              <w:spacing w:after="0"/>
              <w:jc w:val="center"/>
              <w:rPr>
                <w:b/>
                <w:noProof/>
                <w:sz w:val="16"/>
                <w:szCs w:val="16"/>
              </w:rPr>
            </w:pPr>
            <w:r>
              <w:rPr>
                <w:b/>
                <w:sz w:val="16"/>
              </w:rPr>
              <w:t>Begrensning av klimaendringer (5)</w:t>
            </w: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326D10AC" w14:textId="77777777" w:rsidR="00A54846" w:rsidRDefault="008A2731">
            <w:pPr>
              <w:pStyle w:val="Para"/>
              <w:spacing w:after="0"/>
              <w:jc w:val="center"/>
              <w:rPr>
                <w:b/>
                <w:noProof/>
                <w:sz w:val="16"/>
                <w:szCs w:val="16"/>
              </w:rPr>
            </w:pPr>
            <w:r>
              <w:rPr>
                <w:b/>
                <w:sz w:val="16"/>
              </w:rPr>
              <w:t>Tilpasning til klimaendringer (6)</w:t>
            </w:r>
          </w:p>
        </w:tc>
        <w:tc>
          <w:tcPr>
            <w:tcW w:w="513"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1D2551C1" w14:textId="77777777" w:rsidR="00A54846" w:rsidRDefault="008A2731">
            <w:pPr>
              <w:pStyle w:val="Para"/>
              <w:spacing w:after="0"/>
              <w:jc w:val="center"/>
              <w:rPr>
                <w:b/>
                <w:noProof/>
                <w:sz w:val="16"/>
                <w:szCs w:val="16"/>
              </w:rPr>
            </w:pPr>
            <w:r>
              <w:rPr>
                <w:b/>
                <w:sz w:val="16"/>
              </w:rPr>
              <w:t>Vann- og havressurser (7)</w:t>
            </w:r>
          </w:p>
        </w:tc>
        <w:tc>
          <w:tcPr>
            <w:tcW w:w="53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3BBE2697" w14:textId="77777777" w:rsidR="00A54846" w:rsidRDefault="008A2731">
            <w:pPr>
              <w:pStyle w:val="Para"/>
              <w:spacing w:after="0"/>
              <w:jc w:val="center"/>
              <w:rPr>
                <w:b/>
                <w:noProof/>
                <w:sz w:val="16"/>
                <w:szCs w:val="16"/>
              </w:rPr>
            </w:pPr>
            <w:r>
              <w:rPr>
                <w:b/>
                <w:sz w:val="16"/>
              </w:rPr>
              <w:t>Sirkulær økonomi (8)</w:t>
            </w:r>
          </w:p>
        </w:tc>
        <w:tc>
          <w:tcPr>
            <w:tcW w:w="51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08DB41A8" w14:textId="77777777" w:rsidR="00A54846" w:rsidRDefault="008A2731">
            <w:pPr>
              <w:pStyle w:val="Para"/>
              <w:spacing w:after="0"/>
              <w:jc w:val="center"/>
              <w:rPr>
                <w:b/>
                <w:noProof/>
                <w:sz w:val="16"/>
                <w:szCs w:val="16"/>
              </w:rPr>
            </w:pPr>
            <w:r>
              <w:rPr>
                <w:b/>
                <w:sz w:val="16"/>
              </w:rPr>
              <w:t>Forurensning (9)</w:t>
            </w:r>
          </w:p>
        </w:tc>
        <w:tc>
          <w:tcPr>
            <w:tcW w:w="56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5E72727E" w14:textId="77777777" w:rsidR="00A54846" w:rsidRDefault="008A2731">
            <w:pPr>
              <w:pStyle w:val="Para"/>
              <w:spacing w:after="0"/>
              <w:jc w:val="center"/>
              <w:rPr>
                <w:b/>
                <w:noProof/>
                <w:sz w:val="16"/>
                <w:szCs w:val="16"/>
              </w:rPr>
            </w:pPr>
            <w:r>
              <w:rPr>
                <w:b/>
                <w:sz w:val="16"/>
              </w:rPr>
              <w:t>Biologisk mangfold og økosystemer (10)</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679F28E8" w14:textId="77777777" w:rsidR="00A54846" w:rsidRDefault="008A2731">
            <w:pPr>
              <w:pStyle w:val="Para"/>
              <w:spacing w:after="0"/>
              <w:jc w:val="center"/>
              <w:rPr>
                <w:b/>
                <w:noProof/>
                <w:sz w:val="16"/>
                <w:szCs w:val="16"/>
              </w:rPr>
            </w:pPr>
            <w:r>
              <w:rPr>
                <w:b/>
                <w:sz w:val="16"/>
              </w:rPr>
              <w:t>Begrensning av klimaendringer (11)</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5FF14404" w14:textId="77777777" w:rsidR="00A54846" w:rsidRDefault="008A2731">
            <w:pPr>
              <w:pStyle w:val="Para"/>
              <w:spacing w:after="0"/>
              <w:jc w:val="center"/>
              <w:rPr>
                <w:b/>
                <w:noProof/>
                <w:sz w:val="16"/>
                <w:szCs w:val="16"/>
              </w:rPr>
            </w:pPr>
            <w:r>
              <w:rPr>
                <w:b/>
                <w:sz w:val="16"/>
              </w:rPr>
              <w:t>Tilpasning til klimaendringer (12)</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45CB3155" w14:textId="77777777" w:rsidR="00A54846" w:rsidRDefault="008A2731">
            <w:pPr>
              <w:pStyle w:val="Para"/>
              <w:spacing w:after="0"/>
              <w:jc w:val="center"/>
              <w:rPr>
                <w:b/>
                <w:noProof/>
                <w:sz w:val="16"/>
                <w:szCs w:val="16"/>
              </w:rPr>
            </w:pPr>
            <w:r>
              <w:rPr>
                <w:b/>
                <w:sz w:val="16"/>
              </w:rPr>
              <w:t>Vann- og havressurser (13)</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1F306897" w14:textId="77777777" w:rsidR="00A54846" w:rsidRDefault="008A2731">
            <w:pPr>
              <w:pStyle w:val="Para"/>
              <w:spacing w:after="0"/>
              <w:jc w:val="center"/>
              <w:rPr>
                <w:b/>
                <w:noProof/>
                <w:sz w:val="16"/>
                <w:szCs w:val="16"/>
              </w:rPr>
            </w:pPr>
            <w:r>
              <w:rPr>
                <w:b/>
                <w:sz w:val="16"/>
              </w:rPr>
              <w:t>Sirkulær økonomi (14)</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1F29331D" w14:textId="77777777" w:rsidR="00A54846" w:rsidRDefault="008A2731">
            <w:pPr>
              <w:pStyle w:val="Para"/>
              <w:spacing w:after="0"/>
              <w:jc w:val="center"/>
              <w:rPr>
                <w:b/>
                <w:noProof/>
                <w:sz w:val="16"/>
                <w:szCs w:val="16"/>
              </w:rPr>
            </w:pPr>
            <w:r>
              <w:rPr>
                <w:b/>
                <w:sz w:val="16"/>
              </w:rPr>
              <w:t>Forurensning (15)</w:t>
            </w:r>
          </w:p>
        </w:tc>
        <w:tc>
          <w:tcPr>
            <w:tcW w:w="52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0A9A933D" w14:textId="77777777" w:rsidR="00A54846" w:rsidRDefault="008A2731">
            <w:pPr>
              <w:pStyle w:val="Para"/>
              <w:spacing w:after="0"/>
              <w:jc w:val="center"/>
              <w:rPr>
                <w:b/>
                <w:noProof/>
                <w:sz w:val="16"/>
                <w:szCs w:val="16"/>
              </w:rPr>
            </w:pPr>
            <w:r>
              <w:rPr>
                <w:b/>
                <w:sz w:val="16"/>
              </w:rPr>
              <w:t>Biologisk mangfold og økosystemer (16)</w:t>
            </w:r>
          </w:p>
        </w:tc>
        <w:tc>
          <w:tcPr>
            <w:tcW w:w="528" w:type="dxa"/>
            <w:tcBorders>
              <w:top w:val="single" w:sz="4" w:space="0" w:color="auto"/>
              <w:left w:val="single" w:sz="4" w:space="0" w:color="auto"/>
              <w:bottom w:val="nil"/>
              <w:right w:val="single" w:sz="12" w:space="0" w:color="auto"/>
            </w:tcBorders>
            <w:shd w:val="clear" w:color="auto" w:fill="FFFFFF"/>
            <w:tcMar>
              <w:top w:w="60" w:type="dxa"/>
              <w:left w:w="60" w:type="dxa"/>
              <w:bottom w:w="60" w:type="dxa"/>
              <w:right w:w="60" w:type="dxa"/>
            </w:tcMar>
            <w:textDirection w:val="tbRl"/>
            <w:vAlign w:val="bottom"/>
            <w:hideMark/>
          </w:tcPr>
          <w:p w14:paraId="670F4B5F" w14:textId="77777777" w:rsidR="00A54846" w:rsidRDefault="008A2731">
            <w:pPr>
              <w:pStyle w:val="Para"/>
              <w:spacing w:after="0"/>
              <w:jc w:val="center"/>
              <w:rPr>
                <w:b/>
                <w:noProof/>
                <w:sz w:val="16"/>
                <w:szCs w:val="16"/>
              </w:rPr>
            </w:pPr>
            <w:r>
              <w:rPr>
                <w:b/>
                <w:sz w:val="16"/>
              </w:rPr>
              <w:t>Minstegarantier (17)</w:t>
            </w:r>
          </w:p>
        </w:tc>
        <w:tc>
          <w:tcPr>
            <w:tcW w:w="876" w:type="dxa"/>
            <w:gridSpan w:val="3"/>
            <w:tcBorders>
              <w:top w:val="single" w:sz="12" w:space="0" w:color="auto"/>
              <w:left w:val="single" w:sz="12" w:space="0" w:color="auto"/>
              <w:bottom w:val="nil"/>
              <w:right w:val="single" w:sz="12" w:space="0" w:color="auto"/>
            </w:tcBorders>
            <w:shd w:val="clear" w:color="auto" w:fill="FFFFFF"/>
            <w:tcMar>
              <w:top w:w="60" w:type="dxa"/>
              <w:left w:w="60" w:type="dxa"/>
              <w:bottom w:w="60" w:type="dxa"/>
              <w:right w:w="60" w:type="dxa"/>
            </w:tcMar>
            <w:vAlign w:val="center"/>
            <w:hideMark/>
          </w:tcPr>
          <w:p w14:paraId="50CB6EE7" w14:textId="0CE0056B" w:rsidR="00A54846" w:rsidRDefault="008A2731">
            <w:pPr>
              <w:pStyle w:val="Para"/>
              <w:spacing w:after="0"/>
              <w:jc w:val="center"/>
              <w:rPr>
                <w:b/>
                <w:noProof/>
                <w:sz w:val="16"/>
                <w:szCs w:val="16"/>
              </w:rPr>
            </w:pPr>
            <w:r>
              <w:rPr>
                <w:b/>
                <w:sz w:val="16"/>
              </w:rPr>
              <w:t>Taksono</w:t>
            </w:r>
            <w:r w:rsidR="007D4CBF">
              <w:rPr>
                <w:b/>
                <w:sz w:val="16"/>
              </w:rPr>
              <w:softHyphen/>
            </w:r>
            <w:r>
              <w:rPr>
                <w:b/>
                <w:sz w:val="16"/>
              </w:rPr>
              <w:t>miforenlig andel av omsetnin</w:t>
            </w:r>
            <w:r w:rsidR="007D4CBF">
              <w:rPr>
                <w:b/>
                <w:sz w:val="16"/>
              </w:rPr>
              <w:softHyphen/>
            </w:r>
            <w:r>
              <w:rPr>
                <w:b/>
                <w:sz w:val="16"/>
              </w:rPr>
              <w:t>gen, år N (18)</w:t>
            </w: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vAlign w:val="center"/>
            <w:hideMark/>
          </w:tcPr>
          <w:p w14:paraId="276A6345" w14:textId="715274A9" w:rsidR="00A54846" w:rsidRDefault="008A2731">
            <w:pPr>
              <w:pStyle w:val="Para"/>
              <w:spacing w:after="0"/>
              <w:jc w:val="center"/>
              <w:rPr>
                <w:b/>
                <w:noProof/>
                <w:sz w:val="16"/>
                <w:szCs w:val="16"/>
              </w:rPr>
            </w:pPr>
            <w:r>
              <w:rPr>
                <w:b/>
                <w:sz w:val="16"/>
              </w:rPr>
              <w:t>Taksono</w:t>
            </w:r>
            <w:r w:rsidR="007D4CBF">
              <w:rPr>
                <w:b/>
                <w:sz w:val="16"/>
              </w:rPr>
              <w:softHyphen/>
            </w:r>
            <w:r>
              <w:rPr>
                <w:b/>
                <w:sz w:val="16"/>
              </w:rPr>
              <w:t>miforenlig andel av omsetnin</w:t>
            </w:r>
            <w:r w:rsidR="007D4CBF">
              <w:rPr>
                <w:b/>
                <w:sz w:val="16"/>
              </w:rPr>
              <w:softHyphen/>
            </w:r>
            <w:r>
              <w:rPr>
                <w:b/>
                <w:sz w:val="16"/>
              </w:rPr>
              <w:t>gen, år N-1 (19)</w:t>
            </w: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376F0F41" w14:textId="03525D60" w:rsidR="00A54846" w:rsidRDefault="008A2731">
            <w:pPr>
              <w:pStyle w:val="Para"/>
              <w:spacing w:after="0"/>
              <w:jc w:val="center"/>
              <w:rPr>
                <w:b/>
                <w:noProof/>
                <w:sz w:val="16"/>
                <w:szCs w:val="16"/>
              </w:rPr>
            </w:pPr>
            <w:r>
              <w:rPr>
                <w:b/>
                <w:sz w:val="16"/>
              </w:rPr>
              <w:t>Kategori (mulig</w:t>
            </w:r>
            <w:r w:rsidR="007D4CBF">
              <w:rPr>
                <w:b/>
                <w:sz w:val="16"/>
              </w:rPr>
              <w:softHyphen/>
            </w:r>
            <w:r>
              <w:rPr>
                <w:b/>
                <w:sz w:val="16"/>
              </w:rPr>
              <w:t>gjørende aktivitet) (20)</w:t>
            </w:r>
          </w:p>
        </w:tc>
        <w:tc>
          <w:tcPr>
            <w:tcW w:w="1058"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vAlign w:val="center"/>
            <w:hideMark/>
          </w:tcPr>
          <w:p w14:paraId="3AA90B80" w14:textId="7F44F380" w:rsidR="00A54846" w:rsidRDefault="008A2731">
            <w:pPr>
              <w:pStyle w:val="Para"/>
              <w:spacing w:after="0"/>
              <w:jc w:val="center"/>
              <w:rPr>
                <w:b/>
                <w:noProof/>
                <w:sz w:val="16"/>
                <w:szCs w:val="16"/>
              </w:rPr>
            </w:pPr>
            <w:r>
              <w:rPr>
                <w:b/>
                <w:sz w:val="16"/>
              </w:rPr>
              <w:t>Kategori «(omstillin</w:t>
            </w:r>
            <w:r w:rsidR="007D4CBF">
              <w:rPr>
                <w:b/>
                <w:sz w:val="16"/>
              </w:rPr>
              <w:softHyphen/>
            </w:r>
            <w:r>
              <w:rPr>
                <w:b/>
                <w:sz w:val="16"/>
              </w:rPr>
              <w:t>gsaktivitet)»</w:t>
            </w:r>
          </w:p>
          <w:p w14:paraId="022B1402" w14:textId="77777777" w:rsidR="00A54846" w:rsidRDefault="008A2731">
            <w:pPr>
              <w:pStyle w:val="Para"/>
              <w:spacing w:after="0"/>
              <w:jc w:val="center"/>
              <w:rPr>
                <w:b/>
                <w:noProof/>
                <w:sz w:val="16"/>
                <w:szCs w:val="16"/>
              </w:rPr>
            </w:pPr>
            <w:r>
              <w:rPr>
                <w:b/>
                <w:sz w:val="16"/>
              </w:rPr>
              <w:t>(21)</w:t>
            </w:r>
          </w:p>
        </w:tc>
      </w:tr>
      <w:tr w:rsidR="00A54846" w14:paraId="3BD197D3" w14:textId="77777777">
        <w:trPr>
          <w:cantSplit/>
          <w:tblHeader/>
        </w:trPr>
        <w:tc>
          <w:tcPr>
            <w:tcW w:w="2012" w:type="dxa"/>
            <w:gridSpan w:val="2"/>
            <w:tcBorders>
              <w:top w:val="nil"/>
              <w:left w:val="single" w:sz="4" w:space="0" w:color="auto"/>
              <w:bottom w:val="nil"/>
              <w:right w:val="nil"/>
            </w:tcBorders>
            <w:shd w:val="clear" w:color="auto" w:fill="FFFFFF"/>
            <w:tcMar>
              <w:top w:w="60" w:type="dxa"/>
              <w:left w:w="60" w:type="dxa"/>
              <w:bottom w:w="60" w:type="dxa"/>
              <w:right w:w="60" w:type="dxa"/>
            </w:tcMar>
            <w:vAlign w:val="center"/>
          </w:tcPr>
          <w:p w14:paraId="476D72B5" w14:textId="77777777" w:rsidR="00A54846" w:rsidRDefault="00A54846">
            <w:pPr>
              <w:pStyle w:val="Para"/>
              <w:spacing w:after="0"/>
              <w:jc w:val="center"/>
              <w:rPr>
                <w:noProof/>
                <w:color w:val="BFBFBF" w:themeColor="background1" w:themeShade="BF"/>
                <w:sz w:val="16"/>
                <w:szCs w:val="16"/>
                <w:lang w:val="en-US" w:bidi="en-US"/>
              </w:rPr>
            </w:pPr>
          </w:p>
        </w:tc>
        <w:tc>
          <w:tcPr>
            <w:tcW w:w="520" w:type="dxa"/>
            <w:tcBorders>
              <w:top w:val="nil"/>
              <w:left w:val="single" w:sz="4" w:space="0" w:color="auto"/>
              <w:bottom w:val="nil"/>
              <w:right w:val="nil"/>
            </w:tcBorders>
            <w:shd w:val="clear" w:color="auto" w:fill="FFFFFF"/>
            <w:tcMar>
              <w:top w:w="60" w:type="dxa"/>
              <w:left w:w="60" w:type="dxa"/>
              <w:bottom w:w="60" w:type="dxa"/>
              <w:right w:w="60" w:type="dxa"/>
            </w:tcMar>
            <w:textDirection w:val="tbRl"/>
            <w:vAlign w:val="center"/>
          </w:tcPr>
          <w:p w14:paraId="4CD66192" w14:textId="77777777" w:rsidR="00A54846" w:rsidRDefault="00A54846">
            <w:pPr>
              <w:pStyle w:val="Para"/>
              <w:spacing w:after="0"/>
              <w:jc w:val="center"/>
              <w:rPr>
                <w:noProof/>
                <w:color w:val="BFBFBF" w:themeColor="background1" w:themeShade="BF"/>
                <w:sz w:val="16"/>
                <w:szCs w:val="16"/>
                <w:lang w:val="en-US" w:bidi="en-US"/>
              </w:rPr>
            </w:pPr>
          </w:p>
        </w:tc>
        <w:tc>
          <w:tcPr>
            <w:tcW w:w="788" w:type="dxa"/>
            <w:gridSpan w:val="2"/>
            <w:tcBorders>
              <w:top w:val="nil"/>
              <w:left w:val="single" w:sz="4" w:space="0" w:color="auto"/>
              <w:bottom w:val="nil"/>
              <w:right w:val="nil"/>
            </w:tcBorders>
            <w:tcMar>
              <w:top w:w="60" w:type="dxa"/>
              <w:left w:w="60" w:type="dxa"/>
              <w:bottom w:w="60" w:type="dxa"/>
              <w:right w:w="60" w:type="dxa"/>
            </w:tcMar>
            <w:vAlign w:val="center"/>
            <w:hideMark/>
          </w:tcPr>
          <w:p w14:paraId="5769F362"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Valuta</w:t>
            </w:r>
          </w:p>
        </w:tc>
        <w:tc>
          <w:tcPr>
            <w:tcW w:w="533" w:type="dxa"/>
            <w:tcBorders>
              <w:top w:val="nil"/>
              <w:left w:val="single" w:sz="4" w:space="0" w:color="auto"/>
              <w:bottom w:val="nil"/>
              <w:right w:val="nil"/>
            </w:tcBorders>
            <w:tcMar>
              <w:top w:w="60" w:type="dxa"/>
              <w:left w:w="60" w:type="dxa"/>
              <w:bottom w:w="60" w:type="dxa"/>
              <w:right w:w="60" w:type="dxa"/>
            </w:tcMar>
            <w:vAlign w:val="center"/>
            <w:hideMark/>
          </w:tcPr>
          <w:p w14:paraId="16AACC2C" w14:textId="77777777" w:rsidR="00A54846" w:rsidRDefault="008A2731">
            <w:pPr>
              <w:pStyle w:val="Para"/>
              <w:spacing w:after="0" w:line="240" w:lineRule="auto"/>
              <w:jc w:val="center"/>
              <w:rPr>
                <w:b/>
                <w:noProof/>
                <w:color w:val="BFBFBF" w:themeColor="background1" w:themeShade="BF"/>
                <w:sz w:val="16"/>
                <w:szCs w:val="16"/>
              </w:rPr>
            </w:pPr>
            <w:r>
              <w:rPr>
                <w:b/>
                <w:color w:val="BFBFBF" w:themeColor="background1" w:themeShade="BF"/>
                <w:sz w:val="16"/>
              </w:rPr>
              <w:t>%</w:t>
            </w:r>
          </w:p>
        </w:tc>
        <w:tc>
          <w:tcPr>
            <w:tcW w:w="527" w:type="dxa"/>
            <w:tcBorders>
              <w:top w:val="nil"/>
              <w:left w:val="single" w:sz="4" w:space="0" w:color="auto"/>
              <w:bottom w:val="nil"/>
              <w:right w:val="nil"/>
            </w:tcBorders>
            <w:tcMar>
              <w:top w:w="60" w:type="dxa"/>
              <w:left w:w="60" w:type="dxa"/>
              <w:bottom w:w="60" w:type="dxa"/>
              <w:right w:w="60" w:type="dxa"/>
            </w:tcMar>
            <w:vAlign w:val="center"/>
            <w:hideMark/>
          </w:tcPr>
          <w:p w14:paraId="31677818"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w:t>
            </w:r>
          </w:p>
        </w:tc>
        <w:tc>
          <w:tcPr>
            <w:tcW w:w="528" w:type="dxa"/>
            <w:tcBorders>
              <w:top w:val="nil"/>
              <w:left w:val="single" w:sz="4" w:space="0" w:color="auto"/>
              <w:bottom w:val="nil"/>
              <w:right w:val="nil"/>
            </w:tcBorders>
            <w:tcMar>
              <w:top w:w="60" w:type="dxa"/>
              <w:left w:w="60" w:type="dxa"/>
              <w:bottom w:w="60" w:type="dxa"/>
              <w:right w:w="60" w:type="dxa"/>
            </w:tcMar>
            <w:vAlign w:val="center"/>
            <w:hideMark/>
          </w:tcPr>
          <w:p w14:paraId="69770ED4"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w:t>
            </w:r>
          </w:p>
        </w:tc>
        <w:tc>
          <w:tcPr>
            <w:tcW w:w="513" w:type="dxa"/>
            <w:gridSpan w:val="2"/>
            <w:tcBorders>
              <w:top w:val="nil"/>
              <w:left w:val="single" w:sz="4" w:space="0" w:color="auto"/>
              <w:bottom w:val="nil"/>
              <w:right w:val="nil"/>
            </w:tcBorders>
            <w:tcMar>
              <w:top w:w="60" w:type="dxa"/>
              <w:left w:w="60" w:type="dxa"/>
              <w:bottom w:w="60" w:type="dxa"/>
              <w:right w:w="60" w:type="dxa"/>
            </w:tcMar>
            <w:vAlign w:val="center"/>
            <w:hideMark/>
          </w:tcPr>
          <w:p w14:paraId="1780BA41"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w:t>
            </w:r>
          </w:p>
        </w:tc>
        <w:tc>
          <w:tcPr>
            <w:tcW w:w="531" w:type="dxa"/>
            <w:tcBorders>
              <w:top w:val="nil"/>
              <w:left w:val="single" w:sz="4" w:space="0" w:color="auto"/>
              <w:bottom w:val="nil"/>
              <w:right w:val="nil"/>
            </w:tcBorders>
            <w:tcMar>
              <w:top w:w="60" w:type="dxa"/>
              <w:left w:w="60" w:type="dxa"/>
              <w:bottom w:w="60" w:type="dxa"/>
              <w:right w:w="60" w:type="dxa"/>
            </w:tcMar>
            <w:vAlign w:val="center"/>
            <w:hideMark/>
          </w:tcPr>
          <w:p w14:paraId="4075FDEB"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w:t>
            </w:r>
          </w:p>
        </w:tc>
        <w:tc>
          <w:tcPr>
            <w:tcW w:w="516" w:type="dxa"/>
            <w:tcBorders>
              <w:top w:val="nil"/>
              <w:left w:val="single" w:sz="4" w:space="0" w:color="auto"/>
              <w:bottom w:val="nil"/>
              <w:right w:val="nil"/>
            </w:tcBorders>
            <w:tcMar>
              <w:top w:w="60" w:type="dxa"/>
              <w:left w:w="60" w:type="dxa"/>
              <w:bottom w:w="60" w:type="dxa"/>
              <w:right w:w="60" w:type="dxa"/>
            </w:tcMar>
            <w:vAlign w:val="center"/>
            <w:hideMark/>
          </w:tcPr>
          <w:p w14:paraId="099B03F4"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w:t>
            </w:r>
          </w:p>
        </w:tc>
        <w:tc>
          <w:tcPr>
            <w:tcW w:w="566" w:type="dxa"/>
            <w:tcBorders>
              <w:top w:val="nil"/>
              <w:left w:val="single" w:sz="4" w:space="0" w:color="auto"/>
              <w:bottom w:val="nil"/>
              <w:right w:val="nil"/>
            </w:tcBorders>
            <w:tcMar>
              <w:top w:w="60" w:type="dxa"/>
              <w:left w:w="60" w:type="dxa"/>
              <w:bottom w:w="60" w:type="dxa"/>
              <w:right w:w="60" w:type="dxa"/>
            </w:tcMar>
            <w:vAlign w:val="center"/>
            <w:hideMark/>
          </w:tcPr>
          <w:p w14:paraId="1AF36A7B"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0748A510"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08F10905"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21F3ACC1"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1C373AD6"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0DD8EB9A"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Ja/Nei</w:t>
            </w:r>
          </w:p>
        </w:tc>
        <w:tc>
          <w:tcPr>
            <w:tcW w:w="524" w:type="dxa"/>
            <w:tcBorders>
              <w:top w:val="nil"/>
              <w:left w:val="single" w:sz="4" w:space="0" w:color="auto"/>
              <w:bottom w:val="nil"/>
              <w:right w:val="nil"/>
            </w:tcBorders>
            <w:tcMar>
              <w:top w:w="60" w:type="dxa"/>
              <w:left w:w="60" w:type="dxa"/>
              <w:bottom w:w="60" w:type="dxa"/>
              <w:right w:w="60" w:type="dxa"/>
            </w:tcMar>
            <w:vAlign w:val="center"/>
            <w:hideMark/>
          </w:tcPr>
          <w:p w14:paraId="55D32DD7"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Ja/Nei</w:t>
            </w:r>
          </w:p>
        </w:tc>
        <w:tc>
          <w:tcPr>
            <w:tcW w:w="528" w:type="dxa"/>
            <w:tcBorders>
              <w:top w:val="nil"/>
              <w:left w:val="single" w:sz="4" w:space="0" w:color="auto"/>
              <w:bottom w:val="nil"/>
              <w:right w:val="single" w:sz="12" w:space="0" w:color="auto"/>
            </w:tcBorders>
            <w:tcMar>
              <w:top w:w="60" w:type="dxa"/>
              <w:left w:w="60" w:type="dxa"/>
              <w:bottom w:w="60" w:type="dxa"/>
              <w:right w:w="60" w:type="dxa"/>
            </w:tcMar>
            <w:vAlign w:val="center"/>
            <w:hideMark/>
          </w:tcPr>
          <w:p w14:paraId="2192621B"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Ja/Nei</w:t>
            </w:r>
          </w:p>
        </w:tc>
        <w:tc>
          <w:tcPr>
            <w:tcW w:w="876" w:type="dxa"/>
            <w:gridSpan w:val="3"/>
            <w:tcBorders>
              <w:top w:val="nil"/>
              <w:left w:val="single" w:sz="12" w:space="0" w:color="auto"/>
              <w:bottom w:val="single" w:sz="4" w:space="0" w:color="auto"/>
              <w:right w:val="single" w:sz="12" w:space="0" w:color="auto"/>
            </w:tcBorders>
            <w:tcMar>
              <w:top w:w="60" w:type="dxa"/>
              <w:left w:w="60" w:type="dxa"/>
              <w:bottom w:w="60" w:type="dxa"/>
              <w:right w:w="60" w:type="dxa"/>
            </w:tcMar>
            <w:vAlign w:val="center"/>
            <w:hideMark/>
          </w:tcPr>
          <w:p w14:paraId="07CA66DA"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Prosent</w:t>
            </w:r>
          </w:p>
        </w:tc>
        <w:tc>
          <w:tcPr>
            <w:tcW w:w="905" w:type="dxa"/>
            <w:tcBorders>
              <w:top w:val="nil"/>
              <w:left w:val="single" w:sz="12" w:space="0" w:color="auto"/>
              <w:bottom w:val="nil"/>
              <w:right w:val="nil"/>
            </w:tcBorders>
            <w:tcMar>
              <w:top w:w="60" w:type="dxa"/>
              <w:left w:w="60" w:type="dxa"/>
              <w:bottom w:w="60" w:type="dxa"/>
              <w:right w:w="60" w:type="dxa"/>
            </w:tcMar>
            <w:vAlign w:val="center"/>
            <w:hideMark/>
          </w:tcPr>
          <w:p w14:paraId="7AD85FC8"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Prosent</w:t>
            </w:r>
          </w:p>
        </w:tc>
        <w:tc>
          <w:tcPr>
            <w:tcW w:w="761" w:type="dxa"/>
            <w:tcBorders>
              <w:top w:val="nil"/>
              <w:left w:val="single" w:sz="4" w:space="0" w:color="auto"/>
              <w:bottom w:val="nil"/>
              <w:right w:val="nil"/>
            </w:tcBorders>
            <w:tcMar>
              <w:top w:w="60" w:type="dxa"/>
              <w:left w:w="60" w:type="dxa"/>
              <w:bottom w:w="60" w:type="dxa"/>
              <w:right w:w="60" w:type="dxa"/>
            </w:tcMar>
            <w:vAlign w:val="center"/>
            <w:hideMark/>
          </w:tcPr>
          <w:p w14:paraId="59DF6A66" w14:textId="133E7AF3"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Mulig</w:t>
            </w:r>
            <w:r w:rsidR="007D4CBF">
              <w:rPr>
                <w:b/>
                <w:color w:val="BFBFBF" w:themeColor="background1" w:themeShade="BF"/>
                <w:sz w:val="16"/>
              </w:rPr>
              <w:softHyphen/>
            </w:r>
            <w:r>
              <w:rPr>
                <w:b/>
                <w:color w:val="BFBFBF" w:themeColor="background1" w:themeShade="BF"/>
                <w:sz w:val="16"/>
              </w:rPr>
              <w:t>gjørende</w:t>
            </w:r>
          </w:p>
        </w:tc>
        <w:tc>
          <w:tcPr>
            <w:tcW w:w="1058" w:type="dxa"/>
            <w:tcBorders>
              <w:top w:val="nil"/>
              <w:left w:val="single" w:sz="4" w:space="0" w:color="auto"/>
              <w:bottom w:val="nil"/>
              <w:right w:val="single" w:sz="4" w:space="0" w:color="auto"/>
            </w:tcBorders>
            <w:tcMar>
              <w:top w:w="60" w:type="dxa"/>
              <w:left w:w="60" w:type="dxa"/>
              <w:bottom w:w="60" w:type="dxa"/>
              <w:right w:w="60" w:type="dxa"/>
            </w:tcMar>
            <w:vAlign w:val="center"/>
            <w:hideMark/>
          </w:tcPr>
          <w:p w14:paraId="6B01B6E0" w14:textId="77777777" w:rsidR="00A54846" w:rsidRDefault="008A2731">
            <w:pPr>
              <w:pStyle w:val="Para"/>
              <w:spacing w:after="0"/>
              <w:jc w:val="center"/>
              <w:rPr>
                <w:b/>
                <w:noProof/>
                <w:color w:val="BFBFBF" w:themeColor="background1" w:themeShade="BF"/>
                <w:sz w:val="16"/>
                <w:szCs w:val="16"/>
              </w:rPr>
            </w:pPr>
            <w:r>
              <w:rPr>
                <w:b/>
                <w:color w:val="BFBFBF" w:themeColor="background1" w:themeShade="BF"/>
                <w:sz w:val="16"/>
              </w:rPr>
              <w:t>Omstilling</w:t>
            </w:r>
          </w:p>
        </w:tc>
      </w:tr>
      <w:tr w:rsidR="00A54846" w14:paraId="09A09F2D" w14:textId="77777777">
        <w:tc>
          <w:tcPr>
            <w:tcW w:w="2005"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72BA5B95" w14:textId="77777777" w:rsidR="00A54846" w:rsidRDefault="008A2731">
            <w:pPr>
              <w:pStyle w:val="Para"/>
              <w:spacing w:after="0" w:line="240" w:lineRule="auto"/>
              <w:jc w:val="left"/>
              <w:rPr>
                <w:b/>
                <w:noProof/>
                <w:sz w:val="16"/>
                <w:szCs w:val="16"/>
              </w:rPr>
            </w:pPr>
            <w:r>
              <w:rPr>
                <w:b/>
                <w:sz w:val="16"/>
              </w:rPr>
              <w:t>A. AKTIVITETER SOM ER OMFATTET AV TAKSONOMIEN</w:t>
            </w:r>
          </w:p>
        </w:tc>
        <w:tc>
          <w:tcPr>
            <w:tcW w:w="1309" w:type="dxa"/>
            <w:gridSpan w:val="3"/>
            <w:tcBorders>
              <w:top w:val="single" w:sz="4" w:space="0" w:color="auto"/>
              <w:left w:val="nil"/>
              <w:bottom w:val="nil"/>
              <w:right w:val="nil"/>
            </w:tcBorders>
            <w:shd w:val="clear" w:color="auto" w:fill="FFFFFF"/>
            <w:vAlign w:val="center"/>
          </w:tcPr>
          <w:p w14:paraId="72584C7A" w14:textId="77777777" w:rsidR="00A54846" w:rsidRPr="006A792F" w:rsidRDefault="00A54846">
            <w:pPr>
              <w:pStyle w:val="Para"/>
              <w:spacing w:after="0" w:line="240" w:lineRule="auto"/>
              <w:rPr>
                <w:b/>
                <w:noProof/>
                <w:sz w:val="16"/>
                <w:szCs w:val="16"/>
                <w:lang w:bidi="en-US"/>
              </w:rPr>
            </w:pPr>
          </w:p>
        </w:tc>
        <w:tc>
          <w:tcPr>
            <w:tcW w:w="539" w:type="dxa"/>
            <w:gridSpan w:val="2"/>
            <w:tcBorders>
              <w:top w:val="single" w:sz="4" w:space="0" w:color="auto"/>
              <w:left w:val="nil"/>
              <w:bottom w:val="nil"/>
              <w:right w:val="nil"/>
            </w:tcBorders>
            <w:shd w:val="clear" w:color="auto" w:fill="FFFFFF"/>
            <w:tcMar>
              <w:top w:w="60" w:type="dxa"/>
              <w:left w:w="60" w:type="dxa"/>
              <w:bottom w:w="60" w:type="dxa"/>
              <w:right w:w="60" w:type="dxa"/>
            </w:tcMar>
            <w:vAlign w:val="center"/>
            <w:hideMark/>
          </w:tcPr>
          <w:p w14:paraId="407ACD25" w14:textId="77777777" w:rsidR="00A54846" w:rsidRDefault="008A2731">
            <w:pPr>
              <w:pStyle w:val="Para"/>
              <w:spacing w:after="0" w:line="240" w:lineRule="auto"/>
              <w:jc w:val="center"/>
              <w:rPr>
                <w:noProof/>
                <w:sz w:val="16"/>
                <w:szCs w:val="16"/>
              </w:rPr>
            </w:pPr>
            <w:r>
              <w:rPr>
                <w:sz w:val="16"/>
              </w:rPr>
              <w:t>%</w:t>
            </w:r>
          </w:p>
        </w:tc>
        <w:tc>
          <w:tcPr>
            <w:tcW w:w="6863" w:type="dxa"/>
            <w:gridSpan w:val="14"/>
            <w:tcBorders>
              <w:top w:val="single" w:sz="4" w:space="0" w:color="auto"/>
              <w:left w:val="nil"/>
              <w:bottom w:val="nil"/>
              <w:right w:val="single" w:sz="12" w:space="0" w:color="auto"/>
            </w:tcBorders>
            <w:shd w:val="clear" w:color="auto" w:fill="FFFFFF"/>
            <w:tcMar>
              <w:top w:w="60" w:type="dxa"/>
              <w:left w:w="60" w:type="dxa"/>
              <w:bottom w:w="60" w:type="dxa"/>
              <w:right w:w="60" w:type="dxa"/>
            </w:tcMar>
          </w:tcPr>
          <w:p w14:paraId="421CE2C7" w14:textId="77777777" w:rsidR="00A54846" w:rsidRDefault="00A54846">
            <w:pPr>
              <w:pStyle w:val="Para"/>
              <w:spacing w:after="0" w:line="240" w:lineRule="auto"/>
              <w:jc w:val="center"/>
              <w:rPr>
                <w:noProof/>
                <w:sz w:val="16"/>
                <w:szCs w:val="16"/>
                <w:lang w:val="en-US" w:bidi="en-US"/>
              </w:rPr>
            </w:pPr>
          </w:p>
        </w:tc>
        <w:tc>
          <w:tcPr>
            <w:tcW w:w="876" w:type="dxa"/>
            <w:gridSpan w:val="3"/>
            <w:tcBorders>
              <w:top w:val="single" w:sz="4" w:space="0" w:color="auto"/>
              <w:left w:val="single" w:sz="12" w:space="0" w:color="auto"/>
              <w:bottom w:val="nil"/>
              <w:right w:val="single" w:sz="12" w:space="0" w:color="auto"/>
            </w:tcBorders>
            <w:shd w:val="clear" w:color="auto" w:fill="FFFFFF"/>
          </w:tcPr>
          <w:p w14:paraId="6934BA11" w14:textId="77777777" w:rsidR="00A54846" w:rsidRDefault="00A54846">
            <w:pPr>
              <w:pStyle w:val="Para"/>
              <w:spacing w:after="0" w:line="240" w:lineRule="auto"/>
              <w:jc w:val="center"/>
              <w:rPr>
                <w:noProof/>
                <w:sz w:val="16"/>
                <w:szCs w:val="16"/>
                <w:lang w:val="en-US" w:bidi="en-US"/>
              </w:rPr>
            </w:pPr>
          </w:p>
        </w:tc>
        <w:tc>
          <w:tcPr>
            <w:tcW w:w="2724" w:type="dxa"/>
            <w:gridSpan w:val="3"/>
            <w:tcBorders>
              <w:top w:val="single" w:sz="4" w:space="0" w:color="auto"/>
              <w:left w:val="single" w:sz="12" w:space="0" w:color="auto"/>
              <w:bottom w:val="nil"/>
              <w:right w:val="nil"/>
            </w:tcBorders>
            <w:shd w:val="clear" w:color="auto" w:fill="FFFFFF"/>
          </w:tcPr>
          <w:p w14:paraId="26D30CD9" w14:textId="77777777" w:rsidR="00A54846" w:rsidRDefault="00A54846">
            <w:pPr>
              <w:pStyle w:val="Para"/>
              <w:spacing w:after="0" w:line="240" w:lineRule="auto"/>
              <w:rPr>
                <w:noProof/>
                <w:sz w:val="16"/>
                <w:szCs w:val="16"/>
                <w:lang w:val="en-US" w:bidi="en-US"/>
              </w:rPr>
            </w:pPr>
          </w:p>
        </w:tc>
      </w:tr>
      <w:tr w:rsidR="00A54846" w14:paraId="56ED81EC" w14:textId="77777777">
        <w:tc>
          <w:tcPr>
            <w:tcW w:w="2012"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7207399E" w14:textId="77777777" w:rsidR="00A54846" w:rsidRDefault="008A2731">
            <w:pPr>
              <w:pStyle w:val="Para"/>
              <w:spacing w:after="0" w:line="240" w:lineRule="auto"/>
              <w:jc w:val="left"/>
              <w:rPr>
                <w:b/>
                <w:noProof/>
                <w:sz w:val="16"/>
                <w:szCs w:val="16"/>
              </w:rPr>
            </w:pPr>
            <w:r>
              <w:rPr>
                <w:b/>
                <w:sz w:val="16"/>
              </w:rPr>
              <w:t>A.1. Miljømessig bærekraftige (taksonomiforenlige) aktiviteter</w:t>
            </w:r>
          </w:p>
        </w:tc>
        <w:tc>
          <w:tcPr>
            <w:tcW w:w="520"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1A3A4C0D" w14:textId="77777777" w:rsidR="00A54846" w:rsidRPr="006A792F" w:rsidRDefault="00A54846">
            <w:pPr>
              <w:pStyle w:val="Para"/>
              <w:spacing w:after="0" w:line="240" w:lineRule="auto"/>
              <w:jc w:val="left"/>
              <w:rPr>
                <w:noProof/>
                <w:sz w:val="16"/>
                <w:szCs w:val="16"/>
                <w:lang w:bidi="en-US"/>
              </w:rPr>
            </w:pPr>
          </w:p>
        </w:tc>
        <w:tc>
          <w:tcPr>
            <w:tcW w:w="788"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498446B2" w14:textId="77777777" w:rsidR="00A54846" w:rsidRPr="006A792F" w:rsidRDefault="00A54846">
            <w:pPr>
              <w:pStyle w:val="Para"/>
              <w:spacing w:after="0" w:line="240" w:lineRule="auto"/>
              <w:jc w:val="center"/>
              <w:rPr>
                <w:noProof/>
                <w:sz w:val="16"/>
                <w:szCs w:val="16"/>
                <w:lang w:bidi="en-US"/>
              </w:rPr>
            </w:pPr>
          </w:p>
        </w:tc>
        <w:tc>
          <w:tcPr>
            <w:tcW w:w="53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298E870" w14:textId="77777777" w:rsidR="00A54846" w:rsidRPr="006A792F" w:rsidRDefault="00A54846">
            <w:pPr>
              <w:pStyle w:val="Para"/>
              <w:spacing w:after="0" w:line="240" w:lineRule="auto"/>
              <w:jc w:val="center"/>
              <w:rPr>
                <w:noProof/>
                <w:sz w:val="16"/>
                <w:szCs w:val="16"/>
                <w:lang w:bidi="en-US"/>
              </w:rPr>
            </w:pPr>
          </w:p>
        </w:tc>
        <w:tc>
          <w:tcPr>
            <w:tcW w:w="527"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6F19FF5B" w14:textId="77777777" w:rsidR="00A54846" w:rsidRPr="006A792F" w:rsidRDefault="00A54846">
            <w:pPr>
              <w:pStyle w:val="Para"/>
              <w:spacing w:after="0" w:line="240" w:lineRule="auto"/>
              <w:jc w:val="center"/>
              <w:rPr>
                <w:noProof/>
                <w:sz w:val="16"/>
                <w:szCs w:val="16"/>
                <w:lang w:bidi="en-US"/>
              </w:rPr>
            </w:pP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53662AD6" w14:textId="77777777" w:rsidR="00A54846" w:rsidRPr="006A792F" w:rsidRDefault="00A54846">
            <w:pPr>
              <w:pStyle w:val="Para"/>
              <w:spacing w:after="0" w:line="240" w:lineRule="auto"/>
              <w:jc w:val="center"/>
              <w:rPr>
                <w:noProof/>
                <w:sz w:val="16"/>
                <w:szCs w:val="16"/>
                <w:lang w:bidi="en-US"/>
              </w:rPr>
            </w:pPr>
          </w:p>
        </w:tc>
        <w:tc>
          <w:tcPr>
            <w:tcW w:w="513"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1186396C" w14:textId="77777777" w:rsidR="00A54846" w:rsidRPr="006A792F" w:rsidRDefault="00A54846">
            <w:pPr>
              <w:pStyle w:val="Para"/>
              <w:spacing w:after="0" w:line="240" w:lineRule="auto"/>
              <w:jc w:val="center"/>
              <w:rPr>
                <w:noProof/>
                <w:sz w:val="16"/>
                <w:szCs w:val="16"/>
                <w:lang w:bidi="en-US"/>
              </w:rPr>
            </w:pPr>
          </w:p>
        </w:tc>
        <w:tc>
          <w:tcPr>
            <w:tcW w:w="53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6555AA5E" w14:textId="77777777" w:rsidR="00A54846" w:rsidRPr="006A792F" w:rsidRDefault="00A54846">
            <w:pPr>
              <w:pStyle w:val="Para"/>
              <w:spacing w:after="0" w:line="240" w:lineRule="auto"/>
              <w:jc w:val="center"/>
              <w:rPr>
                <w:noProof/>
                <w:sz w:val="16"/>
                <w:szCs w:val="16"/>
                <w:lang w:bidi="en-US"/>
              </w:rPr>
            </w:pPr>
          </w:p>
        </w:tc>
        <w:tc>
          <w:tcPr>
            <w:tcW w:w="51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2275B297" w14:textId="77777777" w:rsidR="00A54846" w:rsidRPr="006A792F" w:rsidRDefault="00A54846">
            <w:pPr>
              <w:pStyle w:val="Para"/>
              <w:spacing w:after="0" w:line="240" w:lineRule="auto"/>
              <w:jc w:val="center"/>
              <w:rPr>
                <w:noProof/>
                <w:sz w:val="16"/>
                <w:szCs w:val="16"/>
                <w:lang w:bidi="en-US"/>
              </w:rPr>
            </w:pPr>
          </w:p>
        </w:tc>
        <w:tc>
          <w:tcPr>
            <w:tcW w:w="56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1851078D" w14:textId="77777777" w:rsidR="00A54846" w:rsidRPr="006A792F" w:rsidRDefault="00A54846">
            <w:pPr>
              <w:pStyle w:val="Para"/>
              <w:spacing w:after="0" w:line="240" w:lineRule="auto"/>
              <w:jc w:val="center"/>
              <w:rPr>
                <w:noProof/>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79B64A4" w14:textId="77777777" w:rsidR="00A54846" w:rsidRPr="006A792F" w:rsidRDefault="00A54846">
            <w:pPr>
              <w:pStyle w:val="Para"/>
              <w:spacing w:after="0" w:line="240" w:lineRule="auto"/>
              <w:jc w:val="center"/>
              <w:rPr>
                <w:noProof/>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1F70DF2A" w14:textId="77777777" w:rsidR="00A54846" w:rsidRPr="006A792F" w:rsidRDefault="00A54846">
            <w:pPr>
              <w:pStyle w:val="Para"/>
              <w:spacing w:after="0" w:line="240" w:lineRule="auto"/>
              <w:jc w:val="center"/>
              <w:rPr>
                <w:noProof/>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482E2433" w14:textId="77777777" w:rsidR="00A54846" w:rsidRPr="006A792F" w:rsidRDefault="00A54846">
            <w:pPr>
              <w:pStyle w:val="Para"/>
              <w:spacing w:after="0" w:line="240" w:lineRule="auto"/>
              <w:jc w:val="center"/>
              <w:rPr>
                <w:noProof/>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2D2F9F7B" w14:textId="77777777" w:rsidR="00A54846" w:rsidRPr="006A792F" w:rsidRDefault="00A54846">
            <w:pPr>
              <w:pStyle w:val="Para"/>
              <w:spacing w:after="0" w:line="240" w:lineRule="auto"/>
              <w:jc w:val="center"/>
              <w:rPr>
                <w:noProof/>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1705FB31" w14:textId="77777777" w:rsidR="00A54846" w:rsidRPr="006A792F" w:rsidRDefault="00A54846">
            <w:pPr>
              <w:pStyle w:val="Para"/>
              <w:spacing w:after="0" w:line="240" w:lineRule="auto"/>
              <w:jc w:val="center"/>
              <w:rPr>
                <w:noProof/>
                <w:sz w:val="16"/>
                <w:szCs w:val="16"/>
                <w:lang w:bidi="en-US"/>
              </w:rPr>
            </w:pPr>
          </w:p>
        </w:tc>
        <w:tc>
          <w:tcPr>
            <w:tcW w:w="52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5B82418B" w14:textId="77777777" w:rsidR="00A54846" w:rsidRPr="006A792F" w:rsidRDefault="00A54846">
            <w:pPr>
              <w:pStyle w:val="Para"/>
              <w:spacing w:after="0" w:line="240" w:lineRule="auto"/>
              <w:jc w:val="center"/>
              <w:rPr>
                <w:noProof/>
                <w:sz w:val="16"/>
                <w:szCs w:val="16"/>
                <w:lang w:bidi="en-US"/>
              </w:rPr>
            </w:pPr>
          </w:p>
        </w:tc>
        <w:tc>
          <w:tcPr>
            <w:tcW w:w="528" w:type="dxa"/>
            <w:tcBorders>
              <w:top w:val="single" w:sz="4" w:space="0" w:color="auto"/>
              <w:left w:val="single" w:sz="4" w:space="0" w:color="auto"/>
              <w:bottom w:val="nil"/>
              <w:right w:val="single" w:sz="12" w:space="0" w:color="auto"/>
            </w:tcBorders>
            <w:shd w:val="clear" w:color="auto" w:fill="FFFFFF"/>
            <w:tcMar>
              <w:top w:w="60" w:type="dxa"/>
              <w:left w:w="60" w:type="dxa"/>
              <w:bottom w:w="60" w:type="dxa"/>
              <w:right w:w="60" w:type="dxa"/>
            </w:tcMar>
          </w:tcPr>
          <w:p w14:paraId="2F195AEC" w14:textId="77777777" w:rsidR="00A54846" w:rsidRPr="006A792F" w:rsidRDefault="00A54846">
            <w:pPr>
              <w:pStyle w:val="Para"/>
              <w:spacing w:after="0" w:line="240" w:lineRule="auto"/>
              <w:jc w:val="center"/>
              <w:rPr>
                <w:noProof/>
                <w:sz w:val="16"/>
                <w:szCs w:val="16"/>
                <w:lang w:bidi="en-US"/>
              </w:rPr>
            </w:pPr>
          </w:p>
        </w:tc>
        <w:tc>
          <w:tcPr>
            <w:tcW w:w="876" w:type="dxa"/>
            <w:gridSpan w:val="3"/>
            <w:tcBorders>
              <w:top w:val="single" w:sz="4" w:space="0" w:color="auto"/>
              <w:left w:val="single" w:sz="12" w:space="0" w:color="auto"/>
              <w:bottom w:val="nil"/>
              <w:right w:val="single" w:sz="12" w:space="0" w:color="auto"/>
            </w:tcBorders>
            <w:shd w:val="clear" w:color="auto" w:fill="FFFFFF"/>
            <w:tcMar>
              <w:top w:w="60" w:type="dxa"/>
              <w:left w:w="60" w:type="dxa"/>
              <w:bottom w:w="60" w:type="dxa"/>
              <w:right w:w="60" w:type="dxa"/>
            </w:tcMar>
          </w:tcPr>
          <w:p w14:paraId="7AC1D903" w14:textId="77777777" w:rsidR="00A54846" w:rsidRPr="006A792F" w:rsidRDefault="00A54846">
            <w:pPr>
              <w:pStyle w:val="Para"/>
              <w:spacing w:after="0" w:line="240" w:lineRule="auto"/>
              <w:jc w:val="center"/>
              <w:rPr>
                <w:noProof/>
                <w:sz w:val="16"/>
                <w:szCs w:val="16"/>
                <w:lang w:bidi="en-US"/>
              </w:rPr>
            </w:pP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tcPr>
          <w:p w14:paraId="79AF3AA7" w14:textId="77777777" w:rsidR="00A54846" w:rsidRPr="006A792F" w:rsidRDefault="00A54846">
            <w:pPr>
              <w:pStyle w:val="Para"/>
              <w:spacing w:after="0" w:line="240" w:lineRule="auto"/>
              <w:jc w:val="left"/>
              <w:rPr>
                <w:noProof/>
                <w:sz w:val="16"/>
                <w:szCs w:val="16"/>
                <w:lang w:bidi="en-US"/>
              </w:rPr>
            </w:pP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526A0E88" w14:textId="77777777" w:rsidR="00A54846" w:rsidRPr="006A792F" w:rsidRDefault="00A54846">
            <w:pPr>
              <w:pStyle w:val="Para"/>
              <w:spacing w:after="0" w:line="240" w:lineRule="auto"/>
              <w:jc w:val="left"/>
              <w:rPr>
                <w:noProof/>
                <w:sz w:val="16"/>
                <w:szCs w:val="16"/>
                <w:lang w:bidi="en-US"/>
              </w:rPr>
            </w:pPr>
          </w:p>
        </w:tc>
        <w:tc>
          <w:tcPr>
            <w:tcW w:w="1058"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tcPr>
          <w:p w14:paraId="49BC469B" w14:textId="77777777" w:rsidR="00A54846" w:rsidRPr="006A792F" w:rsidRDefault="00A54846">
            <w:pPr>
              <w:pStyle w:val="Para"/>
              <w:spacing w:after="0" w:line="240" w:lineRule="auto"/>
              <w:jc w:val="left"/>
              <w:rPr>
                <w:noProof/>
                <w:sz w:val="16"/>
                <w:szCs w:val="16"/>
                <w:lang w:bidi="en-US"/>
              </w:rPr>
            </w:pPr>
          </w:p>
        </w:tc>
      </w:tr>
      <w:tr w:rsidR="00A54846" w14:paraId="6B8481B2" w14:textId="77777777">
        <w:tc>
          <w:tcPr>
            <w:tcW w:w="2012"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709E1DDD" w14:textId="77777777" w:rsidR="00A54846" w:rsidRDefault="008A2731">
            <w:pPr>
              <w:pStyle w:val="Para"/>
              <w:spacing w:after="0" w:line="240" w:lineRule="auto"/>
              <w:jc w:val="left"/>
              <w:rPr>
                <w:noProof/>
                <w:sz w:val="16"/>
                <w:szCs w:val="16"/>
              </w:rPr>
            </w:pPr>
            <w:r>
              <w:rPr>
                <w:sz w:val="16"/>
              </w:rPr>
              <w:t>Aktivitet 1</w:t>
            </w:r>
            <w:r>
              <w:rPr>
                <w:sz w:val="16"/>
                <w:vertAlign w:val="superscript"/>
              </w:rPr>
              <w:t>(1)</w:t>
            </w:r>
          </w:p>
        </w:tc>
        <w:tc>
          <w:tcPr>
            <w:tcW w:w="520"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CEC8D09" w14:textId="77777777" w:rsidR="00A54846" w:rsidRDefault="00A54846">
            <w:pPr>
              <w:pStyle w:val="Para"/>
              <w:spacing w:after="0" w:line="240" w:lineRule="auto"/>
              <w:jc w:val="left"/>
              <w:rPr>
                <w:noProof/>
                <w:sz w:val="16"/>
                <w:szCs w:val="16"/>
                <w:lang w:val="en-US" w:bidi="en-US"/>
              </w:rPr>
            </w:pPr>
          </w:p>
        </w:tc>
        <w:tc>
          <w:tcPr>
            <w:tcW w:w="788"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19EB85E3" w14:textId="77777777" w:rsidR="00A54846" w:rsidRDefault="00A54846">
            <w:pPr>
              <w:pStyle w:val="Para"/>
              <w:spacing w:after="0" w:line="240" w:lineRule="auto"/>
              <w:jc w:val="center"/>
              <w:rPr>
                <w:noProof/>
                <w:sz w:val="16"/>
                <w:szCs w:val="16"/>
                <w:lang w:val="en-US" w:bidi="en-US"/>
              </w:rPr>
            </w:pPr>
          </w:p>
        </w:tc>
        <w:tc>
          <w:tcPr>
            <w:tcW w:w="53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B7C136D" w14:textId="77777777" w:rsidR="00A54846" w:rsidRDefault="00A54846">
            <w:pPr>
              <w:pStyle w:val="Para"/>
              <w:spacing w:after="0" w:line="240" w:lineRule="auto"/>
              <w:jc w:val="center"/>
              <w:rPr>
                <w:noProof/>
                <w:sz w:val="16"/>
                <w:szCs w:val="16"/>
                <w:lang w:val="en-US" w:bidi="en-US"/>
              </w:rPr>
            </w:pPr>
          </w:p>
        </w:tc>
        <w:tc>
          <w:tcPr>
            <w:tcW w:w="527"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6202451E" w14:textId="77777777" w:rsidR="00A54846" w:rsidRDefault="008A2731">
            <w:pPr>
              <w:pStyle w:val="Para"/>
              <w:spacing w:after="0" w:line="240" w:lineRule="auto"/>
              <w:jc w:val="center"/>
              <w:rPr>
                <w:noProof/>
                <w:sz w:val="16"/>
                <w:szCs w:val="16"/>
              </w:rPr>
            </w:pPr>
            <w:r>
              <w:rPr>
                <w:sz w:val="16"/>
              </w:rPr>
              <w:t>%</w:t>
            </w: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0C2267F1" w14:textId="77777777" w:rsidR="00A54846" w:rsidRDefault="008A2731">
            <w:pPr>
              <w:pStyle w:val="Para"/>
              <w:spacing w:after="0" w:line="240" w:lineRule="auto"/>
              <w:jc w:val="center"/>
              <w:rPr>
                <w:noProof/>
                <w:sz w:val="16"/>
                <w:szCs w:val="16"/>
              </w:rPr>
            </w:pPr>
            <w:r>
              <w:rPr>
                <w:sz w:val="16"/>
              </w:rPr>
              <w:t>%</w:t>
            </w:r>
          </w:p>
        </w:tc>
        <w:tc>
          <w:tcPr>
            <w:tcW w:w="513"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1EFA4C70" w14:textId="77777777" w:rsidR="00A54846" w:rsidRDefault="008A2731">
            <w:pPr>
              <w:pStyle w:val="Para"/>
              <w:spacing w:after="0" w:line="240" w:lineRule="auto"/>
              <w:jc w:val="center"/>
              <w:rPr>
                <w:noProof/>
                <w:sz w:val="16"/>
                <w:szCs w:val="16"/>
              </w:rPr>
            </w:pPr>
            <w:r>
              <w:rPr>
                <w:sz w:val="16"/>
              </w:rPr>
              <w:t>%</w:t>
            </w:r>
          </w:p>
        </w:tc>
        <w:tc>
          <w:tcPr>
            <w:tcW w:w="53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03532DE5" w14:textId="77777777" w:rsidR="00A54846" w:rsidRDefault="008A2731">
            <w:pPr>
              <w:pStyle w:val="Para"/>
              <w:spacing w:after="0" w:line="240" w:lineRule="auto"/>
              <w:jc w:val="center"/>
              <w:rPr>
                <w:noProof/>
                <w:sz w:val="16"/>
                <w:szCs w:val="16"/>
              </w:rPr>
            </w:pPr>
            <w:r>
              <w:rPr>
                <w:sz w:val="16"/>
              </w:rPr>
              <w:t>%</w:t>
            </w:r>
          </w:p>
        </w:tc>
        <w:tc>
          <w:tcPr>
            <w:tcW w:w="51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29146F6D" w14:textId="77777777" w:rsidR="00A54846" w:rsidRDefault="008A2731">
            <w:pPr>
              <w:pStyle w:val="Para"/>
              <w:spacing w:after="0" w:line="240" w:lineRule="auto"/>
              <w:jc w:val="center"/>
              <w:rPr>
                <w:noProof/>
                <w:sz w:val="16"/>
                <w:szCs w:val="16"/>
              </w:rPr>
            </w:pPr>
            <w:r>
              <w:rPr>
                <w:sz w:val="16"/>
              </w:rPr>
              <w:t>%</w:t>
            </w:r>
          </w:p>
        </w:tc>
        <w:tc>
          <w:tcPr>
            <w:tcW w:w="56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10037C26" w14:textId="77777777" w:rsidR="00A54846" w:rsidRDefault="008A2731">
            <w:pPr>
              <w:pStyle w:val="Para"/>
              <w:spacing w:after="0" w:line="240" w:lineRule="auto"/>
              <w:jc w:val="center"/>
              <w:rPr>
                <w:noProof/>
                <w:sz w:val="16"/>
                <w:szCs w:val="16"/>
              </w:rPr>
            </w:pPr>
            <w:r>
              <w:rPr>
                <w:sz w:val="16"/>
              </w:rPr>
              <w:t>%</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0BE7639" w14:textId="77777777" w:rsidR="00A54846" w:rsidRDefault="00A54846">
            <w:pPr>
              <w:pStyle w:val="Para"/>
              <w:spacing w:after="0" w:line="240" w:lineRule="auto"/>
              <w:jc w:val="center"/>
              <w:rPr>
                <w:noProof/>
                <w:sz w:val="16"/>
                <w:szCs w:val="16"/>
                <w:lang w:val="en-US"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55CA604B" w14:textId="77777777" w:rsidR="00A54846" w:rsidRDefault="008A2731">
            <w:pPr>
              <w:pStyle w:val="Para"/>
              <w:spacing w:after="0" w:line="240" w:lineRule="auto"/>
              <w:jc w:val="center"/>
              <w:rPr>
                <w:noProof/>
                <w:sz w:val="16"/>
                <w:szCs w:val="16"/>
              </w:rPr>
            </w:pPr>
            <w:r>
              <w:rPr>
                <w:sz w:val="16"/>
              </w:rPr>
              <w:t>J</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4FDCF330" w14:textId="77777777" w:rsidR="00A54846" w:rsidRDefault="008A2731">
            <w:pPr>
              <w:pStyle w:val="Para"/>
              <w:spacing w:after="0" w:line="240" w:lineRule="auto"/>
              <w:jc w:val="center"/>
              <w:rPr>
                <w:noProof/>
                <w:sz w:val="16"/>
                <w:szCs w:val="16"/>
              </w:rPr>
            </w:pPr>
            <w:r>
              <w:rPr>
                <w:sz w:val="16"/>
              </w:rPr>
              <w:t>J</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6A6A5F63" w14:textId="77777777" w:rsidR="00A54846" w:rsidRDefault="008A2731">
            <w:pPr>
              <w:pStyle w:val="Para"/>
              <w:spacing w:after="0" w:line="240" w:lineRule="auto"/>
              <w:jc w:val="center"/>
              <w:rPr>
                <w:noProof/>
                <w:sz w:val="16"/>
                <w:szCs w:val="16"/>
              </w:rPr>
            </w:pPr>
            <w:r>
              <w:rPr>
                <w:sz w:val="16"/>
              </w:rPr>
              <w:t>J</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0DDA48D6" w14:textId="77777777" w:rsidR="00A54846" w:rsidRDefault="008A2731">
            <w:pPr>
              <w:pStyle w:val="Para"/>
              <w:spacing w:after="0" w:line="240" w:lineRule="auto"/>
              <w:jc w:val="center"/>
              <w:rPr>
                <w:noProof/>
                <w:sz w:val="16"/>
                <w:szCs w:val="16"/>
              </w:rPr>
            </w:pPr>
            <w:r>
              <w:rPr>
                <w:sz w:val="16"/>
              </w:rPr>
              <w:t>J</w:t>
            </w:r>
          </w:p>
        </w:tc>
        <w:tc>
          <w:tcPr>
            <w:tcW w:w="52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0A28F47D" w14:textId="77777777" w:rsidR="00A54846" w:rsidRDefault="008A2731">
            <w:pPr>
              <w:pStyle w:val="Para"/>
              <w:spacing w:after="0" w:line="240" w:lineRule="auto"/>
              <w:jc w:val="center"/>
              <w:rPr>
                <w:noProof/>
                <w:sz w:val="16"/>
                <w:szCs w:val="16"/>
              </w:rPr>
            </w:pPr>
            <w:r>
              <w:rPr>
                <w:sz w:val="16"/>
              </w:rPr>
              <w:t>J</w:t>
            </w:r>
          </w:p>
        </w:tc>
        <w:tc>
          <w:tcPr>
            <w:tcW w:w="528" w:type="dxa"/>
            <w:tcBorders>
              <w:top w:val="single" w:sz="4" w:space="0" w:color="auto"/>
              <w:left w:val="single" w:sz="4" w:space="0" w:color="auto"/>
              <w:bottom w:val="nil"/>
              <w:right w:val="single" w:sz="12" w:space="0" w:color="auto"/>
            </w:tcBorders>
            <w:shd w:val="clear" w:color="auto" w:fill="FFFFFF"/>
            <w:tcMar>
              <w:top w:w="60" w:type="dxa"/>
              <w:left w:w="60" w:type="dxa"/>
              <w:bottom w:w="60" w:type="dxa"/>
              <w:right w:w="60" w:type="dxa"/>
            </w:tcMar>
            <w:vAlign w:val="bottom"/>
            <w:hideMark/>
          </w:tcPr>
          <w:p w14:paraId="60382278" w14:textId="77777777" w:rsidR="00A54846" w:rsidRDefault="008A2731">
            <w:pPr>
              <w:pStyle w:val="Para"/>
              <w:spacing w:after="0" w:line="240" w:lineRule="auto"/>
              <w:jc w:val="center"/>
              <w:rPr>
                <w:b/>
                <w:noProof/>
                <w:sz w:val="16"/>
                <w:szCs w:val="16"/>
              </w:rPr>
            </w:pPr>
            <w:r>
              <w:rPr>
                <w:b/>
                <w:sz w:val="16"/>
              </w:rPr>
              <w:t>J</w:t>
            </w:r>
          </w:p>
        </w:tc>
        <w:tc>
          <w:tcPr>
            <w:tcW w:w="876" w:type="dxa"/>
            <w:gridSpan w:val="3"/>
            <w:tcBorders>
              <w:top w:val="single" w:sz="4" w:space="0" w:color="auto"/>
              <w:left w:val="single" w:sz="12" w:space="0" w:color="auto"/>
              <w:bottom w:val="nil"/>
              <w:right w:val="single" w:sz="12" w:space="0" w:color="auto"/>
            </w:tcBorders>
            <w:shd w:val="clear" w:color="auto" w:fill="FFFFFF"/>
            <w:tcMar>
              <w:top w:w="60" w:type="dxa"/>
              <w:left w:w="60" w:type="dxa"/>
              <w:bottom w:w="60" w:type="dxa"/>
              <w:right w:w="60" w:type="dxa"/>
            </w:tcMar>
            <w:vAlign w:val="bottom"/>
            <w:hideMark/>
          </w:tcPr>
          <w:p w14:paraId="648F453C" w14:textId="77777777" w:rsidR="00A54846" w:rsidRDefault="008A2731">
            <w:pPr>
              <w:pStyle w:val="Para"/>
              <w:spacing w:after="0" w:line="240" w:lineRule="auto"/>
              <w:jc w:val="center"/>
              <w:rPr>
                <w:noProof/>
                <w:sz w:val="16"/>
                <w:szCs w:val="16"/>
              </w:rPr>
            </w:pPr>
            <w:r>
              <w:rPr>
                <w:sz w:val="16"/>
              </w:rPr>
              <w:t>%</w:t>
            </w: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tcPr>
          <w:p w14:paraId="6760015C" w14:textId="77777777" w:rsidR="00A54846" w:rsidRDefault="00A54846">
            <w:pPr>
              <w:pStyle w:val="Para"/>
              <w:spacing w:after="0" w:line="240" w:lineRule="auto"/>
              <w:jc w:val="left"/>
              <w:rPr>
                <w:noProof/>
                <w:sz w:val="16"/>
                <w:szCs w:val="16"/>
                <w:lang w:val="en-US" w:bidi="en-US"/>
              </w:rPr>
            </w:pP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69211C35" w14:textId="5EFF8315" w:rsidR="00A54846" w:rsidRDefault="008A2731">
            <w:pPr>
              <w:pStyle w:val="Para"/>
              <w:spacing w:after="0" w:line="240" w:lineRule="auto"/>
              <w:jc w:val="center"/>
              <w:rPr>
                <w:noProof/>
                <w:sz w:val="16"/>
                <w:szCs w:val="16"/>
              </w:rPr>
            </w:pPr>
            <w:r>
              <w:rPr>
                <w:sz w:val="16"/>
              </w:rPr>
              <w:t>Mulig</w:t>
            </w:r>
            <w:r w:rsidR="007D4CBF">
              <w:rPr>
                <w:sz w:val="16"/>
              </w:rPr>
              <w:softHyphen/>
            </w:r>
            <w:r>
              <w:rPr>
                <w:sz w:val="16"/>
              </w:rPr>
              <w:t>gjørende</w:t>
            </w:r>
          </w:p>
        </w:tc>
        <w:tc>
          <w:tcPr>
            <w:tcW w:w="1058"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tcPr>
          <w:p w14:paraId="36440BC6" w14:textId="77777777" w:rsidR="00A54846" w:rsidRDefault="00A54846">
            <w:pPr>
              <w:pStyle w:val="Para"/>
              <w:spacing w:after="0" w:line="240" w:lineRule="auto"/>
              <w:jc w:val="left"/>
              <w:rPr>
                <w:noProof/>
                <w:sz w:val="16"/>
                <w:szCs w:val="16"/>
                <w:lang w:val="en-US" w:bidi="en-US"/>
              </w:rPr>
            </w:pPr>
          </w:p>
        </w:tc>
      </w:tr>
      <w:tr w:rsidR="00A54846" w14:paraId="75842DD9" w14:textId="77777777">
        <w:tc>
          <w:tcPr>
            <w:tcW w:w="2012" w:type="dxa"/>
            <w:gridSpan w:val="2"/>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5570708A" w14:textId="77777777" w:rsidR="00A54846" w:rsidRDefault="008A2731">
            <w:pPr>
              <w:pStyle w:val="Para"/>
              <w:spacing w:after="0" w:line="240" w:lineRule="auto"/>
              <w:jc w:val="left"/>
              <w:rPr>
                <w:noProof/>
                <w:sz w:val="16"/>
                <w:szCs w:val="16"/>
              </w:rPr>
            </w:pPr>
            <w:r>
              <w:rPr>
                <w:sz w:val="16"/>
              </w:rPr>
              <w:t>Aktivitet 2</w:t>
            </w:r>
          </w:p>
        </w:tc>
        <w:tc>
          <w:tcPr>
            <w:tcW w:w="520"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559A471B" w14:textId="77777777" w:rsidR="00A54846" w:rsidRDefault="00A54846">
            <w:pPr>
              <w:pStyle w:val="Para"/>
              <w:spacing w:after="0" w:line="240" w:lineRule="auto"/>
              <w:jc w:val="left"/>
              <w:rPr>
                <w:noProof/>
                <w:sz w:val="16"/>
                <w:szCs w:val="16"/>
                <w:lang w:val="en-US" w:bidi="en-US"/>
              </w:rPr>
            </w:pPr>
          </w:p>
        </w:tc>
        <w:tc>
          <w:tcPr>
            <w:tcW w:w="788" w:type="dxa"/>
            <w:gridSpan w:val="2"/>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1AA6C302" w14:textId="77777777" w:rsidR="00A54846" w:rsidRDefault="00A54846">
            <w:pPr>
              <w:pStyle w:val="Para"/>
              <w:spacing w:after="0" w:line="240" w:lineRule="auto"/>
              <w:jc w:val="center"/>
              <w:rPr>
                <w:noProof/>
                <w:sz w:val="16"/>
                <w:szCs w:val="16"/>
                <w:lang w:val="en-US" w:bidi="en-US"/>
              </w:rPr>
            </w:pPr>
          </w:p>
        </w:tc>
        <w:tc>
          <w:tcPr>
            <w:tcW w:w="533"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0A93E24C" w14:textId="77777777" w:rsidR="00A54846" w:rsidRDefault="008A2731">
            <w:pPr>
              <w:pStyle w:val="Para"/>
              <w:spacing w:after="0" w:line="240" w:lineRule="auto"/>
              <w:jc w:val="center"/>
              <w:rPr>
                <w:noProof/>
                <w:sz w:val="16"/>
                <w:szCs w:val="16"/>
              </w:rPr>
            </w:pPr>
            <w:r>
              <w:rPr>
                <w:sz w:val="16"/>
              </w:rPr>
              <w:t>%</w:t>
            </w:r>
          </w:p>
        </w:tc>
        <w:tc>
          <w:tcPr>
            <w:tcW w:w="527"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665D246C" w14:textId="77777777" w:rsidR="00A54846" w:rsidRDefault="008A2731">
            <w:pPr>
              <w:pStyle w:val="Para"/>
              <w:spacing w:after="0" w:line="240" w:lineRule="auto"/>
              <w:jc w:val="center"/>
              <w:rPr>
                <w:noProof/>
                <w:sz w:val="16"/>
                <w:szCs w:val="16"/>
              </w:rPr>
            </w:pPr>
            <w:r>
              <w:rPr>
                <w:sz w:val="16"/>
              </w:rPr>
              <w:t>%</w:t>
            </w:r>
          </w:p>
        </w:tc>
        <w:tc>
          <w:tcPr>
            <w:tcW w:w="528"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1E4B2086" w14:textId="77777777" w:rsidR="00A54846" w:rsidRDefault="008A2731">
            <w:pPr>
              <w:pStyle w:val="Para"/>
              <w:spacing w:after="0" w:line="240" w:lineRule="auto"/>
              <w:jc w:val="center"/>
              <w:rPr>
                <w:noProof/>
                <w:sz w:val="16"/>
                <w:szCs w:val="16"/>
              </w:rPr>
            </w:pPr>
            <w:r>
              <w:rPr>
                <w:sz w:val="16"/>
              </w:rPr>
              <w:t>%</w:t>
            </w:r>
          </w:p>
        </w:tc>
        <w:tc>
          <w:tcPr>
            <w:tcW w:w="513" w:type="dxa"/>
            <w:gridSpan w:val="2"/>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432B6DA0" w14:textId="77777777" w:rsidR="00A54846" w:rsidRDefault="008A2731">
            <w:pPr>
              <w:pStyle w:val="Para"/>
              <w:spacing w:after="0" w:line="240" w:lineRule="auto"/>
              <w:jc w:val="center"/>
              <w:rPr>
                <w:noProof/>
                <w:sz w:val="16"/>
                <w:szCs w:val="16"/>
              </w:rPr>
            </w:pPr>
            <w:r>
              <w:rPr>
                <w:sz w:val="16"/>
              </w:rPr>
              <w:t>%</w:t>
            </w:r>
          </w:p>
        </w:tc>
        <w:tc>
          <w:tcPr>
            <w:tcW w:w="531"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74196EC2" w14:textId="77777777" w:rsidR="00A54846" w:rsidRDefault="008A2731">
            <w:pPr>
              <w:pStyle w:val="Para"/>
              <w:spacing w:after="0" w:line="240" w:lineRule="auto"/>
              <w:jc w:val="center"/>
              <w:rPr>
                <w:noProof/>
                <w:sz w:val="16"/>
                <w:szCs w:val="16"/>
              </w:rPr>
            </w:pPr>
            <w:r>
              <w:rPr>
                <w:sz w:val="16"/>
              </w:rPr>
              <w:t>%</w:t>
            </w:r>
          </w:p>
        </w:tc>
        <w:tc>
          <w:tcPr>
            <w:tcW w:w="51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0EBB0E4D" w14:textId="77777777" w:rsidR="00A54846" w:rsidRDefault="008A2731">
            <w:pPr>
              <w:pStyle w:val="Para"/>
              <w:spacing w:after="0" w:line="240" w:lineRule="auto"/>
              <w:jc w:val="center"/>
              <w:rPr>
                <w:noProof/>
                <w:sz w:val="16"/>
                <w:szCs w:val="16"/>
              </w:rPr>
            </w:pPr>
            <w:r>
              <w:rPr>
                <w:sz w:val="16"/>
              </w:rPr>
              <w:t>%</w:t>
            </w:r>
          </w:p>
        </w:tc>
        <w:tc>
          <w:tcPr>
            <w:tcW w:w="56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39206355" w14:textId="77777777" w:rsidR="00A54846" w:rsidRDefault="008A2731">
            <w:pPr>
              <w:pStyle w:val="Para"/>
              <w:spacing w:after="0" w:line="240" w:lineRule="auto"/>
              <w:jc w:val="center"/>
              <w:rPr>
                <w:noProof/>
                <w:sz w:val="16"/>
                <w:szCs w:val="16"/>
              </w:rPr>
            </w:pPr>
            <w:r>
              <w:rPr>
                <w:sz w:val="16"/>
              </w:rPr>
              <w:t>%</w:t>
            </w: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2A8F9909" w14:textId="77777777" w:rsidR="00A54846" w:rsidRDefault="008A2731">
            <w:pPr>
              <w:pStyle w:val="Para"/>
              <w:spacing w:after="0" w:line="240" w:lineRule="auto"/>
              <w:jc w:val="center"/>
              <w:rPr>
                <w:noProof/>
                <w:sz w:val="16"/>
                <w:szCs w:val="16"/>
              </w:rPr>
            </w:pPr>
            <w:r>
              <w:rPr>
                <w:sz w:val="16"/>
              </w:rPr>
              <w:t>J</w:t>
            </w: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61EEA9FC" w14:textId="77777777" w:rsidR="00A54846" w:rsidRDefault="008A2731">
            <w:pPr>
              <w:pStyle w:val="Para"/>
              <w:spacing w:after="0" w:line="240" w:lineRule="auto"/>
              <w:jc w:val="center"/>
              <w:rPr>
                <w:noProof/>
                <w:sz w:val="16"/>
                <w:szCs w:val="16"/>
              </w:rPr>
            </w:pPr>
            <w:r>
              <w:rPr>
                <w:sz w:val="16"/>
              </w:rPr>
              <w:t>J</w:t>
            </w: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1BFC1FD6" w14:textId="77777777" w:rsidR="00A54846" w:rsidRDefault="00A54846">
            <w:pPr>
              <w:pStyle w:val="Para"/>
              <w:spacing w:after="0" w:line="240" w:lineRule="auto"/>
              <w:jc w:val="center"/>
              <w:rPr>
                <w:noProof/>
                <w:sz w:val="16"/>
                <w:szCs w:val="16"/>
                <w:lang w:val="en-US" w:bidi="en-US"/>
              </w:rPr>
            </w:pP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325E0ED0" w14:textId="77777777" w:rsidR="00A54846" w:rsidRDefault="008A2731">
            <w:pPr>
              <w:pStyle w:val="Para"/>
              <w:spacing w:after="0" w:line="240" w:lineRule="auto"/>
              <w:jc w:val="center"/>
              <w:rPr>
                <w:noProof/>
                <w:sz w:val="16"/>
                <w:szCs w:val="16"/>
              </w:rPr>
            </w:pPr>
            <w:r>
              <w:rPr>
                <w:sz w:val="16"/>
              </w:rPr>
              <w:t>J</w:t>
            </w: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5D6B12A2" w14:textId="77777777" w:rsidR="00A54846" w:rsidRDefault="008A2731">
            <w:pPr>
              <w:pStyle w:val="Para"/>
              <w:spacing w:after="0" w:line="240" w:lineRule="auto"/>
              <w:jc w:val="center"/>
              <w:rPr>
                <w:noProof/>
                <w:sz w:val="16"/>
                <w:szCs w:val="16"/>
              </w:rPr>
            </w:pPr>
            <w:r>
              <w:rPr>
                <w:sz w:val="16"/>
              </w:rPr>
              <w:t>J</w:t>
            </w:r>
          </w:p>
        </w:tc>
        <w:tc>
          <w:tcPr>
            <w:tcW w:w="524"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6FB6BF38" w14:textId="77777777" w:rsidR="00A54846" w:rsidRDefault="008A2731">
            <w:pPr>
              <w:pStyle w:val="Para"/>
              <w:spacing w:after="0" w:line="240" w:lineRule="auto"/>
              <w:jc w:val="center"/>
              <w:rPr>
                <w:noProof/>
                <w:sz w:val="16"/>
                <w:szCs w:val="16"/>
              </w:rPr>
            </w:pPr>
            <w:r>
              <w:rPr>
                <w:sz w:val="16"/>
              </w:rPr>
              <w:t>J</w:t>
            </w:r>
          </w:p>
        </w:tc>
        <w:tc>
          <w:tcPr>
            <w:tcW w:w="528" w:type="dxa"/>
            <w:tcBorders>
              <w:top w:val="single" w:sz="4" w:space="0" w:color="auto"/>
              <w:left w:val="single" w:sz="4" w:space="0" w:color="auto"/>
              <w:bottom w:val="single" w:sz="4" w:space="0" w:color="auto"/>
              <w:right w:val="single" w:sz="12" w:space="0" w:color="auto"/>
            </w:tcBorders>
            <w:shd w:val="clear" w:color="auto" w:fill="FFFFFF"/>
            <w:tcMar>
              <w:top w:w="60" w:type="dxa"/>
              <w:left w:w="60" w:type="dxa"/>
              <w:bottom w:w="60" w:type="dxa"/>
              <w:right w:w="60" w:type="dxa"/>
            </w:tcMar>
            <w:vAlign w:val="bottom"/>
            <w:hideMark/>
          </w:tcPr>
          <w:p w14:paraId="50D2B689" w14:textId="77777777" w:rsidR="00A54846" w:rsidRDefault="008A2731">
            <w:pPr>
              <w:pStyle w:val="Para"/>
              <w:spacing w:after="0" w:line="240" w:lineRule="auto"/>
              <w:jc w:val="center"/>
              <w:rPr>
                <w:noProof/>
                <w:sz w:val="16"/>
                <w:szCs w:val="16"/>
              </w:rPr>
            </w:pPr>
            <w:r>
              <w:rPr>
                <w:sz w:val="16"/>
              </w:rPr>
              <w:t>J</w:t>
            </w:r>
          </w:p>
        </w:tc>
        <w:tc>
          <w:tcPr>
            <w:tcW w:w="876" w:type="dxa"/>
            <w:gridSpan w:val="3"/>
            <w:tcBorders>
              <w:top w:val="single" w:sz="4" w:space="0" w:color="auto"/>
              <w:left w:val="single" w:sz="12" w:space="0" w:color="auto"/>
              <w:bottom w:val="single" w:sz="4" w:space="0" w:color="auto"/>
              <w:right w:val="single" w:sz="12" w:space="0" w:color="auto"/>
            </w:tcBorders>
            <w:shd w:val="clear" w:color="auto" w:fill="FFFFFF"/>
            <w:tcMar>
              <w:top w:w="60" w:type="dxa"/>
              <w:left w:w="60" w:type="dxa"/>
              <w:bottom w:w="60" w:type="dxa"/>
              <w:right w:w="60" w:type="dxa"/>
            </w:tcMar>
            <w:vAlign w:val="bottom"/>
            <w:hideMark/>
          </w:tcPr>
          <w:p w14:paraId="3EB194E3" w14:textId="77777777" w:rsidR="00A54846" w:rsidRDefault="008A2731">
            <w:pPr>
              <w:pStyle w:val="Para"/>
              <w:spacing w:after="0" w:line="240" w:lineRule="auto"/>
              <w:jc w:val="center"/>
              <w:rPr>
                <w:noProof/>
                <w:sz w:val="16"/>
                <w:szCs w:val="16"/>
              </w:rPr>
            </w:pPr>
            <w:r>
              <w:rPr>
                <w:sz w:val="16"/>
              </w:rPr>
              <w:t>%</w:t>
            </w:r>
          </w:p>
        </w:tc>
        <w:tc>
          <w:tcPr>
            <w:tcW w:w="905" w:type="dxa"/>
            <w:tcBorders>
              <w:top w:val="single" w:sz="4" w:space="0" w:color="auto"/>
              <w:left w:val="single" w:sz="12" w:space="0" w:color="auto"/>
              <w:bottom w:val="single" w:sz="4" w:space="0" w:color="auto"/>
              <w:right w:val="nil"/>
            </w:tcBorders>
            <w:shd w:val="clear" w:color="auto" w:fill="FFFFFF"/>
            <w:tcMar>
              <w:top w:w="60" w:type="dxa"/>
              <w:left w:w="60" w:type="dxa"/>
              <w:bottom w:w="60" w:type="dxa"/>
              <w:right w:w="60" w:type="dxa"/>
            </w:tcMar>
          </w:tcPr>
          <w:p w14:paraId="3DA9B09E" w14:textId="77777777" w:rsidR="00A54846" w:rsidRDefault="00A54846">
            <w:pPr>
              <w:pStyle w:val="Para"/>
              <w:spacing w:after="0" w:line="240" w:lineRule="auto"/>
              <w:jc w:val="left"/>
              <w:rPr>
                <w:noProof/>
                <w:sz w:val="16"/>
                <w:szCs w:val="16"/>
                <w:lang w:val="en-US" w:bidi="en-US"/>
              </w:rPr>
            </w:pPr>
          </w:p>
        </w:tc>
        <w:tc>
          <w:tcPr>
            <w:tcW w:w="761"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31E9634F" w14:textId="77777777" w:rsidR="00A54846" w:rsidRDefault="00A54846">
            <w:pPr>
              <w:pStyle w:val="Para"/>
              <w:spacing w:after="0" w:line="240" w:lineRule="auto"/>
              <w:jc w:val="left"/>
              <w:rPr>
                <w:noProof/>
                <w:sz w:val="16"/>
                <w:szCs w:val="16"/>
                <w:lang w:val="en-US" w:bidi="en-US"/>
              </w:rPr>
            </w:pPr>
          </w:p>
        </w:tc>
        <w:tc>
          <w:tcPr>
            <w:tcW w:w="1058"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6193933B" w14:textId="77777777" w:rsidR="00A54846" w:rsidRDefault="00A54846">
            <w:pPr>
              <w:pStyle w:val="Para"/>
              <w:spacing w:after="0" w:line="240" w:lineRule="auto"/>
              <w:jc w:val="left"/>
              <w:rPr>
                <w:noProof/>
                <w:sz w:val="16"/>
                <w:szCs w:val="16"/>
                <w:lang w:val="en-US" w:bidi="en-US"/>
              </w:rPr>
            </w:pPr>
          </w:p>
        </w:tc>
      </w:tr>
      <w:tr w:rsidR="00A54846" w14:paraId="327089C3" w14:textId="77777777">
        <w:tc>
          <w:tcPr>
            <w:tcW w:w="2005"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hideMark/>
          </w:tcPr>
          <w:p w14:paraId="6ADFE1DA" w14:textId="77777777" w:rsidR="00A54846" w:rsidRDefault="008A2731">
            <w:pPr>
              <w:pStyle w:val="Para"/>
              <w:pageBreakBefore/>
              <w:spacing w:after="0" w:line="240" w:lineRule="auto"/>
              <w:jc w:val="left"/>
              <w:rPr>
                <w:b/>
                <w:noProof/>
                <w:sz w:val="16"/>
                <w:szCs w:val="16"/>
              </w:rPr>
            </w:pPr>
            <w:r>
              <w:rPr>
                <w:b/>
                <w:sz w:val="16"/>
              </w:rPr>
              <w:lastRenderedPageBreak/>
              <w:t>Omsetning for miljømessig bærekraftige (taksonomiforenlige) aktiviteter</w:t>
            </w:r>
          </w:p>
          <w:p w14:paraId="29E86A7F" w14:textId="77777777" w:rsidR="00A54846" w:rsidRDefault="008A2731">
            <w:pPr>
              <w:pStyle w:val="Para"/>
              <w:pageBreakBefore/>
              <w:spacing w:after="0" w:line="240" w:lineRule="auto"/>
              <w:jc w:val="left"/>
              <w:rPr>
                <w:b/>
                <w:noProof/>
                <w:sz w:val="16"/>
                <w:szCs w:val="16"/>
              </w:rPr>
            </w:pPr>
            <w:r>
              <w:rPr>
                <w:b/>
                <w:sz w:val="16"/>
              </w:rPr>
              <w:t>(A.1)</w:t>
            </w:r>
          </w:p>
        </w:tc>
        <w:tc>
          <w:tcPr>
            <w:tcW w:w="527"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544A5F2E" w14:textId="77777777" w:rsidR="00A54846" w:rsidRDefault="00A54846">
            <w:pPr>
              <w:pStyle w:val="Para"/>
              <w:pageBreakBefore/>
              <w:spacing w:after="0" w:line="240" w:lineRule="auto"/>
              <w:jc w:val="left"/>
              <w:rPr>
                <w:noProof/>
                <w:sz w:val="16"/>
                <w:szCs w:val="16"/>
                <w:lang w:val="en-US" w:bidi="en-US"/>
              </w:rPr>
            </w:pPr>
          </w:p>
        </w:tc>
        <w:tc>
          <w:tcPr>
            <w:tcW w:w="782"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443247C5" w14:textId="77777777" w:rsidR="00A54846" w:rsidRDefault="00A54846">
            <w:pPr>
              <w:pStyle w:val="Para"/>
              <w:pageBreakBefore/>
              <w:spacing w:after="0" w:line="240" w:lineRule="auto"/>
              <w:jc w:val="left"/>
              <w:rPr>
                <w:noProof/>
                <w:sz w:val="16"/>
                <w:szCs w:val="16"/>
                <w:lang w:val="en-US" w:bidi="en-US"/>
              </w:rPr>
            </w:pPr>
          </w:p>
        </w:tc>
        <w:tc>
          <w:tcPr>
            <w:tcW w:w="539"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hideMark/>
          </w:tcPr>
          <w:p w14:paraId="57F82529" w14:textId="77777777" w:rsidR="00A54846" w:rsidRDefault="008A2731">
            <w:pPr>
              <w:pStyle w:val="Para"/>
              <w:pageBreakBefore/>
              <w:spacing w:after="0" w:line="240" w:lineRule="auto"/>
              <w:jc w:val="center"/>
              <w:rPr>
                <w:b/>
                <w:noProof/>
                <w:sz w:val="16"/>
                <w:szCs w:val="16"/>
              </w:rPr>
            </w:pPr>
            <w:r>
              <w:rPr>
                <w:b/>
                <w:sz w:val="16"/>
              </w:rPr>
              <w:t>%</w:t>
            </w:r>
          </w:p>
        </w:tc>
        <w:tc>
          <w:tcPr>
            <w:tcW w:w="527"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hideMark/>
          </w:tcPr>
          <w:p w14:paraId="65B67281" w14:textId="77777777" w:rsidR="00A54846" w:rsidRDefault="008A2731">
            <w:pPr>
              <w:pStyle w:val="Para"/>
              <w:pageBreakBefore/>
              <w:spacing w:after="0" w:line="240" w:lineRule="auto"/>
              <w:jc w:val="center"/>
              <w:rPr>
                <w:noProof/>
                <w:sz w:val="16"/>
                <w:szCs w:val="16"/>
              </w:rPr>
            </w:pPr>
            <w:r>
              <w:rPr>
                <w:sz w:val="16"/>
              </w:rPr>
              <w:t>%</w:t>
            </w:r>
          </w:p>
        </w:tc>
        <w:tc>
          <w:tcPr>
            <w:tcW w:w="528"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hideMark/>
          </w:tcPr>
          <w:p w14:paraId="2353AC30" w14:textId="77777777" w:rsidR="00A54846" w:rsidRDefault="008A2731">
            <w:pPr>
              <w:pStyle w:val="Para"/>
              <w:pageBreakBefore/>
              <w:spacing w:after="0" w:line="240" w:lineRule="auto"/>
              <w:jc w:val="center"/>
              <w:rPr>
                <w:noProof/>
                <w:sz w:val="16"/>
                <w:szCs w:val="16"/>
              </w:rPr>
            </w:pPr>
            <w:r>
              <w:rPr>
                <w:sz w:val="16"/>
              </w:rPr>
              <w:t>%</w:t>
            </w:r>
          </w:p>
        </w:tc>
        <w:tc>
          <w:tcPr>
            <w:tcW w:w="506"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hideMark/>
          </w:tcPr>
          <w:p w14:paraId="5C016170" w14:textId="77777777" w:rsidR="00A54846" w:rsidRDefault="008A2731">
            <w:pPr>
              <w:pStyle w:val="Para"/>
              <w:pageBreakBefore/>
              <w:spacing w:after="0" w:line="240" w:lineRule="auto"/>
              <w:jc w:val="center"/>
              <w:rPr>
                <w:noProof/>
                <w:sz w:val="16"/>
                <w:szCs w:val="16"/>
              </w:rPr>
            </w:pPr>
            <w:r>
              <w:rPr>
                <w:sz w:val="16"/>
              </w:rPr>
              <w:t>%</w:t>
            </w:r>
          </w:p>
        </w:tc>
        <w:tc>
          <w:tcPr>
            <w:tcW w:w="538"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hideMark/>
          </w:tcPr>
          <w:p w14:paraId="3C03E1C6" w14:textId="77777777" w:rsidR="00A54846" w:rsidRDefault="008A2731">
            <w:pPr>
              <w:pStyle w:val="Para"/>
              <w:pageBreakBefore/>
              <w:spacing w:after="0" w:line="240" w:lineRule="auto"/>
              <w:jc w:val="center"/>
              <w:rPr>
                <w:noProof/>
                <w:sz w:val="16"/>
                <w:szCs w:val="16"/>
              </w:rPr>
            </w:pPr>
            <w:r>
              <w:rPr>
                <w:sz w:val="16"/>
              </w:rPr>
              <w:t>%</w:t>
            </w:r>
          </w:p>
        </w:tc>
        <w:tc>
          <w:tcPr>
            <w:tcW w:w="516"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hideMark/>
          </w:tcPr>
          <w:p w14:paraId="7BF94BD5" w14:textId="77777777" w:rsidR="00A54846" w:rsidRDefault="008A2731">
            <w:pPr>
              <w:pStyle w:val="Para"/>
              <w:pageBreakBefore/>
              <w:spacing w:after="0" w:line="240" w:lineRule="auto"/>
              <w:jc w:val="center"/>
              <w:rPr>
                <w:noProof/>
                <w:sz w:val="16"/>
                <w:szCs w:val="16"/>
              </w:rPr>
            </w:pPr>
            <w:r>
              <w:rPr>
                <w:sz w:val="16"/>
              </w:rPr>
              <w:t>%</w:t>
            </w:r>
          </w:p>
        </w:tc>
        <w:tc>
          <w:tcPr>
            <w:tcW w:w="566"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hideMark/>
          </w:tcPr>
          <w:p w14:paraId="25DF2197" w14:textId="77777777" w:rsidR="00A54846" w:rsidRDefault="008A2731">
            <w:pPr>
              <w:pStyle w:val="Para"/>
              <w:pageBreakBefore/>
              <w:spacing w:after="0" w:line="240" w:lineRule="auto"/>
              <w:jc w:val="center"/>
              <w:rPr>
                <w:noProof/>
                <w:sz w:val="16"/>
                <w:szCs w:val="16"/>
              </w:rPr>
            </w:pPr>
            <w:r>
              <w:rPr>
                <w:sz w:val="16"/>
              </w:rPr>
              <w:t>%</w:t>
            </w:r>
          </w:p>
        </w:tc>
        <w:tc>
          <w:tcPr>
            <w:tcW w:w="526"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7C187764" w14:textId="77777777" w:rsidR="00A54846" w:rsidRDefault="00A54846">
            <w:pPr>
              <w:pStyle w:val="Para"/>
              <w:pageBreakBefore/>
              <w:spacing w:after="0" w:line="240" w:lineRule="auto"/>
              <w:jc w:val="center"/>
              <w:rPr>
                <w:noProof/>
                <w:sz w:val="16"/>
                <w:szCs w:val="16"/>
                <w:lang w:val="en-US" w:bidi="en-US"/>
              </w:rPr>
            </w:pPr>
          </w:p>
        </w:tc>
        <w:tc>
          <w:tcPr>
            <w:tcW w:w="526"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51A939DA" w14:textId="77777777" w:rsidR="00A54846" w:rsidRDefault="00A54846">
            <w:pPr>
              <w:pStyle w:val="Para"/>
              <w:pageBreakBefore/>
              <w:spacing w:after="0" w:line="240" w:lineRule="auto"/>
              <w:jc w:val="center"/>
              <w:rPr>
                <w:noProof/>
                <w:sz w:val="16"/>
                <w:szCs w:val="16"/>
                <w:lang w:val="en-US" w:bidi="en-US"/>
              </w:rPr>
            </w:pPr>
          </w:p>
        </w:tc>
        <w:tc>
          <w:tcPr>
            <w:tcW w:w="526"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641D4A38" w14:textId="77777777" w:rsidR="00A54846" w:rsidRDefault="00A54846">
            <w:pPr>
              <w:pStyle w:val="Para"/>
              <w:pageBreakBefore/>
              <w:spacing w:after="0" w:line="240" w:lineRule="auto"/>
              <w:jc w:val="center"/>
              <w:rPr>
                <w:noProof/>
                <w:sz w:val="16"/>
                <w:szCs w:val="16"/>
                <w:lang w:val="en-US" w:bidi="en-US"/>
              </w:rPr>
            </w:pPr>
          </w:p>
        </w:tc>
        <w:tc>
          <w:tcPr>
            <w:tcW w:w="526"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52B52102" w14:textId="77777777" w:rsidR="00A54846" w:rsidRDefault="00A54846">
            <w:pPr>
              <w:pStyle w:val="Para"/>
              <w:pageBreakBefore/>
              <w:spacing w:after="0" w:line="240" w:lineRule="auto"/>
              <w:jc w:val="center"/>
              <w:rPr>
                <w:noProof/>
                <w:sz w:val="16"/>
                <w:szCs w:val="16"/>
                <w:lang w:val="en-US" w:bidi="en-US"/>
              </w:rPr>
            </w:pPr>
          </w:p>
        </w:tc>
        <w:tc>
          <w:tcPr>
            <w:tcW w:w="526"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09C01B54" w14:textId="77777777" w:rsidR="00A54846" w:rsidRDefault="00A54846">
            <w:pPr>
              <w:pStyle w:val="Para"/>
              <w:pageBreakBefore/>
              <w:spacing w:after="0" w:line="240" w:lineRule="auto"/>
              <w:jc w:val="center"/>
              <w:rPr>
                <w:noProof/>
                <w:sz w:val="16"/>
                <w:szCs w:val="16"/>
                <w:lang w:val="en-US" w:bidi="en-US"/>
              </w:rPr>
            </w:pPr>
          </w:p>
        </w:tc>
        <w:tc>
          <w:tcPr>
            <w:tcW w:w="524"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29E51193" w14:textId="77777777" w:rsidR="00A54846" w:rsidRDefault="00A54846">
            <w:pPr>
              <w:pStyle w:val="Para"/>
              <w:pageBreakBefore/>
              <w:spacing w:after="0" w:line="240" w:lineRule="auto"/>
              <w:jc w:val="center"/>
              <w:rPr>
                <w:noProof/>
                <w:sz w:val="16"/>
                <w:szCs w:val="16"/>
                <w:lang w:val="en-US" w:bidi="en-US"/>
              </w:rPr>
            </w:pPr>
          </w:p>
        </w:tc>
        <w:tc>
          <w:tcPr>
            <w:tcW w:w="534" w:type="dxa"/>
            <w:gridSpan w:val="2"/>
            <w:tcBorders>
              <w:top w:val="single" w:sz="4" w:space="0" w:color="auto"/>
              <w:left w:val="single" w:sz="4" w:space="0" w:color="auto"/>
              <w:bottom w:val="nil"/>
              <w:right w:val="single" w:sz="12" w:space="0" w:color="auto"/>
            </w:tcBorders>
            <w:shd w:val="clear" w:color="auto" w:fill="FFFFFF"/>
            <w:tcMar>
              <w:top w:w="100" w:type="dxa"/>
              <w:left w:w="60" w:type="dxa"/>
              <w:bottom w:w="100" w:type="dxa"/>
              <w:right w:w="60" w:type="dxa"/>
            </w:tcMar>
            <w:vAlign w:val="center"/>
          </w:tcPr>
          <w:p w14:paraId="53E006BF" w14:textId="77777777" w:rsidR="00A54846" w:rsidRDefault="00A54846">
            <w:pPr>
              <w:pStyle w:val="Para"/>
              <w:pageBreakBefore/>
              <w:spacing w:after="0" w:line="240" w:lineRule="auto"/>
              <w:jc w:val="center"/>
              <w:rPr>
                <w:noProof/>
                <w:sz w:val="16"/>
                <w:szCs w:val="16"/>
                <w:lang w:val="en-US" w:bidi="en-US"/>
              </w:rPr>
            </w:pPr>
          </w:p>
        </w:tc>
        <w:tc>
          <w:tcPr>
            <w:tcW w:w="870" w:type="dxa"/>
            <w:gridSpan w:val="2"/>
            <w:tcBorders>
              <w:top w:val="single" w:sz="4" w:space="0" w:color="auto"/>
              <w:left w:val="single" w:sz="12" w:space="0" w:color="auto"/>
              <w:bottom w:val="single" w:sz="4" w:space="0" w:color="auto"/>
              <w:right w:val="single" w:sz="12" w:space="0" w:color="auto"/>
            </w:tcBorders>
            <w:shd w:val="clear" w:color="auto" w:fill="FFFFFF"/>
            <w:tcMar>
              <w:top w:w="100" w:type="dxa"/>
              <w:left w:w="60" w:type="dxa"/>
              <w:bottom w:w="100" w:type="dxa"/>
              <w:right w:w="60" w:type="dxa"/>
            </w:tcMar>
            <w:vAlign w:val="center"/>
            <w:hideMark/>
          </w:tcPr>
          <w:p w14:paraId="546FBF20" w14:textId="77777777" w:rsidR="00A54846" w:rsidRDefault="008A2731">
            <w:pPr>
              <w:pStyle w:val="Para"/>
              <w:pageBreakBefore/>
              <w:spacing w:after="0" w:line="240" w:lineRule="auto"/>
              <w:jc w:val="center"/>
              <w:rPr>
                <w:b/>
                <w:noProof/>
                <w:sz w:val="16"/>
                <w:szCs w:val="16"/>
              </w:rPr>
            </w:pPr>
            <w:r>
              <w:rPr>
                <w:b/>
                <w:sz w:val="16"/>
              </w:rPr>
              <w:t>%</w:t>
            </w:r>
          </w:p>
        </w:tc>
        <w:tc>
          <w:tcPr>
            <w:tcW w:w="905" w:type="dxa"/>
            <w:tcBorders>
              <w:top w:val="single" w:sz="4" w:space="0" w:color="auto"/>
              <w:left w:val="single" w:sz="12" w:space="0" w:color="auto"/>
              <w:bottom w:val="nil"/>
              <w:right w:val="nil"/>
            </w:tcBorders>
            <w:shd w:val="clear" w:color="auto" w:fill="FFFFFF"/>
            <w:tcMar>
              <w:top w:w="100" w:type="dxa"/>
              <w:left w:w="60" w:type="dxa"/>
              <w:bottom w:w="100" w:type="dxa"/>
              <w:right w:w="60" w:type="dxa"/>
            </w:tcMar>
            <w:vAlign w:val="center"/>
          </w:tcPr>
          <w:p w14:paraId="5E04247C" w14:textId="77777777" w:rsidR="00A54846" w:rsidRDefault="00A54846">
            <w:pPr>
              <w:pStyle w:val="Para"/>
              <w:pageBreakBefore/>
              <w:spacing w:after="0" w:line="240" w:lineRule="auto"/>
              <w:jc w:val="left"/>
              <w:rPr>
                <w:noProof/>
                <w:sz w:val="16"/>
                <w:szCs w:val="16"/>
                <w:lang w:val="en-US" w:bidi="en-US"/>
              </w:rPr>
            </w:pPr>
          </w:p>
        </w:tc>
        <w:tc>
          <w:tcPr>
            <w:tcW w:w="761"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5FF89E88" w14:textId="77777777" w:rsidR="00A54846" w:rsidRDefault="00A54846">
            <w:pPr>
              <w:pStyle w:val="Para"/>
              <w:pageBreakBefore/>
              <w:spacing w:after="0" w:line="240" w:lineRule="auto"/>
              <w:jc w:val="left"/>
              <w:rPr>
                <w:noProof/>
                <w:sz w:val="16"/>
                <w:szCs w:val="16"/>
                <w:lang w:val="en-US" w:bidi="en-US"/>
              </w:rPr>
            </w:pPr>
          </w:p>
        </w:tc>
        <w:tc>
          <w:tcPr>
            <w:tcW w:w="1058" w:type="dxa"/>
            <w:tcBorders>
              <w:top w:val="single" w:sz="4" w:space="0" w:color="auto"/>
              <w:left w:val="single" w:sz="4" w:space="0" w:color="auto"/>
              <w:bottom w:val="nil"/>
              <w:right w:val="single" w:sz="4" w:space="0" w:color="auto"/>
            </w:tcBorders>
            <w:shd w:val="clear" w:color="auto" w:fill="FFFFFF"/>
            <w:tcMar>
              <w:top w:w="100" w:type="dxa"/>
              <w:left w:w="60" w:type="dxa"/>
              <w:bottom w:w="100" w:type="dxa"/>
              <w:right w:w="60" w:type="dxa"/>
            </w:tcMar>
            <w:vAlign w:val="center"/>
          </w:tcPr>
          <w:p w14:paraId="5FE6C06A" w14:textId="77777777" w:rsidR="00A54846" w:rsidRDefault="00A54846">
            <w:pPr>
              <w:pStyle w:val="Para"/>
              <w:pageBreakBefore/>
              <w:spacing w:after="0" w:line="240" w:lineRule="auto"/>
              <w:jc w:val="left"/>
              <w:rPr>
                <w:noProof/>
                <w:sz w:val="16"/>
                <w:szCs w:val="16"/>
                <w:lang w:val="en-US" w:bidi="en-US"/>
              </w:rPr>
            </w:pPr>
          </w:p>
        </w:tc>
      </w:tr>
      <w:tr w:rsidR="00A54846" w14:paraId="50780C24" w14:textId="77777777">
        <w:tc>
          <w:tcPr>
            <w:tcW w:w="2005"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bottom"/>
            <w:hideMark/>
          </w:tcPr>
          <w:p w14:paraId="2261BCDB" w14:textId="77777777" w:rsidR="00A54846" w:rsidRDefault="008A2731">
            <w:pPr>
              <w:pStyle w:val="Para"/>
              <w:spacing w:after="0" w:line="240" w:lineRule="auto"/>
              <w:jc w:val="left"/>
              <w:rPr>
                <w:b/>
                <w:noProof/>
                <w:sz w:val="16"/>
                <w:szCs w:val="16"/>
              </w:rPr>
            </w:pPr>
            <w:r>
              <w:rPr>
                <w:b/>
                <w:sz w:val="16"/>
              </w:rPr>
              <w:t>A.2 Aktiviteter som er omfattet av taksonomien, men som ikke er miljømessig bærekraftige (ikke taksonomiforenlige aktiviteter)</w:t>
            </w:r>
          </w:p>
        </w:tc>
        <w:tc>
          <w:tcPr>
            <w:tcW w:w="527"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tcPr>
          <w:p w14:paraId="1A96EE2F" w14:textId="77777777" w:rsidR="00A54846" w:rsidRPr="006A792F" w:rsidRDefault="00A54846">
            <w:pPr>
              <w:pStyle w:val="Para"/>
              <w:spacing w:after="0" w:line="240" w:lineRule="auto"/>
              <w:jc w:val="left"/>
              <w:rPr>
                <w:noProof/>
                <w:sz w:val="16"/>
                <w:szCs w:val="16"/>
                <w:lang w:bidi="en-US"/>
              </w:rPr>
            </w:pPr>
          </w:p>
        </w:tc>
        <w:tc>
          <w:tcPr>
            <w:tcW w:w="782"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tcPr>
          <w:p w14:paraId="2B3C45A3" w14:textId="77777777" w:rsidR="00A54846" w:rsidRPr="006A792F" w:rsidRDefault="00A54846">
            <w:pPr>
              <w:pStyle w:val="Para"/>
              <w:spacing w:after="0" w:line="240" w:lineRule="auto"/>
              <w:jc w:val="left"/>
              <w:rPr>
                <w:noProof/>
                <w:sz w:val="16"/>
                <w:szCs w:val="16"/>
                <w:lang w:bidi="en-US"/>
              </w:rPr>
            </w:pPr>
          </w:p>
        </w:tc>
        <w:tc>
          <w:tcPr>
            <w:tcW w:w="539"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tcPr>
          <w:p w14:paraId="42483969" w14:textId="77777777" w:rsidR="00A54846" w:rsidRPr="006A792F" w:rsidRDefault="00A54846">
            <w:pPr>
              <w:pStyle w:val="Para"/>
              <w:spacing w:after="0" w:line="240" w:lineRule="auto"/>
              <w:jc w:val="left"/>
              <w:rPr>
                <w:b/>
                <w:noProof/>
                <w:sz w:val="16"/>
                <w:szCs w:val="16"/>
                <w:lang w:bidi="en-US"/>
              </w:rPr>
            </w:pPr>
          </w:p>
        </w:tc>
        <w:tc>
          <w:tcPr>
            <w:tcW w:w="527"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67CF37A6" w14:textId="77777777" w:rsidR="00A54846" w:rsidRPr="006A792F" w:rsidRDefault="00A54846">
            <w:pPr>
              <w:pStyle w:val="Para"/>
              <w:spacing w:after="0" w:line="240" w:lineRule="auto"/>
              <w:jc w:val="left"/>
              <w:rPr>
                <w:noProof/>
                <w:sz w:val="16"/>
                <w:szCs w:val="16"/>
                <w:lang w:bidi="en-US"/>
              </w:rPr>
            </w:pPr>
          </w:p>
        </w:tc>
        <w:tc>
          <w:tcPr>
            <w:tcW w:w="528"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1396D896" w14:textId="77777777" w:rsidR="00A54846" w:rsidRPr="006A792F" w:rsidRDefault="00A54846">
            <w:pPr>
              <w:pStyle w:val="Para"/>
              <w:spacing w:after="0" w:line="240" w:lineRule="auto"/>
              <w:jc w:val="left"/>
              <w:rPr>
                <w:noProof/>
                <w:sz w:val="16"/>
                <w:szCs w:val="16"/>
                <w:lang w:bidi="en-US"/>
              </w:rPr>
            </w:pPr>
          </w:p>
        </w:tc>
        <w:tc>
          <w:tcPr>
            <w:tcW w:w="506"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1CFFC0F2" w14:textId="77777777" w:rsidR="00A54846" w:rsidRPr="006A792F" w:rsidRDefault="00A54846">
            <w:pPr>
              <w:pStyle w:val="Para"/>
              <w:spacing w:after="0" w:line="240" w:lineRule="auto"/>
              <w:jc w:val="left"/>
              <w:rPr>
                <w:noProof/>
                <w:sz w:val="16"/>
                <w:szCs w:val="16"/>
                <w:lang w:bidi="en-US"/>
              </w:rPr>
            </w:pPr>
          </w:p>
        </w:tc>
        <w:tc>
          <w:tcPr>
            <w:tcW w:w="538" w:type="dxa"/>
            <w:gridSpan w:val="2"/>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1A99BE36" w14:textId="77777777" w:rsidR="00A54846" w:rsidRPr="006A792F" w:rsidRDefault="00A54846">
            <w:pPr>
              <w:pStyle w:val="Para"/>
              <w:spacing w:after="0" w:line="240" w:lineRule="auto"/>
              <w:jc w:val="left"/>
              <w:rPr>
                <w:noProof/>
                <w:sz w:val="16"/>
                <w:szCs w:val="16"/>
                <w:lang w:bidi="en-US"/>
              </w:rPr>
            </w:pPr>
          </w:p>
        </w:tc>
        <w:tc>
          <w:tcPr>
            <w:tcW w:w="516"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1722DD3C" w14:textId="77777777" w:rsidR="00A54846" w:rsidRPr="006A792F" w:rsidRDefault="00A54846">
            <w:pPr>
              <w:pStyle w:val="Para"/>
              <w:spacing w:after="0" w:line="240" w:lineRule="auto"/>
              <w:jc w:val="left"/>
              <w:rPr>
                <w:noProof/>
                <w:sz w:val="16"/>
                <w:szCs w:val="16"/>
                <w:lang w:bidi="en-US"/>
              </w:rPr>
            </w:pPr>
          </w:p>
        </w:tc>
        <w:tc>
          <w:tcPr>
            <w:tcW w:w="566"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2F8E0271" w14:textId="77777777" w:rsidR="00A54846" w:rsidRPr="006A792F" w:rsidRDefault="00A54846">
            <w:pPr>
              <w:pStyle w:val="Para"/>
              <w:spacing w:after="0" w:line="240" w:lineRule="auto"/>
              <w:jc w:val="left"/>
              <w:rPr>
                <w:noProof/>
                <w:sz w:val="16"/>
                <w:szCs w:val="16"/>
                <w:lang w:bidi="en-US"/>
              </w:rPr>
            </w:pPr>
          </w:p>
        </w:tc>
        <w:tc>
          <w:tcPr>
            <w:tcW w:w="526"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76007301" w14:textId="77777777" w:rsidR="00A54846" w:rsidRPr="006A792F" w:rsidRDefault="00A54846">
            <w:pPr>
              <w:pStyle w:val="Para"/>
              <w:spacing w:after="0" w:line="240" w:lineRule="auto"/>
              <w:jc w:val="left"/>
              <w:rPr>
                <w:noProof/>
                <w:sz w:val="16"/>
                <w:szCs w:val="16"/>
                <w:lang w:bidi="en-US"/>
              </w:rPr>
            </w:pPr>
          </w:p>
        </w:tc>
        <w:tc>
          <w:tcPr>
            <w:tcW w:w="526"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0A48D1EC" w14:textId="77777777" w:rsidR="00A54846" w:rsidRPr="006A792F" w:rsidRDefault="00A54846">
            <w:pPr>
              <w:pStyle w:val="Para"/>
              <w:spacing w:after="0" w:line="240" w:lineRule="auto"/>
              <w:jc w:val="left"/>
              <w:rPr>
                <w:noProof/>
                <w:sz w:val="16"/>
                <w:szCs w:val="16"/>
                <w:lang w:bidi="en-US"/>
              </w:rPr>
            </w:pPr>
          </w:p>
        </w:tc>
        <w:tc>
          <w:tcPr>
            <w:tcW w:w="526"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26A9F538" w14:textId="77777777" w:rsidR="00A54846" w:rsidRPr="006A792F" w:rsidRDefault="00A54846">
            <w:pPr>
              <w:pStyle w:val="Para"/>
              <w:spacing w:after="0" w:line="240" w:lineRule="auto"/>
              <w:jc w:val="left"/>
              <w:rPr>
                <w:noProof/>
                <w:sz w:val="16"/>
                <w:szCs w:val="16"/>
                <w:lang w:bidi="en-US"/>
              </w:rPr>
            </w:pPr>
          </w:p>
        </w:tc>
        <w:tc>
          <w:tcPr>
            <w:tcW w:w="526"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61313ECE" w14:textId="77777777" w:rsidR="00A54846" w:rsidRPr="006A792F" w:rsidRDefault="00A54846">
            <w:pPr>
              <w:pStyle w:val="Para"/>
              <w:spacing w:after="0" w:line="240" w:lineRule="auto"/>
              <w:jc w:val="left"/>
              <w:rPr>
                <w:noProof/>
                <w:sz w:val="16"/>
                <w:szCs w:val="16"/>
                <w:lang w:bidi="en-US"/>
              </w:rPr>
            </w:pPr>
          </w:p>
        </w:tc>
        <w:tc>
          <w:tcPr>
            <w:tcW w:w="526"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39436065" w14:textId="77777777" w:rsidR="00A54846" w:rsidRPr="006A792F" w:rsidRDefault="00A54846">
            <w:pPr>
              <w:pStyle w:val="Para"/>
              <w:spacing w:after="0" w:line="240" w:lineRule="auto"/>
              <w:jc w:val="left"/>
              <w:rPr>
                <w:noProof/>
                <w:sz w:val="16"/>
                <w:szCs w:val="16"/>
                <w:lang w:bidi="en-US"/>
              </w:rPr>
            </w:pPr>
          </w:p>
        </w:tc>
        <w:tc>
          <w:tcPr>
            <w:tcW w:w="524"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68D5CA52" w14:textId="77777777" w:rsidR="00A54846" w:rsidRPr="006A792F" w:rsidRDefault="00A54846">
            <w:pPr>
              <w:pStyle w:val="Para"/>
              <w:spacing w:after="0" w:line="240" w:lineRule="auto"/>
              <w:jc w:val="left"/>
              <w:rPr>
                <w:noProof/>
                <w:sz w:val="16"/>
                <w:szCs w:val="16"/>
                <w:lang w:bidi="en-US"/>
              </w:rPr>
            </w:pPr>
          </w:p>
        </w:tc>
        <w:tc>
          <w:tcPr>
            <w:tcW w:w="534" w:type="dxa"/>
            <w:gridSpan w:val="2"/>
            <w:tcBorders>
              <w:top w:val="single" w:sz="4" w:space="0" w:color="auto"/>
              <w:left w:val="single" w:sz="4" w:space="0" w:color="auto"/>
              <w:bottom w:val="single" w:sz="4" w:space="0" w:color="auto"/>
              <w:right w:val="single" w:sz="12" w:space="0" w:color="auto"/>
            </w:tcBorders>
            <w:shd w:val="clear" w:color="auto" w:fill="FFFFFF"/>
            <w:tcMar>
              <w:top w:w="100" w:type="dxa"/>
              <w:left w:w="60" w:type="dxa"/>
              <w:bottom w:w="100" w:type="dxa"/>
              <w:right w:w="60" w:type="dxa"/>
            </w:tcMar>
          </w:tcPr>
          <w:p w14:paraId="6CBF9E80" w14:textId="77777777" w:rsidR="00A54846" w:rsidRPr="006A792F" w:rsidRDefault="00A54846">
            <w:pPr>
              <w:pStyle w:val="Para"/>
              <w:spacing w:after="0" w:line="240" w:lineRule="auto"/>
              <w:jc w:val="left"/>
              <w:rPr>
                <w:noProof/>
                <w:sz w:val="16"/>
                <w:szCs w:val="16"/>
                <w:lang w:bidi="en-US"/>
              </w:rPr>
            </w:pPr>
          </w:p>
        </w:tc>
        <w:tc>
          <w:tcPr>
            <w:tcW w:w="870" w:type="dxa"/>
            <w:gridSpan w:val="2"/>
            <w:tcBorders>
              <w:top w:val="single" w:sz="4" w:space="0" w:color="auto"/>
              <w:left w:val="single" w:sz="12" w:space="0" w:color="auto"/>
              <w:bottom w:val="single" w:sz="4" w:space="0" w:color="auto"/>
              <w:right w:val="single" w:sz="12" w:space="0" w:color="auto"/>
            </w:tcBorders>
            <w:shd w:val="clear" w:color="auto" w:fill="FFFFFF"/>
            <w:tcMar>
              <w:top w:w="100" w:type="dxa"/>
              <w:left w:w="60" w:type="dxa"/>
              <w:bottom w:w="100" w:type="dxa"/>
              <w:right w:w="60" w:type="dxa"/>
            </w:tcMar>
          </w:tcPr>
          <w:p w14:paraId="0E30983A" w14:textId="77777777" w:rsidR="00A54846" w:rsidRPr="006A792F" w:rsidRDefault="00A54846">
            <w:pPr>
              <w:pStyle w:val="Para"/>
              <w:spacing w:after="0" w:line="240" w:lineRule="auto"/>
              <w:jc w:val="left"/>
              <w:rPr>
                <w:noProof/>
                <w:sz w:val="16"/>
                <w:szCs w:val="16"/>
                <w:lang w:bidi="en-US"/>
              </w:rPr>
            </w:pPr>
          </w:p>
        </w:tc>
        <w:tc>
          <w:tcPr>
            <w:tcW w:w="905" w:type="dxa"/>
            <w:tcBorders>
              <w:top w:val="single" w:sz="4" w:space="0" w:color="auto"/>
              <w:left w:val="single" w:sz="12" w:space="0" w:color="auto"/>
              <w:bottom w:val="single" w:sz="4" w:space="0" w:color="auto"/>
              <w:right w:val="nil"/>
            </w:tcBorders>
            <w:shd w:val="clear" w:color="auto" w:fill="FFFFFF"/>
            <w:tcMar>
              <w:top w:w="100" w:type="dxa"/>
              <w:left w:w="60" w:type="dxa"/>
              <w:bottom w:w="100" w:type="dxa"/>
              <w:right w:w="60" w:type="dxa"/>
            </w:tcMar>
          </w:tcPr>
          <w:p w14:paraId="794CA921" w14:textId="77777777" w:rsidR="00A54846" w:rsidRPr="006A792F" w:rsidRDefault="00A54846">
            <w:pPr>
              <w:pStyle w:val="Para"/>
              <w:spacing w:after="0" w:line="240" w:lineRule="auto"/>
              <w:jc w:val="left"/>
              <w:rPr>
                <w:noProof/>
                <w:sz w:val="16"/>
                <w:szCs w:val="16"/>
                <w:lang w:bidi="en-US"/>
              </w:rPr>
            </w:pPr>
          </w:p>
        </w:tc>
        <w:tc>
          <w:tcPr>
            <w:tcW w:w="761"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0D0162CF" w14:textId="77777777" w:rsidR="00A54846" w:rsidRPr="006A792F" w:rsidRDefault="00A54846">
            <w:pPr>
              <w:pStyle w:val="Para"/>
              <w:spacing w:after="0" w:line="240" w:lineRule="auto"/>
              <w:jc w:val="left"/>
              <w:rPr>
                <w:noProof/>
                <w:sz w:val="16"/>
                <w:szCs w:val="16"/>
                <w:lang w:bidi="en-US"/>
              </w:rPr>
            </w:pPr>
          </w:p>
        </w:tc>
        <w:tc>
          <w:tcPr>
            <w:tcW w:w="1058" w:type="dxa"/>
            <w:tcBorders>
              <w:top w:val="single" w:sz="4" w:space="0" w:color="auto"/>
              <w:left w:val="single" w:sz="4" w:space="0" w:color="auto"/>
              <w:bottom w:val="single" w:sz="4" w:space="0" w:color="auto"/>
              <w:right w:val="single" w:sz="4" w:space="0" w:color="auto"/>
            </w:tcBorders>
            <w:shd w:val="clear" w:color="auto" w:fill="FFFFFF"/>
            <w:tcMar>
              <w:top w:w="100" w:type="dxa"/>
              <w:left w:w="60" w:type="dxa"/>
              <w:bottom w:w="100" w:type="dxa"/>
              <w:right w:w="60" w:type="dxa"/>
            </w:tcMar>
          </w:tcPr>
          <w:p w14:paraId="09385095" w14:textId="77777777" w:rsidR="00A54846" w:rsidRPr="006A792F" w:rsidRDefault="00A54846">
            <w:pPr>
              <w:pStyle w:val="Para"/>
              <w:spacing w:after="0" w:line="240" w:lineRule="auto"/>
              <w:jc w:val="left"/>
              <w:rPr>
                <w:noProof/>
                <w:sz w:val="16"/>
                <w:szCs w:val="16"/>
                <w:lang w:bidi="en-US"/>
              </w:rPr>
            </w:pPr>
          </w:p>
        </w:tc>
      </w:tr>
      <w:tr w:rsidR="00A54846" w14:paraId="52E12E91" w14:textId="77777777">
        <w:tc>
          <w:tcPr>
            <w:tcW w:w="2005"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vAlign w:val="bottom"/>
            <w:hideMark/>
          </w:tcPr>
          <w:p w14:paraId="28769AC5" w14:textId="77777777" w:rsidR="00A54846" w:rsidRDefault="008A2731">
            <w:pPr>
              <w:pStyle w:val="Para"/>
              <w:spacing w:after="0"/>
              <w:jc w:val="left"/>
              <w:rPr>
                <w:noProof/>
                <w:sz w:val="16"/>
                <w:szCs w:val="16"/>
              </w:rPr>
            </w:pPr>
            <w:r>
              <w:rPr>
                <w:sz w:val="16"/>
              </w:rPr>
              <w:t>Aktivitet 1</w:t>
            </w:r>
          </w:p>
        </w:tc>
        <w:tc>
          <w:tcPr>
            <w:tcW w:w="527" w:type="dxa"/>
            <w:gridSpan w:val="2"/>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691C3B4D" w14:textId="77777777" w:rsidR="00A54846" w:rsidRDefault="00A54846">
            <w:pPr>
              <w:pStyle w:val="Para"/>
              <w:spacing w:after="0"/>
              <w:rPr>
                <w:noProof/>
                <w:sz w:val="16"/>
                <w:szCs w:val="16"/>
                <w:lang w:val="en-US" w:bidi="en-US"/>
              </w:rPr>
            </w:pPr>
          </w:p>
        </w:tc>
        <w:tc>
          <w:tcPr>
            <w:tcW w:w="782"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7B1BDA9A" w14:textId="77777777" w:rsidR="00A54846" w:rsidRDefault="00A54846">
            <w:pPr>
              <w:pStyle w:val="Para"/>
              <w:spacing w:after="0"/>
              <w:rPr>
                <w:noProof/>
                <w:sz w:val="16"/>
                <w:szCs w:val="16"/>
                <w:lang w:val="en-US" w:bidi="en-US"/>
              </w:rPr>
            </w:pPr>
          </w:p>
        </w:tc>
        <w:tc>
          <w:tcPr>
            <w:tcW w:w="538" w:type="dxa"/>
            <w:gridSpan w:val="2"/>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hideMark/>
          </w:tcPr>
          <w:p w14:paraId="769E39C8" w14:textId="77777777" w:rsidR="00A54846" w:rsidRDefault="008A2731">
            <w:pPr>
              <w:pStyle w:val="Para"/>
              <w:spacing w:after="0"/>
              <w:jc w:val="center"/>
              <w:rPr>
                <w:noProof/>
                <w:sz w:val="16"/>
                <w:szCs w:val="16"/>
              </w:rPr>
            </w:pPr>
            <w:r>
              <w:rPr>
                <w:sz w:val="16"/>
              </w:rPr>
              <w:t>%</w:t>
            </w:r>
          </w:p>
        </w:tc>
        <w:tc>
          <w:tcPr>
            <w:tcW w:w="10464" w:type="dxa"/>
            <w:gridSpan w:val="20"/>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 w:type="dxa"/>
              <w:bottom w:w="100" w:type="dxa"/>
              <w:right w:w="10" w:type="dxa"/>
            </w:tcMar>
          </w:tcPr>
          <w:p w14:paraId="2F1BA6F7" w14:textId="77777777" w:rsidR="00A54846" w:rsidRDefault="00A54846">
            <w:pPr>
              <w:pStyle w:val="Para"/>
              <w:spacing w:after="0"/>
              <w:rPr>
                <w:noProof/>
                <w:sz w:val="16"/>
                <w:szCs w:val="16"/>
                <w:lang w:val="en-US" w:bidi="en-US"/>
              </w:rPr>
            </w:pPr>
          </w:p>
        </w:tc>
      </w:tr>
      <w:tr w:rsidR="00A54846" w14:paraId="698E74E7" w14:textId="77777777">
        <w:tc>
          <w:tcPr>
            <w:tcW w:w="2005"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23C44C8A" w14:textId="77777777" w:rsidR="00A54846" w:rsidRDefault="008A2731">
            <w:pPr>
              <w:pStyle w:val="Para"/>
              <w:pageBreakBefore/>
              <w:spacing w:after="0"/>
              <w:jc w:val="left"/>
              <w:rPr>
                <w:noProof/>
                <w:sz w:val="16"/>
                <w:szCs w:val="16"/>
              </w:rPr>
            </w:pPr>
            <w:r>
              <w:rPr>
                <w:sz w:val="16"/>
              </w:rPr>
              <w:lastRenderedPageBreak/>
              <w:t>Aktivitet 3</w:t>
            </w:r>
          </w:p>
        </w:tc>
        <w:tc>
          <w:tcPr>
            <w:tcW w:w="527"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3CB91822" w14:textId="77777777" w:rsidR="00A54846" w:rsidRDefault="00A54846">
            <w:pPr>
              <w:pStyle w:val="Para"/>
              <w:pageBreakBefore/>
              <w:spacing w:after="0"/>
              <w:rPr>
                <w:noProof/>
                <w:sz w:val="16"/>
                <w:szCs w:val="16"/>
                <w:lang w:val="en-US" w:bidi="en-US"/>
              </w:rPr>
            </w:pPr>
          </w:p>
        </w:tc>
        <w:tc>
          <w:tcPr>
            <w:tcW w:w="782"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23DFAD90" w14:textId="77777777" w:rsidR="00A54846" w:rsidRDefault="00A54846">
            <w:pPr>
              <w:pStyle w:val="Para"/>
              <w:pageBreakBefore/>
              <w:spacing w:after="0"/>
              <w:jc w:val="center"/>
              <w:rPr>
                <w:noProof/>
                <w:sz w:val="16"/>
                <w:szCs w:val="16"/>
                <w:lang w:val="en-US" w:bidi="en-US"/>
              </w:rPr>
            </w:pPr>
          </w:p>
        </w:tc>
        <w:tc>
          <w:tcPr>
            <w:tcW w:w="539"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571245A7" w14:textId="77777777" w:rsidR="00A54846" w:rsidRDefault="008A2731">
            <w:pPr>
              <w:pStyle w:val="Para"/>
              <w:pageBreakBefore/>
              <w:spacing w:after="0"/>
              <w:jc w:val="center"/>
              <w:rPr>
                <w:noProof/>
                <w:sz w:val="16"/>
                <w:szCs w:val="16"/>
              </w:rPr>
            </w:pPr>
            <w:r>
              <w:rPr>
                <w:sz w:val="16"/>
              </w:rPr>
              <w:t>%</w:t>
            </w:r>
          </w:p>
        </w:tc>
        <w:tc>
          <w:tcPr>
            <w:tcW w:w="527" w:type="dxa"/>
            <w:shd w:val="clear" w:color="auto" w:fill="000000" w:themeFill="text1"/>
            <w:tcMar>
              <w:top w:w="60" w:type="dxa"/>
              <w:left w:w="60" w:type="dxa"/>
              <w:bottom w:w="60" w:type="dxa"/>
              <w:right w:w="60" w:type="dxa"/>
            </w:tcMar>
          </w:tcPr>
          <w:p w14:paraId="7306F76C" w14:textId="77777777" w:rsidR="00A54846" w:rsidRDefault="00A54846">
            <w:pPr>
              <w:pStyle w:val="Para"/>
              <w:pageBreakBefore/>
              <w:spacing w:after="0"/>
              <w:jc w:val="center"/>
              <w:rPr>
                <w:noProof/>
                <w:sz w:val="16"/>
                <w:szCs w:val="16"/>
                <w:lang w:val="en-US" w:bidi="en-US"/>
              </w:rPr>
            </w:pPr>
          </w:p>
        </w:tc>
        <w:tc>
          <w:tcPr>
            <w:tcW w:w="528" w:type="dxa"/>
            <w:shd w:val="clear" w:color="auto" w:fill="000000" w:themeFill="text1"/>
            <w:tcMar>
              <w:top w:w="60" w:type="dxa"/>
              <w:left w:w="60" w:type="dxa"/>
              <w:bottom w:w="60" w:type="dxa"/>
              <w:right w:w="60" w:type="dxa"/>
            </w:tcMar>
          </w:tcPr>
          <w:p w14:paraId="6D4EEFAE" w14:textId="77777777" w:rsidR="00A54846" w:rsidRDefault="00A54846">
            <w:pPr>
              <w:pStyle w:val="Para"/>
              <w:pageBreakBefore/>
              <w:spacing w:after="0"/>
              <w:jc w:val="center"/>
              <w:rPr>
                <w:noProof/>
                <w:sz w:val="16"/>
                <w:szCs w:val="16"/>
                <w:lang w:val="en-US" w:bidi="en-US"/>
              </w:rPr>
            </w:pPr>
          </w:p>
        </w:tc>
        <w:tc>
          <w:tcPr>
            <w:tcW w:w="506" w:type="dxa"/>
            <w:shd w:val="clear" w:color="auto" w:fill="000000" w:themeFill="text1"/>
            <w:tcMar>
              <w:top w:w="60" w:type="dxa"/>
              <w:left w:w="60" w:type="dxa"/>
              <w:bottom w:w="60" w:type="dxa"/>
              <w:right w:w="60" w:type="dxa"/>
            </w:tcMar>
          </w:tcPr>
          <w:p w14:paraId="084DD363" w14:textId="77777777" w:rsidR="00A54846" w:rsidRDefault="00A54846">
            <w:pPr>
              <w:pStyle w:val="Para"/>
              <w:pageBreakBefore/>
              <w:spacing w:after="0"/>
              <w:jc w:val="center"/>
              <w:rPr>
                <w:noProof/>
                <w:sz w:val="16"/>
                <w:szCs w:val="16"/>
                <w:lang w:val="en-US" w:bidi="en-US"/>
              </w:rPr>
            </w:pPr>
          </w:p>
        </w:tc>
        <w:tc>
          <w:tcPr>
            <w:tcW w:w="538" w:type="dxa"/>
            <w:gridSpan w:val="2"/>
            <w:shd w:val="clear" w:color="auto" w:fill="000000" w:themeFill="text1"/>
            <w:tcMar>
              <w:top w:w="60" w:type="dxa"/>
              <w:left w:w="60" w:type="dxa"/>
              <w:bottom w:w="60" w:type="dxa"/>
              <w:right w:w="60" w:type="dxa"/>
            </w:tcMar>
          </w:tcPr>
          <w:p w14:paraId="2CB3231B" w14:textId="77777777" w:rsidR="00A54846" w:rsidRDefault="00A54846">
            <w:pPr>
              <w:pStyle w:val="Para"/>
              <w:pageBreakBefore/>
              <w:spacing w:after="0"/>
              <w:jc w:val="center"/>
              <w:rPr>
                <w:noProof/>
                <w:sz w:val="16"/>
                <w:szCs w:val="16"/>
                <w:lang w:val="en-US" w:bidi="en-US"/>
              </w:rPr>
            </w:pPr>
          </w:p>
        </w:tc>
        <w:tc>
          <w:tcPr>
            <w:tcW w:w="516" w:type="dxa"/>
            <w:shd w:val="clear" w:color="auto" w:fill="000000" w:themeFill="text1"/>
            <w:tcMar>
              <w:top w:w="60" w:type="dxa"/>
              <w:left w:w="60" w:type="dxa"/>
              <w:bottom w:w="60" w:type="dxa"/>
              <w:right w:w="60" w:type="dxa"/>
            </w:tcMar>
          </w:tcPr>
          <w:p w14:paraId="6F5687BD" w14:textId="77777777" w:rsidR="00A54846" w:rsidRDefault="00A54846">
            <w:pPr>
              <w:pStyle w:val="Para"/>
              <w:pageBreakBefore/>
              <w:spacing w:after="0"/>
              <w:jc w:val="center"/>
              <w:rPr>
                <w:noProof/>
                <w:sz w:val="16"/>
                <w:szCs w:val="16"/>
                <w:lang w:val="en-US" w:bidi="en-US"/>
              </w:rPr>
            </w:pPr>
          </w:p>
        </w:tc>
        <w:tc>
          <w:tcPr>
            <w:tcW w:w="566" w:type="dxa"/>
            <w:shd w:val="clear" w:color="auto" w:fill="000000" w:themeFill="text1"/>
            <w:tcMar>
              <w:top w:w="60" w:type="dxa"/>
              <w:left w:w="60" w:type="dxa"/>
              <w:bottom w:w="60" w:type="dxa"/>
              <w:right w:w="60" w:type="dxa"/>
            </w:tcMar>
          </w:tcPr>
          <w:p w14:paraId="65A2620E" w14:textId="77777777" w:rsidR="00A54846" w:rsidRDefault="00A54846">
            <w:pPr>
              <w:pStyle w:val="Para"/>
              <w:pageBreakBefore/>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2198B1CB" w14:textId="77777777" w:rsidR="00A54846" w:rsidRDefault="00A54846">
            <w:pPr>
              <w:pStyle w:val="Para"/>
              <w:pageBreakBefore/>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79E97223" w14:textId="77777777" w:rsidR="00A54846" w:rsidRDefault="00A54846">
            <w:pPr>
              <w:pStyle w:val="Para"/>
              <w:pageBreakBefore/>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0BCCAE2A" w14:textId="77777777" w:rsidR="00A54846" w:rsidRDefault="00A54846">
            <w:pPr>
              <w:pStyle w:val="Para"/>
              <w:pageBreakBefore/>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46424811" w14:textId="77777777" w:rsidR="00A54846" w:rsidRDefault="00A54846">
            <w:pPr>
              <w:pStyle w:val="Para"/>
              <w:pageBreakBefore/>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77D38099" w14:textId="77777777" w:rsidR="00A54846" w:rsidRDefault="00A54846">
            <w:pPr>
              <w:pStyle w:val="Para"/>
              <w:pageBreakBefore/>
              <w:spacing w:after="0"/>
              <w:jc w:val="center"/>
              <w:rPr>
                <w:noProof/>
                <w:sz w:val="16"/>
                <w:szCs w:val="16"/>
                <w:lang w:val="en-US" w:bidi="en-US"/>
              </w:rPr>
            </w:pPr>
          </w:p>
        </w:tc>
        <w:tc>
          <w:tcPr>
            <w:tcW w:w="524" w:type="dxa"/>
            <w:shd w:val="clear" w:color="auto" w:fill="000000" w:themeFill="text1"/>
            <w:tcMar>
              <w:top w:w="60" w:type="dxa"/>
              <w:left w:w="60" w:type="dxa"/>
              <w:bottom w:w="60" w:type="dxa"/>
              <w:right w:w="60" w:type="dxa"/>
            </w:tcMar>
          </w:tcPr>
          <w:p w14:paraId="07F97847" w14:textId="77777777" w:rsidR="00A54846" w:rsidRDefault="00A54846">
            <w:pPr>
              <w:pStyle w:val="Para"/>
              <w:pageBreakBefore/>
              <w:spacing w:after="0"/>
              <w:jc w:val="center"/>
              <w:rPr>
                <w:noProof/>
                <w:sz w:val="16"/>
                <w:szCs w:val="16"/>
                <w:lang w:val="en-US" w:bidi="en-US"/>
              </w:rPr>
            </w:pPr>
          </w:p>
        </w:tc>
        <w:tc>
          <w:tcPr>
            <w:tcW w:w="544" w:type="dxa"/>
            <w:gridSpan w:val="3"/>
            <w:tcBorders>
              <w:top w:val="nil"/>
              <w:left w:val="nil"/>
              <w:bottom w:val="nil"/>
              <w:right w:val="single" w:sz="12" w:space="0" w:color="auto"/>
            </w:tcBorders>
            <w:shd w:val="clear" w:color="auto" w:fill="000000" w:themeFill="text1"/>
            <w:tcMar>
              <w:top w:w="60" w:type="dxa"/>
              <w:left w:w="60" w:type="dxa"/>
              <w:bottom w:w="60" w:type="dxa"/>
              <w:right w:w="60" w:type="dxa"/>
            </w:tcMar>
          </w:tcPr>
          <w:p w14:paraId="0887F7AA" w14:textId="77777777" w:rsidR="00A54846" w:rsidRDefault="00A54846">
            <w:pPr>
              <w:pStyle w:val="Para"/>
              <w:pageBreakBefore/>
              <w:spacing w:after="0"/>
              <w:jc w:val="center"/>
              <w:rPr>
                <w:noProof/>
                <w:sz w:val="16"/>
                <w:szCs w:val="16"/>
                <w:lang w:val="en-US" w:bidi="en-US"/>
              </w:rPr>
            </w:pPr>
          </w:p>
        </w:tc>
        <w:tc>
          <w:tcPr>
            <w:tcW w:w="860" w:type="dxa"/>
            <w:tcBorders>
              <w:top w:val="single" w:sz="12" w:space="0" w:color="auto"/>
              <w:left w:val="single" w:sz="12" w:space="0" w:color="auto"/>
              <w:bottom w:val="nil"/>
              <w:right w:val="single" w:sz="12" w:space="0" w:color="auto"/>
            </w:tcBorders>
            <w:shd w:val="clear" w:color="auto" w:fill="000000" w:themeFill="text1"/>
            <w:tcMar>
              <w:top w:w="60" w:type="dxa"/>
              <w:left w:w="60" w:type="dxa"/>
              <w:bottom w:w="60" w:type="dxa"/>
              <w:right w:w="60" w:type="dxa"/>
            </w:tcMar>
          </w:tcPr>
          <w:p w14:paraId="6334ED40" w14:textId="77777777" w:rsidR="00A54846" w:rsidRDefault="00A54846">
            <w:pPr>
              <w:pStyle w:val="Para"/>
              <w:pageBreakBefore/>
              <w:spacing w:after="0"/>
              <w:jc w:val="center"/>
              <w:rPr>
                <w:noProof/>
                <w:sz w:val="16"/>
                <w:szCs w:val="16"/>
                <w:lang w:val="en-US" w:bidi="en-US"/>
              </w:rPr>
            </w:pPr>
          </w:p>
        </w:tc>
        <w:tc>
          <w:tcPr>
            <w:tcW w:w="905" w:type="dxa"/>
            <w:tcBorders>
              <w:top w:val="nil"/>
              <w:left w:val="single" w:sz="12" w:space="0" w:color="auto"/>
              <w:bottom w:val="nil"/>
              <w:right w:val="nil"/>
            </w:tcBorders>
            <w:shd w:val="clear" w:color="auto" w:fill="000000" w:themeFill="text1"/>
            <w:tcMar>
              <w:top w:w="60" w:type="dxa"/>
              <w:left w:w="60" w:type="dxa"/>
              <w:bottom w:w="60" w:type="dxa"/>
              <w:right w:w="60" w:type="dxa"/>
            </w:tcMar>
          </w:tcPr>
          <w:p w14:paraId="007EAECF" w14:textId="77777777" w:rsidR="00A54846" w:rsidRDefault="00A54846">
            <w:pPr>
              <w:pStyle w:val="Para"/>
              <w:pageBreakBefore/>
              <w:spacing w:after="0"/>
              <w:jc w:val="center"/>
              <w:rPr>
                <w:noProof/>
                <w:sz w:val="16"/>
                <w:szCs w:val="16"/>
                <w:lang w:val="en-US" w:bidi="en-US"/>
              </w:rPr>
            </w:pPr>
          </w:p>
        </w:tc>
        <w:tc>
          <w:tcPr>
            <w:tcW w:w="761" w:type="dxa"/>
            <w:shd w:val="clear" w:color="auto" w:fill="000000" w:themeFill="text1"/>
            <w:tcMar>
              <w:top w:w="60" w:type="dxa"/>
              <w:left w:w="60" w:type="dxa"/>
              <w:bottom w:w="60" w:type="dxa"/>
              <w:right w:w="60" w:type="dxa"/>
            </w:tcMar>
          </w:tcPr>
          <w:p w14:paraId="1704E6A9" w14:textId="77777777" w:rsidR="00A54846" w:rsidRDefault="00A54846">
            <w:pPr>
              <w:pStyle w:val="Para"/>
              <w:pageBreakBefore/>
              <w:spacing w:after="0"/>
              <w:jc w:val="center"/>
              <w:rPr>
                <w:noProof/>
                <w:sz w:val="16"/>
                <w:szCs w:val="16"/>
                <w:lang w:val="en-US" w:bidi="en-US"/>
              </w:rPr>
            </w:pPr>
          </w:p>
        </w:tc>
        <w:tc>
          <w:tcPr>
            <w:tcW w:w="1058" w:type="dxa"/>
            <w:shd w:val="clear" w:color="auto" w:fill="000000" w:themeFill="text1"/>
            <w:tcMar>
              <w:top w:w="60" w:type="dxa"/>
              <w:left w:w="60" w:type="dxa"/>
              <w:bottom w:w="60" w:type="dxa"/>
              <w:right w:w="60" w:type="dxa"/>
            </w:tcMar>
          </w:tcPr>
          <w:p w14:paraId="3211A25C" w14:textId="77777777" w:rsidR="00A54846" w:rsidRDefault="00A54846">
            <w:pPr>
              <w:pStyle w:val="Para"/>
              <w:pageBreakBefore/>
              <w:spacing w:after="0"/>
              <w:jc w:val="center"/>
              <w:rPr>
                <w:noProof/>
                <w:sz w:val="16"/>
                <w:szCs w:val="16"/>
                <w:lang w:val="en-US" w:bidi="en-US"/>
              </w:rPr>
            </w:pPr>
          </w:p>
        </w:tc>
      </w:tr>
      <w:tr w:rsidR="00A54846" w14:paraId="156FA477" w14:textId="77777777">
        <w:tc>
          <w:tcPr>
            <w:tcW w:w="2005"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1927C36F" w14:textId="77777777" w:rsidR="00A54846" w:rsidRDefault="008A2731">
            <w:pPr>
              <w:pStyle w:val="Para"/>
              <w:spacing w:after="0"/>
              <w:jc w:val="left"/>
              <w:rPr>
                <w:b/>
                <w:noProof/>
                <w:sz w:val="16"/>
                <w:szCs w:val="16"/>
              </w:rPr>
            </w:pPr>
            <w:r>
              <w:rPr>
                <w:b/>
                <w:sz w:val="16"/>
              </w:rPr>
              <w:t>Omsetning for aktiviteter som er omfattet av taksonomien, men som ikke er miljømessig bærekraftige (ikke taksonomiforenlige aktiviteter) (A.2)</w:t>
            </w:r>
          </w:p>
        </w:tc>
        <w:tc>
          <w:tcPr>
            <w:tcW w:w="527"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25813EB6" w14:textId="77777777" w:rsidR="00A54846" w:rsidRPr="006A792F" w:rsidRDefault="00A54846">
            <w:pPr>
              <w:pStyle w:val="Para"/>
              <w:spacing w:after="0"/>
              <w:rPr>
                <w:noProof/>
                <w:sz w:val="16"/>
                <w:szCs w:val="16"/>
                <w:lang w:bidi="en-US"/>
              </w:rPr>
            </w:pPr>
          </w:p>
        </w:tc>
        <w:tc>
          <w:tcPr>
            <w:tcW w:w="782"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6A4F873C" w14:textId="77777777" w:rsidR="00A54846" w:rsidRPr="006A792F" w:rsidRDefault="00A54846">
            <w:pPr>
              <w:pStyle w:val="Para"/>
              <w:spacing w:after="0"/>
              <w:jc w:val="center"/>
              <w:rPr>
                <w:noProof/>
                <w:sz w:val="16"/>
                <w:szCs w:val="16"/>
                <w:lang w:bidi="en-US"/>
              </w:rPr>
            </w:pPr>
          </w:p>
        </w:tc>
        <w:tc>
          <w:tcPr>
            <w:tcW w:w="539"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0803EEB4" w14:textId="77777777" w:rsidR="00A54846" w:rsidRDefault="008A2731">
            <w:pPr>
              <w:pStyle w:val="Para"/>
              <w:spacing w:after="0"/>
              <w:jc w:val="center"/>
              <w:rPr>
                <w:b/>
                <w:noProof/>
                <w:sz w:val="16"/>
                <w:szCs w:val="16"/>
              </w:rPr>
            </w:pPr>
            <w:r>
              <w:rPr>
                <w:b/>
                <w:sz w:val="16"/>
              </w:rPr>
              <w:t>%</w:t>
            </w:r>
          </w:p>
        </w:tc>
        <w:tc>
          <w:tcPr>
            <w:tcW w:w="527" w:type="dxa"/>
            <w:shd w:val="clear" w:color="auto" w:fill="000000" w:themeFill="text1"/>
            <w:tcMar>
              <w:top w:w="60" w:type="dxa"/>
              <w:left w:w="60" w:type="dxa"/>
              <w:bottom w:w="60" w:type="dxa"/>
              <w:right w:w="60" w:type="dxa"/>
            </w:tcMar>
          </w:tcPr>
          <w:p w14:paraId="19E92411" w14:textId="77777777" w:rsidR="00A54846" w:rsidRDefault="00A54846">
            <w:pPr>
              <w:pStyle w:val="Para"/>
              <w:spacing w:after="0"/>
              <w:jc w:val="center"/>
              <w:rPr>
                <w:noProof/>
                <w:sz w:val="16"/>
                <w:szCs w:val="16"/>
                <w:lang w:val="en-US" w:bidi="en-US"/>
              </w:rPr>
            </w:pPr>
          </w:p>
        </w:tc>
        <w:tc>
          <w:tcPr>
            <w:tcW w:w="528" w:type="dxa"/>
            <w:shd w:val="clear" w:color="auto" w:fill="000000" w:themeFill="text1"/>
            <w:tcMar>
              <w:top w:w="60" w:type="dxa"/>
              <w:left w:w="60" w:type="dxa"/>
              <w:bottom w:w="60" w:type="dxa"/>
              <w:right w:w="60" w:type="dxa"/>
            </w:tcMar>
          </w:tcPr>
          <w:p w14:paraId="20196E41" w14:textId="77777777" w:rsidR="00A54846" w:rsidRDefault="00A54846">
            <w:pPr>
              <w:pStyle w:val="Para"/>
              <w:spacing w:after="0"/>
              <w:jc w:val="center"/>
              <w:rPr>
                <w:noProof/>
                <w:sz w:val="16"/>
                <w:szCs w:val="16"/>
                <w:lang w:val="en-US" w:bidi="en-US"/>
              </w:rPr>
            </w:pPr>
          </w:p>
        </w:tc>
        <w:tc>
          <w:tcPr>
            <w:tcW w:w="506" w:type="dxa"/>
            <w:shd w:val="clear" w:color="auto" w:fill="000000" w:themeFill="text1"/>
            <w:tcMar>
              <w:top w:w="60" w:type="dxa"/>
              <w:left w:w="60" w:type="dxa"/>
              <w:bottom w:w="60" w:type="dxa"/>
              <w:right w:w="60" w:type="dxa"/>
            </w:tcMar>
          </w:tcPr>
          <w:p w14:paraId="0AA7716F" w14:textId="77777777" w:rsidR="00A54846" w:rsidRDefault="00A54846">
            <w:pPr>
              <w:pStyle w:val="Para"/>
              <w:spacing w:after="0"/>
              <w:jc w:val="center"/>
              <w:rPr>
                <w:noProof/>
                <w:sz w:val="16"/>
                <w:szCs w:val="16"/>
                <w:lang w:val="en-US" w:bidi="en-US"/>
              </w:rPr>
            </w:pPr>
          </w:p>
        </w:tc>
        <w:tc>
          <w:tcPr>
            <w:tcW w:w="538" w:type="dxa"/>
            <w:gridSpan w:val="2"/>
            <w:shd w:val="clear" w:color="auto" w:fill="000000" w:themeFill="text1"/>
            <w:tcMar>
              <w:top w:w="60" w:type="dxa"/>
              <w:left w:w="60" w:type="dxa"/>
              <w:bottom w:w="60" w:type="dxa"/>
              <w:right w:w="60" w:type="dxa"/>
            </w:tcMar>
          </w:tcPr>
          <w:p w14:paraId="54B75D2E" w14:textId="77777777" w:rsidR="00A54846" w:rsidRDefault="00A54846">
            <w:pPr>
              <w:pStyle w:val="Para"/>
              <w:spacing w:after="0"/>
              <w:jc w:val="center"/>
              <w:rPr>
                <w:noProof/>
                <w:sz w:val="16"/>
                <w:szCs w:val="16"/>
                <w:lang w:val="en-US" w:bidi="en-US"/>
              </w:rPr>
            </w:pPr>
          </w:p>
        </w:tc>
        <w:tc>
          <w:tcPr>
            <w:tcW w:w="516" w:type="dxa"/>
            <w:shd w:val="clear" w:color="auto" w:fill="000000" w:themeFill="text1"/>
            <w:tcMar>
              <w:top w:w="60" w:type="dxa"/>
              <w:left w:w="60" w:type="dxa"/>
              <w:bottom w:w="60" w:type="dxa"/>
              <w:right w:w="60" w:type="dxa"/>
            </w:tcMar>
          </w:tcPr>
          <w:p w14:paraId="197E8DD9" w14:textId="77777777" w:rsidR="00A54846" w:rsidRDefault="00A54846">
            <w:pPr>
              <w:pStyle w:val="Para"/>
              <w:spacing w:after="0"/>
              <w:jc w:val="center"/>
              <w:rPr>
                <w:noProof/>
                <w:sz w:val="16"/>
                <w:szCs w:val="16"/>
                <w:lang w:val="en-US" w:bidi="en-US"/>
              </w:rPr>
            </w:pPr>
          </w:p>
        </w:tc>
        <w:tc>
          <w:tcPr>
            <w:tcW w:w="566" w:type="dxa"/>
            <w:shd w:val="clear" w:color="auto" w:fill="000000" w:themeFill="text1"/>
            <w:tcMar>
              <w:top w:w="60" w:type="dxa"/>
              <w:left w:w="60" w:type="dxa"/>
              <w:bottom w:w="60" w:type="dxa"/>
              <w:right w:w="60" w:type="dxa"/>
            </w:tcMar>
          </w:tcPr>
          <w:p w14:paraId="27147308" w14:textId="77777777" w:rsidR="00A54846" w:rsidRDefault="00A54846">
            <w:pPr>
              <w:pStyle w:val="Para"/>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568DD265" w14:textId="77777777" w:rsidR="00A54846" w:rsidRDefault="00A54846">
            <w:pPr>
              <w:pStyle w:val="Para"/>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19CD5A64" w14:textId="77777777" w:rsidR="00A54846" w:rsidRDefault="00A54846">
            <w:pPr>
              <w:pStyle w:val="Para"/>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76115ECE" w14:textId="77777777" w:rsidR="00A54846" w:rsidRDefault="00A54846">
            <w:pPr>
              <w:pStyle w:val="Para"/>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136EF2AF" w14:textId="77777777" w:rsidR="00A54846" w:rsidRDefault="00A54846">
            <w:pPr>
              <w:pStyle w:val="Para"/>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2260E224" w14:textId="77777777" w:rsidR="00A54846" w:rsidRDefault="00A54846">
            <w:pPr>
              <w:pStyle w:val="Para"/>
              <w:spacing w:after="0"/>
              <w:jc w:val="center"/>
              <w:rPr>
                <w:noProof/>
                <w:sz w:val="16"/>
                <w:szCs w:val="16"/>
                <w:lang w:val="en-US" w:bidi="en-US"/>
              </w:rPr>
            </w:pPr>
          </w:p>
        </w:tc>
        <w:tc>
          <w:tcPr>
            <w:tcW w:w="524" w:type="dxa"/>
            <w:shd w:val="clear" w:color="auto" w:fill="000000" w:themeFill="text1"/>
            <w:tcMar>
              <w:top w:w="60" w:type="dxa"/>
              <w:left w:w="60" w:type="dxa"/>
              <w:bottom w:w="60" w:type="dxa"/>
              <w:right w:w="60" w:type="dxa"/>
            </w:tcMar>
          </w:tcPr>
          <w:p w14:paraId="79D04C40" w14:textId="77777777" w:rsidR="00A54846" w:rsidRDefault="00A54846">
            <w:pPr>
              <w:pStyle w:val="Para"/>
              <w:spacing w:after="0"/>
              <w:jc w:val="center"/>
              <w:rPr>
                <w:noProof/>
                <w:sz w:val="16"/>
                <w:szCs w:val="16"/>
                <w:lang w:val="en-US" w:bidi="en-US"/>
              </w:rPr>
            </w:pPr>
          </w:p>
        </w:tc>
        <w:tc>
          <w:tcPr>
            <w:tcW w:w="544" w:type="dxa"/>
            <w:gridSpan w:val="3"/>
            <w:tcBorders>
              <w:top w:val="nil"/>
              <w:left w:val="nil"/>
              <w:bottom w:val="nil"/>
              <w:right w:val="single" w:sz="12" w:space="0" w:color="auto"/>
            </w:tcBorders>
            <w:shd w:val="clear" w:color="auto" w:fill="000000" w:themeFill="text1"/>
            <w:tcMar>
              <w:top w:w="60" w:type="dxa"/>
              <w:left w:w="60" w:type="dxa"/>
              <w:bottom w:w="60" w:type="dxa"/>
              <w:right w:w="60" w:type="dxa"/>
            </w:tcMar>
          </w:tcPr>
          <w:p w14:paraId="470A36E6" w14:textId="77777777" w:rsidR="00A54846" w:rsidRDefault="00A54846">
            <w:pPr>
              <w:pStyle w:val="Para"/>
              <w:spacing w:after="0"/>
              <w:jc w:val="center"/>
              <w:rPr>
                <w:noProof/>
                <w:sz w:val="16"/>
                <w:szCs w:val="16"/>
                <w:lang w:val="en-US" w:bidi="en-US"/>
              </w:rPr>
            </w:pPr>
          </w:p>
        </w:tc>
        <w:tc>
          <w:tcPr>
            <w:tcW w:w="860" w:type="dxa"/>
            <w:tcBorders>
              <w:top w:val="nil"/>
              <w:left w:val="single" w:sz="12" w:space="0" w:color="auto"/>
              <w:bottom w:val="single" w:sz="4" w:space="0" w:color="auto"/>
              <w:right w:val="single" w:sz="12" w:space="0" w:color="auto"/>
            </w:tcBorders>
            <w:shd w:val="clear" w:color="auto" w:fill="FFFFFF"/>
            <w:tcMar>
              <w:top w:w="60" w:type="dxa"/>
              <w:left w:w="60" w:type="dxa"/>
              <w:bottom w:w="60" w:type="dxa"/>
              <w:right w:w="60" w:type="dxa"/>
            </w:tcMar>
          </w:tcPr>
          <w:p w14:paraId="6DE8F4F0" w14:textId="77777777" w:rsidR="00A54846" w:rsidRDefault="00A54846">
            <w:pPr>
              <w:pStyle w:val="Para"/>
              <w:spacing w:after="0"/>
              <w:jc w:val="center"/>
              <w:rPr>
                <w:noProof/>
                <w:sz w:val="16"/>
                <w:szCs w:val="16"/>
                <w:lang w:val="en-US" w:bidi="en-US"/>
              </w:rPr>
            </w:pPr>
          </w:p>
        </w:tc>
        <w:tc>
          <w:tcPr>
            <w:tcW w:w="905" w:type="dxa"/>
            <w:tcBorders>
              <w:top w:val="nil"/>
              <w:left w:val="single" w:sz="12" w:space="0" w:color="auto"/>
              <w:bottom w:val="nil"/>
              <w:right w:val="nil"/>
            </w:tcBorders>
            <w:shd w:val="clear" w:color="auto" w:fill="FFFFFF"/>
            <w:tcMar>
              <w:top w:w="60" w:type="dxa"/>
              <w:left w:w="60" w:type="dxa"/>
              <w:bottom w:w="60" w:type="dxa"/>
              <w:right w:w="60" w:type="dxa"/>
            </w:tcMar>
          </w:tcPr>
          <w:p w14:paraId="1D097DCC" w14:textId="77777777" w:rsidR="00A54846" w:rsidRDefault="00A54846">
            <w:pPr>
              <w:pStyle w:val="Para"/>
              <w:spacing w:after="0"/>
              <w:jc w:val="center"/>
              <w:rPr>
                <w:noProof/>
                <w:sz w:val="16"/>
                <w:szCs w:val="16"/>
                <w:lang w:val="en-US" w:bidi="en-US"/>
              </w:rPr>
            </w:pPr>
          </w:p>
        </w:tc>
        <w:tc>
          <w:tcPr>
            <w:tcW w:w="761" w:type="dxa"/>
            <w:tcBorders>
              <w:top w:val="nil"/>
              <w:left w:val="single" w:sz="4" w:space="0" w:color="auto"/>
              <w:bottom w:val="nil"/>
              <w:right w:val="nil"/>
            </w:tcBorders>
            <w:shd w:val="clear" w:color="auto" w:fill="FFFFFF"/>
            <w:tcMar>
              <w:top w:w="60" w:type="dxa"/>
              <w:left w:w="60" w:type="dxa"/>
              <w:bottom w:w="60" w:type="dxa"/>
              <w:right w:w="60" w:type="dxa"/>
            </w:tcMar>
          </w:tcPr>
          <w:p w14:paraId="102BB016" w14:textId="77777777" w:rsidR="00A54846" w:rsidRDefault="00A54846">
            <w:pPr>
              <w:pStyle w:val="Para"/>
              <w:spacing w:after="0"/>
              <w:jc w:val="center"/>
              <w:rPr>
                <w:noProof/>
                <w:sz w:val="16"/>
                <w:szCs w:val="16"/>
                <w:lang w:val="en-US" w:bidi="en-US"/>
              </w:rPr>
            </w:pPr>
          </w:p>
        </w:tc>
        <w:tc>
          <w:tcPr>
            <w:tcW w:w="1058" w:type="dxa"/>
            <w:tcBorders>
              <w:top w:val="nil"/>
              <w:left w:val="single" w:sz="4" w:space="0" w:color="auto"/>
              <w:bottom w:val="nil"/>
              <w:right w:val="single" w:sz="4" w:space="0" w:color="auto"/>
            </w:tcBorders>
            <w:shd w:val="clear" w:color="auto" w:fill="FFFFFF"/>
            <w:tcMar>
              <w:top w:w="60" w:type="dxa"/>
              <w:left w:w="60" w:type="dxa"/>
              <w:bottom w:w="60" w:type="dxa"/>
              <w:right w:w="60" w:type="dxa"/>
            </w:tcMar>
          </w:tcPr>
          <w:p w14:paraId="770EFF93" w14:textId="77777777" w:rsidR="00A54846" w:rsidRDefault="00A54846">
            <w:pPr>
              <w:pStyle w:val="Para"/>
              <w:spacing w:after="0"/>
              <w:jc w:val="center"/>
              <w:rPr>
                <w:noProof/>
                <w:sz w:val="16"/>
                <w:szCs w:val="16"/>
                <w:lang w:val="en-US" w:bidi="en-US"/>
              </w:rPr>
            </w:pPr>
          </w:p>
        </w:tc>
      </w:tr>
      <w:tr w:rsidR="00A54846" w14:paraId="52D69282" w14:textId="77777777">
        <w:tc>
          <w:tcPr>
            <w:tcW w:w="2005"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770518A8" w14:textId="77777777" w:rsidR="00A54846" w:rsidRDefault="008A2731">
            <w:pPr>
              <w:pStyle w:val="Para"/>
              <w:spacing w:after="0"/>
              <w:jc w:val="left"/>
              <w:rPr>
                <w:b/>
                <w:noProof/>
                <w:sz w:val="16"/>
                <w:szCs w:val="16"/>
              </w:rPr>
            </w:pPr>
            <w:r>
              <w:rPr>
                <w:b/>
                <w:sz w:val="16"/>
              </w:rPr>
              <w:t xml:space="preserve">Sum (A.1 </w:t>
            </w:r>
            <w:r>
              <w:rPr>
                <w:b/>
                <w:sz w:val="16"/>
                <w:highlight w:val="lightGray"/>
              </w:rPr>
              <w:t>+</w:t>
            </w:r>
            <w:r>
              <w:rPr>
                <w:b/>
                <w:sz w:val="16"/>
              </w:rPr>
              <w:t xml:space="preserve"> A.2)</w:t>
            </w:r>
          </w:p>
        </w:tc>
        <w:tc>
          <w:tcPr>
            <w:tcW w:w="527"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198FE469" w14:textId="77777777" w:rsidR="00A54846" w:rsidRDefault="00A54846">
            <w:pPr>
              <w:pStyle w:val="Para"/>
              <w:spacing w:after="0"/>
              <w:rPr>
                <w:noProof/>
                <w:sz w:val="16"/>
                <w:szCs w:val="16"/>
                <w:lang w:val="en-US" w:bidi="en-US"/>
              </w:rPr>
            </w:pPr>
          </w:p>
        </w:tc>
        <w:tc>
          <w:tcPr>
            <w:tcW w:w="782"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403A61E4" w14:textId="77777777" w:rsidR="00A54846" w:rsidRDefault="00A54846">
            <w:pPr>
              <w:pStyle w:val="Para"/>
              <w:spacing w:after="0"/>
              <w:jc w:val="center"/>
              <w:rPr>
                <w:noProof/>
                <w:sz w:val="16"/>
                <w:szCs w:val="16"/>
                <w:lang w:val="en-US" w:bidi="en-US"/>
              </w:rPr>
            </w:pPr>
          </w:p>
        </w:tc>
        <w:tc>
          <w:tcPr>
            <w:tcW w:w="539"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1ACA4830" w14:textId="77777777" w:rsidR="00A54846" w:rsidRDefault="008A2731">
            <w:pPr>
              <w:pStyle w:val="Para"/>
              <w:spacing w:after="0"/>
              <w:jc w:val="center"/>
              <w:rPr>
                <w:b/>
                <w:noProof/>
                <w:sz w:val="16"/>
                <w:szCs w:val="16"/>
              </w:rPr>
            </w:pPr>
            <w:r>
              <w:rPr>
                <w:b/>
                <w:sz w:val="16"/>
              </w:rPr>
              <w:t>%</w:t>
            </w:r>
          </w:p>
        </w:tc>
        <w:tc>
          <w:tcPr>
            <w:tcW w:w="527" w:type="dxa"/>
            <w:shd w:val="clear" w:color="auto" w:fill="000000" w:themeFill="text1"/>
            <w:tcMar>
              <w:top w:w="60" w:type="dxa"/>
              <w:left w:w="60" w:type="dxa"/>
              <w:bottom w:w="60" w:type="dxa"/>
              <w:right w:w="60" w:type="dxa"/>
            </w:tcMar>
          </w:tcPr>
          <w:p w14:paraId="5D40238A" w14:textId="77777777" w:rsidR="00A54846" w:rsidRDefault="00A54846">
            <w:pPr>
              <w:pStyle w:val="Para"/>
              <w:spacing w:after="0"/>
              <w:jc w:val="center"/>
              <w:rPr>
                <w:noProof/>
                <w:sz w:val="16"/>
                <w:szCs w:val="16"/>
                <w:lang w:val="en-US" w:bidi="en-US"/>
              </w:rPr>
            </w:pPr>
          </w:p>
        </w:tc>
        <w:tc>
          <w:tcPr>
            <w:tcW w:w="528" w:type="dxa"/>
            <w:shd w:val="clear" w:color="auto" w:fill="000000" w:themeFill="text1"/>
            <w:tcMar>
              <w:top w:w="60" w:type="dxa"/>
              <w:left w:w="60" w:type="dxa"/>
              <w:bottom w:w="60" w:type="dxa"/>
              <w:right w:w="60" w:type="dxa"/>
            </w:tcMar>
          </w:tcPr>
          <w:p w14:paraId="00A057A1" w14:textId="77777777" w:rsidR="00A54846" w:rsidRDefault="00A54846">
            <w:pPr>
              <w:pStyle w:val="Para"/>
              <w:spacing w:after="0"/>
              <w:jc w:val="center"/>
              <w:rPr>
                <w:noProof/>
                <w:sz w:val="16"/>
                <w:szCs w:val="16"/>
                <w:lang w:val="en-US" w:bidi="en-US"/>
              </w:rPr>
            </w:pPr>
          </w:p>
        </w:tc>
        <w:tc>
          <w:tcPr>
            <w:tcW w:w="506" w:type="dxa"/>
            <w:shd w:val="clear" w:color="auto" w:fill="000000" w:themeFill="text1"/>
            <w:tcMar>
              <w:top w:w="60" w:type="dxa"/>
              <w:left w:w="60" w:type="dxa"/>
              <w:bottom w:w="60" w:type="dxa"/>
              <w:right w:w="60" w:type="dxa"/>
            </w:tcMar>
          </w:tcPr>
          <w:p w14:paraId="224E5D95" w14:textId="77777777" w:rsidR="00A54846" w:rsidRDefault="00A54846">
            <w:pPr>
              <w:pStyle w:val="Para"/>
              <w:spacing w:after="0"/>
              <w:jc w:val="center"/>
              <w:rPr>
                <w:noProof/>
                <w:sz w:val="16"/>
                <w:szCs w:val="16"/>
                <w:lang w:val="en-US" w:bidi="en-US"/>
              </w:rPr>
            </w:pPr>
          </w:p>
        </w:tc>
        <w:tc>
          <w:tcPr>
            <w:tcW w:w="538" w:type="dxa"/>
            <w:gridSpan w:val="2"/>
            <w:shd w:val="clear" w:color="auto" w:fill="000000" w:themeFill="text1"/>
            <w:tcMar>
              <w:top w:w="60" w:type="dxa"/>
              <w:left w:w="60" w:type="dxa"/>
              <w:bottom w:w="60" w:type="dxa"/>
              <w:right w:w="60" w:type="dxa"/>
            </w:tcMar>
          </w:tcPr>
          <w:p w14:paraId="3368E968" w14:textId="77777777" w:rsidR="00A54846" w:rsidRDefault="00A54846">
            <w:pPr>
              <w:pStyle w:val="Para"/>
              <w:spacing w:after="0"/>
              <w:jc w:val="center"/>
              <w:rPr>
                <w:noProof/>
                <w:sz w:val="16"/>
                <w:szCs w:val="16"/>
                <w:lang w:val="en-US" w:bidi="en-US"/>
              </w:rPr>
            </w:pPr>
          </w:p>
        </w:tc>
        <w:tc>
          <w:tcPr>
            <w:tcW w:w="516" w:type="dxa"/>
            <w:shd w:val="clear" w:color="auto" w:fill="000000" w:themeFill="text1"/>
            <w:tcMar>
              <w:top w:w="60" w:type="dxa"/>
              <w:left w:w="60" w:type="dxa"/>
              <w:bottom w:w="60" w:type="dxa"/>
              <w:right w:w="60" w:type="dxa"/>
            </w:tcMar>
          </w:tcPr>
          <w:p w14:paraId="5ACF1CAC" w14:textId="77777777" w:rsidR="00A54846" w:rsidRDefault="00A54846">
            <w:pPr>
              <w:pStyle w:val="Para"/>
              <w:spacing w:after="0"/>
              <w:jc w:val="center"/>
              <w:rPr>
                <w:noProof/>
                <w:sz w:val="16"/>
                <w:szCs w:val="16"/>
                <w:lang w:val="en-US" w:bidi="en-US"/>
              </w:rPr>
            </w:pPr>
          </w:p>
        </w:tc>
        <w:tc>
          <w:tcPr>
            <w:tcW w:w="566" w:type="dxa"/>
            <w:shd w:val="clear" w:color="auto" w:fill="000000" w:themeFill="text1"/>
            <w:tcMar>
              <w:top w:w="60" w:type="dxa"/>
              <w:left w:w="60" w:type="dxa"/>
              <w:bottom w:w="60" w:type="dxa"/>
              <w:right w:w="60" w:type="dxa"/>
            </w:tcMar>
          </w:tcPr>
          <w:p w14:paraId="568BEB88" w14:textId="77777777" w:rsidR="00A54846" w:rsidRDefault="00A54846">
            <w:pPr>
              <w:pStyle w:val="Para"/>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50D797EC" w14:textId="77777777" w:rsidR="00A54846" w:rsidRDefault="00A54846">
            <w:pPr>
              <w:pStyle w:val="Para"/>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79EC1890" w14:textId="77777777" w:rsidR="00A54846" w:rsidRDefault="00A54846">
            <w:pPr>
              <w:pStyle w:val="Para"/>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717758BA" w14:textId="77777777" w:rsidR="00A54846" w:rsidRDefault="00A54846">
            <w:pPr>
              <w:pStyle w:val="Para"/>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0A93C0B3" w14:textId="77777777" w:rsidR="00A54846" w:rsidRDefault="00A54846">
            <w:pPr>
              <w:pStyle w:val="Para"/>
              <w:spacing w:after="0"/>
              <w:jc w:val="center"/>
              <w:rPr>
                <w:noProof/>
                <w:sz w:val="16"/>
                <w:szCs w:val="16"/>
                <w:lang w:val="en-US" w:bidi="en-US"/>
              </w:rPr>
            </w:pPr>
          </w:p>
        </w:tc>
        <w:tc>
          <w:tcPr>
            <w:tcW w:w="526" w:type="dxa"/>
            <w:shd w:val="clear" w:color="auto" w:fill="000000" w:themeFill="text1"/>
            <w:tcMar>
              <w:top w:w="60" w:type="dxa"/>
              <w:left w:w="60" w:type="dxa"/>
              <w:bottom w:w="60" w:type="dxa"/>
              <w:right w:w="60" w:type="dxa"/>
            </w:tcMar>
          </w:tcPr>
          <w:p w14:paraId="61544082" w14:textId="77777777" w:rsidR="00A54846" w:rsidRDefault="00A54846">
            <w:pPr>
              <w:pStyle w:val="Para"/>
              <w:spacing w:after="0"/>
              <w:jc w:val="center"/>
              <w:rPr>
                <w:noProof/>
                <w:sz w:val="16"/>
                <w:szCs w:val="16"/>
                <w:lang w:val="en-US" w:bidi="en-US"/>
              </w:rPr>
            </w:pPr>
          </w:p>
        </w:tc>
        <w:tc>
          <w:tcPr>
            <w:tcW w:w="524" w:type="dxa"/>
            <w:shd w:val="clear" w:color="auto" w:fill="000000" w:themeFill="text1"/>
            <w:tcMar>
              <w:top w:w="60" w:type="dxa"/>
              <w:left w:w="60" w:type="dxa"/>
              <w:bottom w:w="60" w:type="dxa"/>
              <w:right w:w="60" w:type="dxa"/>
            </w:tcMar>
          </w:tcPr>
          <w:p w14:paraId="783B9EE1" w14:textId="77777777" w:rsidR="00A54846" w:rsidRDefault="00A54846">
            <w:pPr>
              <w:pStyle w:val="Para"/>
              <w:spacing w:after="0"/>
              <w:jc w:val="center"/>
              <w:rPr>
                <w:noProof/>
                <w:sz w:val="16"/>
                <w:szCs w:val="16"/>
                <w:lang w:val="en-US" w:bidi="en-US"/>
              </w:rPr>
            </w:pPr>
          </w:p>
        </w:tc>
        <w:tc>
          <w:tcPr>
            <w:tcW w:w="544" w:type="dxa"/>
            <w:gridSpan w:val="3"/>
            <w:tcBorders>
              <w:top w:val="nil"/>
              <w:left w:val="nil"/>
              <w:bottom w:val="nil"/>
              <w:right w:val="single" w:sz="12" w:space="0" w:color="auto"/>
            </w:tcBorders>
            <w:shd w:val="clear" w:color="auto" w:fill="000000" w:themeFill="text1"/>
            <w:tcMar>
              <w:top w:w="60" w:type="dxa"/>
              <w:left w:w="60" w:type="dxa"/>
              <w:bottom w:w="60" w:type="dxa"/>
              <w:right w:w="60" w:type="dxa"/>
            </w:tcMar>
          </w:tcPr>
          <w:p w14:paraId="224B0DE8" w14:textId="77777777" w:rsidR="00A54846" w:rsidRDefault="00A54846">
            <w:pPr>
              <w:pStyle w:val="Para"/>
              <w:spacing w:after="0"/>
              <w:jc w:val="center"/>
              <w:rPr>
                <w:noProof/>
                <w:sz w:val="16"/>
                <w:szCs w:val="16"/>
                <w:lang w:val="en-US" w:bidi="en-US"/>
              </w:rPr>
            </w:pPr>
          </w:p>
        </w:tc>
        <w:tc>
          <w:tcPr>
            <w:tcW w:w="860" w:type="dxa"/>
            <w:tcBorders>
              <w:top w:val="single" w:sz="4" w:space="0" w:color="auto"/>
              <w:left w:val="single" w:sz="12" w:space="0" w:color="auto"/>
              <w:bottom w:val="single" w:sz="12" w:space="0" w:color="auto"/>
              <w:right w:val="single" w:sz="12" w:space="0" w:color="auto"/>
            </w:tcBorders>
            <w:shd w:val="clear" w:color="auto" w:fill="FFFFFF"/>
            <w:tcMar>
              <w:top w:w="60" w:type="dxa"/>
              <w:left w:w="60" w:type="dxa"/>
              <w:bottom w:w="60" w:type="dxa"/>
              <w:right w:w="60" w:type="dxa"/>
            </w:tcMar>
            <w:vAlign w:val="center"/>
            <w:hideMark/>
          </w:tcPr>
          <w:p w14:paraId="346153F9" w14:textId="77777777" w:rsidR="00A54846" w:rsidRDefault="008A2731">
            <w:pPr>
              <w:pStyle w:val="Para"/>
              <w:spacing w:after="0"/>
              <w:jc w:val="center"/>
              <w:rPr>
                <w:b/>
                <w:noProof/>
                <w:sz w:val="16"/>
                <w:szCs w:val="16"/>
              </w:rPr>
            </w:pPr>
            <w:r>
              <w:rPr>
                <w:b/>
                <w:sz w:val="16"/>
              </w:rPr>
              <w:t>%</w:t>
            </w: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tcPr>
          <w:p w14:paraId="14DF575E" w14:textId="77777777" w:rsidR="00A54846" w:rsidRDefault="00A54846">
            <w:pPr>
              <w:pStyle w:val="Para"/>
              <w:spacing w:after="0"/>
              <w:jc w:val="center"/>
              <w:rPr>
                <w:b/>
                <w:noProof/>
                <w:sz w:val="16"/>
                <w:szCs w:val="16"/>
                <w:lang w:val="en-US" w:bidi="en-US"/>
              </w:rPr>
            </w:pP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572777CE" w14:textId="77777777" w:rsidR="00A54846" w:rsidRDefault="008A2731">
            <w:pPr>
              <w:pStyle w:val="Para"/>
              <w:spacing w:after="0"/>
              <w:jc w:val="center"/>
              <w:rPr>
                <w:b/>
                <w:noProof/>
                <w:sz w:val="16"/>
                <w:szCs w:val="16"/>
              </w:rPr>
            </w:pPr>
            <w:r>
              <w:rPr>
                <w:b/>
                <w:sz w:val="16"/>
              </w:rPr>
              <w:t>%</w:t>
            </w:r>
          </w:p>
        </w:tc>
        <w:tc>
          <w:tcPr>
            <w:tcW w:w="1058"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tcPr>
          <w:p w14:paraId="202BFEB1" w14:textId="77777777" w:rsidR="00A54846" w:rsidRDefault="00A54846">
            <w:pPr>
              <w:pStyle w:val="Para"/>
              <w:spacing w:after="0"/>
              <w:jc w:val="center"/>
              <w:rPr>
                <w:noProof/>
                <w:sz w:val="16"/>
                <w:szCs w:val="16"/>
                <w:lang w:val="en-US" w:bidi="en-US"/>
              </w:rPr>
            </w:pPr>
          </w:p>
        </w:tc>
      </w:tr>
      <w:tr w:rsidR="00A54846" w14:paraId="58918E0E" w14:textId="77777777">
        <w:tc>
          <w:tcPr>
            <w:tcW w:w="2005"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0CBF66A3" w14:textId="77777777" w:rsidR="00A54846" w:rsidRDefault="008A2731">
            <w:pPr>
              <w:pStyle w:val="Para"/>
              <w:spacing w:after="0"/>
              <w:jc w:val="left"/>
              <w:rPr>
                <w:b/>
                <w:noProof/>
                <w:sz w:val="16"/>
                <w:szCs w:val="16"/>
              </w:rPr>
            </w:pPr>
            <w:r>
              <w:rPr>
                <w:b/>
                <w:sz w:val="16"/>
              </w:rPr>
              <w:t>B. AKTIVITETER SOM IKKE ER OMFATTET AV TAKSONOMIEN</w:t>
            </w:r>
          </w:p>
        </w:tc>
        <w:tc>
          <w:tcPr>
            <w:tcW w:w="527" w:type="dxa"/>
            <w:gridSpan w:val="2"/>
            <w:tcBorders>
              <w:top w:val="single" w:sz="4" w:space="0" w:color="auto"/>
              <w:left w:val="nil"/>
              <w:bottom w:val="nil"/>
              <w:right w:val="nil"/>
            </w:tcBorders>
            <w:shd w:val="clear" w:color="auto" w:fill="FFFFFF"/>
            <w:tcMar>
              <w:top w:w="60" w:type="dxa"/>
              <w:left w:w="60" w:type="dxa"/>
              <w:bottom w:w="60" w:type="dxa"/>
              <w:right w:w="60" w:type="dxa"/>
            </w:tcMar>
          </w:tcPr>
          <w:p w14:paraId="25D133CA" w14:textId="77777777" w:rsidR="00A54846" w:rsidRPr="006A792F" w:rsidRDefault="00A54846">
            <w:pPr>
              <w:pStyle w:val="Para"/>
              <w:spacing w:after="0"/>
              <w:rPr>
                <w:noProof/>
                <w:sz w:val="16"/>
                <w:szCs w:val="16"/>
                <w:lang w:bidi="en-US"/>
              </w:rPr>
            </w:pPr>
          </w:p>
        </w:tc>
        <w:tc>
          <w:tcPr>
            <w:tcW w:w="782" w:type="dxa"/>
            <w:tcBorders>
              <w:top w:val="single" w:sz="4" w:space="0" w:color="auto"/>
              <w:left w:val="nil"/>
              <w:bottom w:val="nil"/>
              <w:right w:val="nil"/>
            </w:tcBorders>
            <w:shd w:val="clear" w:color="auto" w:fill="FFFFFF"/>
            <w:tcMar>
              <w:top w:w="60" w:type="dxa"/>
              <w:left w:w="60" w:type="dxa"/>
              <w:bottom w:w="60" w:type="dxa"/>
              <w:right w:w="60" w:type="dxa"/>
            </w:tcMar>
          </w:tcPr>
          <w:p w14:paraId="65BC852D" w14:textId="77777777" w:rsidR="00A54846" w:rsidRPr="006A792F" w:rsidRDefault="00A54846">
            <w:pPr>
              <w:pStyle w:val="Para"/>
              <w:spacing w:after="0"/>
              <w:jc w:val="center"/>
              <w:rPr>
                <w:noProof/>
                <w:sz w:val="16"/>
                <w:szCs w:val="16"/>
                <w:lang w:bidi="en-US"/>
              </w:rPr>
            </w:pPr>
          </w:p>
        </w:tc>
        <w:tc>
          <w:tcPr>
            <w:tcW w:w="539" w:type="dxa"/>
            <w:gridSpan w:val="2"/>
            <w:tcBorders>
              <w:top w:val="single" w:sz="4" w:space="0" w:color="auto"/>
              <w:left w:val="nil"/>
              <w:bottom w:val="nil"/>
              <w:right w:val="nil"/>
            </w:tcBorders>
            <w:shd w:val="clear" w:color="auto" w:fill="FFFFFF"/>
            <w:tcMar>
              <w:top w:w="60" w:type="dxa"/>
              <w:left w:w="60" w:type="dxa"/>
              <w:bottom w:w="60" w:type="dxa"/>
              <w:right w:w="60" w:type="dxa"/>
            </w:tcMar>
          </w:tcPr>
          <w:p w14:paraId="0C4E036A" w14:textId="77777777" w:rsidR="00A54846" w:rsidRPr="006A792F" w:rsidRDefault="00A54846">
            <w:pPr>
              <w:pStyle w:val="Para"/>
              <w:spacing w:after="0"/>
              <w:jc w:val="center"/>
              <w:rPr>
                <w:b/>
                <w:noProof/>
                <w:sz w:val="16"/>
                <w:szCs w:val="16"/>
                <w:lang w:bidi="en-US"/>
              </w:rPr>
            </w:pPr>
          </w:p>
        </w:tc>
        <w:tc>
          <w:tcPr>
            <w:tcW w:w="527" w:type="dxa"/>
            <w:shd w:val="clear" w:color="auto" w:fill="FFFFFF"/>
            <w:tcMar>
              <w:top w:w="60" w:type="dxa"/>
              <w:left w:w="60" w:type="dxa"/>
              <w:bottom w:w="60" w:type="dxa"/>
              <w:right w:w="60" w:type="dxa"/>
            </w:tcMar>
          </w:tcPr>
          <w:p w14:paraId="27E5BAD9" w14:textId="77777777" w:rsidR="00A54846" w:rsidRPr="006A792F" w:rsidRDefault="00A54846">
            <w:pPr>
              <w:pStyle w:val="Para"/>
              <w:spacing w:after="0"/>
              <w:jc w:val="center"/>
              <w:rPr>
                <w:noProof/>
                <w:sz w:val="16"/>
                <w:szCs w:val="16"/>
                <w:lang w:bidi="en-US"/>
              </w:rPr>
            </w:pPr>
          </w:p>
        </w:tc>
        <w:tc>
          <w:tcPr>
            <w:tcW w:w="528" w:type="dxa"/>
            <w:shd w:val="clear" w:color="auto" w:fill="FFFFFF"/>
            <w:tcMar>
              <w:top w:w="60" w:type="dxa"/>
              <w:left w:w="60" w:type="dxa"/>
              <w:bottom w:w="60" w:type="dxa"/>
              <w:right w:w="60" w:type="dxa"/>
            </w:tcMar>
          </w:tcPr>
          <w:p w14:paraId="333DD94B" w14:textId="77777777" w:rsidR="00A54846" w:rsidRPr="006A792F" w:rsidRDefault="00A54846">
            <w:pPr>
              <w:pStyle w:val="Para"/>
              <w:spacing w:after="0"/>
              <w:jc w:val="center"/>
              <w:rPr>
                <w:noProof/>
                <w:sz w:val="16"/>
                <w:szCs w:val="16"/>
                <w:lang w:bidi="en-US"/>
              </w:rPr>
            </w:pPr>
          </w:p>
        </w:tc>
        <w:tc>
          <w:tcPr>
            <w:tcW w:w="506" w:type="dxa"/>
            <w:shd w:val="clear" w:color="auto" w:fill="FFFFFF"/>
            <w:tcMar>
              <w:top w:w="60" w:type="dxa"/>
              <w:left w:w="60" w:type="dxa"/>
              <w:bottom w:w="60" w:type="dxa"/>
              <w:right w:w="60" w:type="dxa"/>
            </w:tcMar>
          </w:tcPr>
          <w:p w14:paraId="66C5F081" w14:textId="77777777" w:rsidR="00A54846" w:rsidRPr="006A792F" w:rsidRDefault="00A54846">
            <w:pPr>
              <w:pStyle w:val="Para"/>
              <w:spacing w:after="0"/>
              <w:jc w:val="center"/>
              <w:rPr>
                <w:noProof/>
                <w:sz w:val="16"/>
                <w:szCs w:val="16"/>
                <w:lang w:bidi="en-US"/>
              </w:rPr>
            </w:pPr>
          </w:p>
        </w:tc>
        <w:tc>
          <w:tcPr>
            <w:tcW w:w="538" w:type="dxa"/>
            <w:gridSpan w:val="2"/>
            <w:shd w:val="clear" w:color="auto" w:fill="FFFFFF"/>
            <w:tcMar>
              <w:top w:w="60" w:type="dxa"/>
              <w:left w:w="60" w:type="dxa"/>
              <w:bottom w:w="60" w:type="dxa"/>
              <w:right w:w="60" w:type="dxa"/>
            </w:tcMar>
          </w:tcPr>
          <w:p w14:paraId="52A87208" w14:textId="77777777" w:rsidR="00A54846" w:rsidRPr="006A792F" w:rsidRDefault="00A54846">
            <w:pPr>
              <w:pStyle w:val="Para"/>
              <w:spacing w:after="0"/>
              <w:jc w:val="center"/>
              <w:rPr>
                <w:noProof/>
                <w:sz w:val="16"/>
                <w:szCs w:val="16"/>
                <w:lang w:bidi="en-US"/>
              </w:rPr>
            </w:pPr>
          </w:p>
        </w:tc>
        <w:tc>
          <w:tcPr>
            <w:tcW w:w="516" w:type="dxa"/>
            <w:shd w:val="clear" w:color="auto" w:fill="FFFFFF"/>
            <w:tcMar>
              <w:top w:w="60" w:type="dxa"/>
              <w:left w:w="60" w:type="dxa"/>
              <w:bottom w:w="60" w:type="dxa"/>
              <w:right w:w="60" w:type="dxa"/>
            </w:tcMar>
          </w:tcPr>
          <w:p w14:paraId="232B8FB3" w14:textId="77777777" w:rsidR="00A54846" w:rsidRPr="006A792F" w:rsidRDefault="00A54846">
            <w:pPr>
              <w:pStyle w:val="Para"/>
              <w:spacing w:after="0"/>
              <w:jc w:val="center"/>
              <w:rPr>
                <w:noProof/>
                <w:sz w:val="16"/>
                <w:szCs w:val="16"/>
                <w:lang w:bidi="en-US"/>
              </w:rPr>
            </w:pPr>
          </w:p>
        </w:tc>
        <w:tc>
          <w:tcPr>
            <w:tcW w:w="566" w:type="dxa"/>
            <w:shd w:val="clear" w:color="auto" w:fill="FFFFFF"/>
            <w:tcMar>
              <w:top w:w="60" w:type="dxa"/>
              <w:left w:w="60" w:type="dxa"/>
              <w:bottom w:w="60" w:type="dxa"/>
              <w:right w:w="60" w:type="dxa"/>
            </w:tcMar>
          </w:tcPr>
          <w:p w14:paraId="593483FE" w14:textId="77777777" w:rsidR="00A54846" w:rsidRPr="006A792F" w:rsidRDefault="00A54846">
            <w:pPr>
              <w:pStyle w:val="Para"/>
              <w:spacing w:after="0"/>
              <w:jc w:val="center"/>
              <w:rPr>
                <w:noProof/>
                <w:sz w:val="16"/>
                <w:szCs w:val="16"/>
                <w:lang w:bidi="en-US"/>
              </w:rPr>
            </w:pPr>
          </w:p>
        </w:tc>
        <w:tc>
          <w:tcPr>
            <w:tcW w:w="526" w:type="dxa"/>
            <w:shd w:val="clear" w:color="auto" w:fill="FFFFFF"/>
            <w:tcMar>
              <w:top w:w="60" w:type="dxa"/>
              <w:left w:w="60" w:type="dxa"/>
              <w:bottom w:w="60" w:type="dxa"/>
              <w:right w:w="60" w:type="dxa"/>
            </w:tcMar>
          </w:tcPr>
          <w:p w14:paraId="4EB8896E" w14:textId="77777777" w:rsidR="00A54846" w:rsidRPr="006A792F" w:rsidRDefault="00A54846">
            <w:pPr>
              <w:pStyle w:val="Para"/>
              <w:spacing w:after="0"/>
              <w:jc w:val="center"/>
              <w:rPr>
                <w:noProof/>
                <w:sz w:val="16"/>
                <w:szCs w:val="16"/>
                <w:lang w:bidi="en-US"/>
              </w:rPr>
            </w:pPr>
          </w:p>
        </w:tc>
        <w:tc>
          <w:tcPr>
            <w:tcW w:w="526" w:type="dxa"/>
            <w:shd w:val="clear" w:color="auto" w:fill="FFFFFF"/>
            <w:tcMar>
              <w:top w:w="60" w:type="dxa"/>
              <w:left w:w="60" w:type="dxa"/>
              <w:bottom w:w="60" w:type="dxa"/>
              <w:right w:w="60" w:type="dxa"/>
            </w:tcMar>
          </w:tcPr>
          <w:p w14:paraId="187D18DB" w14:textId="77777777" w:rsidR="00A54846" w:rsidRPr="006A792F" w:rsidRDefault="00A54846">
            <w:pPr>
              <w:pStyle w:val="Para"/>
              <w:spacing w:after="0"/>
              <w:jc w:val="center"/>
              <w:rPr>
                <w:noProof/>
                <w:sz w:val="16"/>
                <w:szCs w:val="16"/>
                <w:lang w:bidi="en-US"/>
              </w:rPr>
            </w:pPr>
          </w:p>
        </w:tc>
        <w:tc>
          <w:tcPr>
            <w:tcW w:w="526" w:type="dxa"/>
            <w:shd w:val="clear" w:color="auto" w:fill="FFFFFF"/>
            <w:tcMar>
              <w:top w:w="60" w:type="dxa"/>
              <w:left w:w="60" w:type="dxa"/>
              <w:bottom w:w="60" w:type="dxa"/>
              <w:right w:w="60" w:type="dxa"/>
            </w:tcMar>
          </w:tcPr>
          <w:p w14:paraId="122F3F83" w14:textId="77777777" w:rsidR="00A54846" w:rsidRPr="006A792F" w:rsidRDefault="00A54846">
            <w:pPr>
              <w:pStyle w:val="Para"/>
              <w:spacing w:after="0"/>
              <w:jc w:val="center"/>
              <w:rPr>
                <w:noProof/>
                <w:sz w:val="16"/>
                <w:szCs w:val="16"/>
                <w:lang w:bidi="en-US"/>
              </w:rPr>
            </w:pPr>
          </w:p>
        </w:tc>
        <w:tc>
          <w:tcPr>
            <w:tcW w:w="526" w:type="dxa"/>
            <w:shd w:val="clear" w:color="auto" w:fill="FFFFFF"/>
            <w:tcMar>
              <w:top w:w="60" w:type="dxa"/>
              <w:left w:w="60" w:type="dxa"/>
              <w:bottom w:w="60" w:type="dxa"/>
              <w:right w:w="60" w:type="dxa"/>
            </w:tcMar>
          </w:tcPr>
          <w:p w14:paraId="39A42FAD" w14:textId="77777777" w:rsidR="00A54846" w:rsidRPr="006A792F" w:rsidRDefault="00A54846">
            <w:pPr>
              <w:pStyle w:val="Para"/>
              <w:spacing w:after="0"/>
              <w:jc w:val="center"/>
              <w:rPr>
                <w:noProof/>
                <w:sz w:val="16"/>
                <w:szCs w:val="16"/>
                <w:lang w:bidi="en-US"/>
              </w:rPr>
            </w:pPr>
          </w:p>
        </w:tc>
        <w:tc>
          <w:tcPr>
            <w:tcW w:w="526" w:type="dxa"/>
            <w:shd w:val="clear" w:color="auto" w:fill="FFFFFF"/>
            <w:tcMar>
              <w:top w:w="60" w:type="dxa"/>
              <w:left w:w="60" w:type="dxa"/>
              <w:bottom w:w="60" w:type="dxa"/>
              <w:right w:w="60" w:type="dxa"/>
            </w:tcMar>
          </w:tcPr>
          <w:p w14:paraId="6AC5C454" w14:textId="77777777" w:rsidR="00A54846" w:rsidRPr="006A792F" w:rsidRDefault="00A54846">
            <w:pPr>
              <w:pStyle w:val="Para"/>
              <w:spacing w:after="0"/>
              <w:jc w:val="center"/>
              <w:rPr>
                <w:noProof/>
                <w:sz w:val="16"/>
                <w:szCs w:val="16"/>
                <w:lang w:bidi="en-US"/>
              </w:rPr>
            </w:pPr>
          </w:p>
        </w:tc>
        <w:tc>
          <w:tcPr>
            <w:tcW w:w="524" w:type="dxa"/>
            <w:shd w:val="clear" w:color="auto" w:fill="FFFFFF"/>
            <w:tcMar>
              <w:top w:w="60" w:type="dxa"/>
              <w:left w:w="60" w:type="dxa"/>
              <w:bottom w:w="60" w:type="dxa"/>
              <w:right w:w="60" w:type="dxa"/>
            </w:tcMar>
          </w:tcPr>
          <w:p w14:paraId="4009CB78" w14:textId="77777777" w:rsidR="00A54846" w:rsidRPr="006A792F" w:rsidRDefault="00A54846">
            <w:pPr>
              <w:pStyle w:val="Para"/>
              <w:spacing w:after="0"/>
              <w:jc w:val="center"/>
              <w:rPr>
                <w:noProof/>
                <w:sz w:val="16"/>
                <w:szCs w:val="16"/>
                <w:lang w:bidi="en-US"/>
              </w:rPr>
            </w:pPr>
          </w:p>
        </w:tc>
        <w:tc>
          <w:tcPr>
            <w:tcW w:w="544" w:type="dxa"/>
            <w:gridSpan w:val="3"/>
            <w:shd w:val="clear" w:color="auto" w:fill="FFFFFF"/>
            <w:tcMar>
              <w:top w:w="60" w:type="dxa"/>
              <w:left w:w="60" w:type="dxa"/>
              <w:bottom w:w="60" w:type="dxa"/>
              <w:right w:w="60" w:type="dxa"/>
            </w:tcMar>
          </w:tcPr>
          <w:p w14:paraId="52CF854C" w14:textId="77777777" w:rsidR="00A54846" w:rsidRPr="006A792F" w:rsidRDefault="00A54846">
            <w:pPr>
              <w:pStyle w:val="Para"/>
              <w:spacing w:after="0"/>
              <w:jc w:val="center"/>
              <w:rPr>
                <w:noProof/>
                <w:sz w:val="16"/>
                <w:szCs w:val="16"/>
                <w:lang w:bidi="en-US"/>
              </w:rPr>
            </w:pPr>
          </w:p>
        </w:tc>
        <w:tc>
          <w:tcPr>
            <w:tcW w:w="860" w:type="dxa"/>
            <w:tcBorders>
              <w:top w:val="single" w:sz="12" w:space="0" w:color="auto"/>
              <w:left w:val="nil"/>
              <w:bottom w:val="nil"/>
              <w:right w:val="nil"/>
            </w:tcBorders>
            <w:shd w:val="clear" w:color="auto" w:fill="FFFFFF"/>
            <w:tcMar>
              <w:top w:w="60" w:type="dxa"/>
              <w:left w:w="60" w:type="dxa"/>
              <w:bottom w:w="60" w:type="dxa"/>
              <w:right w:w="60" w:type="dxa"/>
            </w:tcMar>
          </w:tcPr>
          <w:p w14:paraId="7E39921E" w14:textId="77777777" w:rsidR="00A54846" w:rsidRPr="006A792F" w:rsidRDefault="00A54846">
            <w:pPr>
              <w:pStyle w:val="Para"/>
              <w:spacing w:after="0"/>
              <w:jc w:val="center"/>
              <w:rPr>
                <w:noProof/>
                <w:sz w:val="16"/>
                <w:szCs w:val="16"/>
                <w:lang w:bidi="en-US"/>
              </w:rPr>
            </w:pPr>
          </w:p>
        </w:tc>
        <w:tc>
          <w:tcPr>
            <w:tcW w:w="905" w:type="dxa"/>
            <w:tcBorders>
              <w:top w:val="single" w:sz="4" w:space="0" w:color="auto"/>
              <w:left w:val="nil"/>
              <w:bottom w:val="nil"/>
              <w:right w:val="nil"/>
            </w:tcBorders>
            <w:shd w:val="clear" w:color="auto" w:fill="FFFFFF"/>
            <w:tcMar>
              <w:top w:w="60" w:type="dxa"/>
              <w:left w:w="60" w:type="dxa"/>
              <w:bottom w:w="60" w:type="dxa"/>
              <w:right w:w="60" w:type="dxa"/>
            </w:tcMar>
          </w:tcPr>
          <w:p w14:paraId="01A77D1E" w14:textId="77777777" w:rsidR="00A54846" w:rsidRPr="006A792F" w:rsidRDefault="00A54846">
            <w:pPr>
              <w:pStyle w:val="Para"/>
              <w:spacing w:after="0"/>
              <w:jc w:val="center"/>
              <w:rPr>
                <w:noProof/>
                <w:sz w:val="16"/>
                <w:szCs w:val="16"/>
                <w:lang w:bidi="en-US"/>
              </w:rPr>
            </w:pPr>
          </w:p>
        </w:tc>
        <w:tc>
          <w:tcPr>
            <w:tcW w:w="761" w:type="dxa"/>
            <w:tcBorders>
              <w:top w:val="single" w:sz="4" w:space="0" w:color="auto"/>
              <w:left w:val="nil"/>
              <w:bottom w:val="nil"/>
              <w:right w:val="nil"/>
            </w:tcBorders>
            <w:shd w:val="clear" w:color="auto" w:fill="FFFFFF"/>
            <w:tcMar>
              <w:top w:w="60" w:type="dxa"/>
              <w:left w:w="60" w:type="dxa"/>
              <w:bottom w:w="60" w:type="dxa"/>
              <w:right w:w="60" w:type="dxa"/>
            </w:tcMar>
          </w:tcPr>
          <w:p w14:paraId="117790E3" w14:textId="77777777" w:rsidR="00A54846" w:rsidRPr="006A792F" w:rsidRDefault="00A54846">
            <w:pPr>
              <w:pStyle w:val="Para"/>
              <w:spacing w:after="0"/>
              <w:jc w:val="center"/>
              <w:rPr>
                <w:noProof/>
                <w:sz w:val="16"/>
                <w:szCs w:val="16"/>
                <w:lang w:bidi="en-US"/>
              </w:rPr>
            </w:pPr>
          </w:p>
        </w:tc>
        <w:tc>
          <w:tcPr>
            <w:tcW w:w="1058" w:type="dxa"/>
            <w:tcBorders>
              <w:top w:val="single" w:sz="4" w:space="0" w:color="auto"/>
              <w:left w:val="nil"/>
              <w:bottom w:val="nil"/>
              <w:right w:val="nil"/>
            </w:tcBorders>
            <w:shd w:val="clear" w:color="auto" w:fill="FFFFFF"/>
            <w:tcMar>
              <w:top w:w="60" w:type="dxa"/>
              <w:left w:w="60" w:type="dxa"/>
              <w:bottom w:w="60" w:type="dxa"/>
              <w:right w:w="60" w:type="dxa"/>
            </w:tcMar>
          </w:tcPr>
          <w:p w14:paraId="32FE15A8" w14:textId="77777777" w:rsidR="00A54846" w:rsidRPr="006A792F" w:rsidRDefault="00A54846">
            <w:pPr>
              <w:pStyle w:val="Para"/>
              <w:spacing w:after="0"/>
              <w:jc w:val="center"/>
              <w:rPr>
                <w:noProof/>
                <w:sz w:val="16"/>
                <w:szCs w:val="16"/>
                <w:lang w:bidi="en-US"/>
              </w:rPr>
            </w:pPr>
          </w:p>
        </w:tc>
      </w:tr>
      <w:tr w:rsidR="00A54846" w14:paraId="76B9283B" w14:textId="77777777">
        <w:tc>
          <w:tcPr>
            <w:tcW w:w="2005"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6303A43C" w14:textId="77777777" w:rsidR="00A54846" w:rsidRDefault="008A2731">
            <w:pPr>
              <w:pStyle w:val="Para"/>
              <w:spacing w:after="0"/>
              <w:jc w:val="left"/>
              <w:rPr>
                <w:b/>
                <w:noProof/>
                <w:sz w:val="16"/>
                <w:szCs w:val="16"/>
              </w:rPr>
            </w:pPr>
            <w:r>
              <w:rPr>
                <w:b/>
                <w:sz w:val="16"/>
              </w:rPr>
              <w:t>Omsetning for aktiviteter som ikke er omfattet av taksonomien (B)</w:t>
            </w:r>
          </w:p>
        </w:tc>
        <w:tc>
          <w:tcPr>
            <w:tcW w:w="527" w:type="dxa"/>
            <w:gridSpan w:val="2"/>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1DC07E98" w14:textId="77777777" w:rsidR="00A54846" w:rsidRPr="006A792F" w:rsidRDefault="00A54846">
            <w:pPr>
              <w:pStyle w:val="Para"/>
              <w:spacing w:after="0"/>
              <w:rPr>
                <w:noProof/>
                <w:sz w:val="16"/>
                <w:szCs w:val="16"/>
                <w:lang w:bidi="en-US"/>
              </w:rPr>
            </w:pPr>
          </w:p>
        </w:tc>
        <w:tc>
          <w:tcPr>
            <w:tcW w:w="782"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7CC55D2A" w14:textId="77777777" w:rsidR="00A54846" w:rsidRPr="006A792F" w:rsidRDefault="00A54846">
            <w:pPr>
              <w:pStyle w:val="Para"/>
              <w:spacing w:after="0"/>
              <w:jc w:val="center"/>
              <w:rPr>
                <w:noProof/>
                <w:sz w:val="16"/>
                <w:szCs w:val="16"/>
                <w:lang w:bidi="en-US"/>
              </w:rPr>
            </w:pPr>
          </w:p>
        </w:tc>
        <w:tc>
          <w:tcPr>
            <w:tcW w:w="539" w:type="dxa"/>
            <w:gridSpan w:val="2"/>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center"/>
            <w:hideMark/>
          </w:tcPr>
          <w:p w14:paraId="3A940D31" w14:textId="77777777" w:rsidR="00A54846" w:rsidRDefault="008A2731">
            <w:pPr>
              <w:pStyle w:val="Para"/>
              <w:spacing w:after="0"/>
              <w:jc w:val="center"/>
              <w:rPr>
                <w:b/>
                <w:noProof/>
                <w:sz w:val="16"/>
                <w:szCs w:val="16"/>
              </w:rPr>
            </w:pPr>
            <w:r>
              <w:rPr>
                <w:b/>
                <w:sz w:val="16"/>
              </w:rPr>
              <w:t>%</w:t>
            </w:r>
          </w:p>
        </w:tc>
        <w:tc>
          <w:tcPr>
            <w:tcW w:w="527" w:type="dxa"/>
            <w:tcBorders>
              <w:top w:val="nil"/>
              <w:left w:val="single" w:sz="4" w:space="0" w:color="auto"/>
              <w:bottom w:val="nil"/>
              <w:right w:val="nil"/>
            </w:tcBorders>
            <w:shd w:val="clear" w:color="auto" w:fill="FFFFFF"/>
            <w:tcMar>
              <w:top w:w="60" w:type="dxa"/>
              <w:left w:w="60" w:type="dxa"/>
              <w:bottom w:w="60" w:type="dxa"/>
              <w:right w:w="60" w:type="dxa"/>
            </w:tcMar>
          </w:tcPr>
          <w:p w14:paraId="5CCAF13B" w14:textId="77777777" w:rsidR="00A54846" w:rsidRDefault="00A54846">
            <w:pPr>
              <w:pStyle w:val="Para"/>
              <w:spacing w:after="0"/>
              <w:jc w:val="center"/>
              <w:rPr>
                <w:noProof/>
                <w:sz w:val="16"/>
                <w:szCs w:val="16"/>
                <w:lang w:val="en-US" w:bidi="en-US"/>
              </w:rPr>
            </w:pPr>
          </w:p>
        </w:tc>
        <w:tc>
          <w:tcPr>
            <w:tcW w:w="528" w:type="dxa"/>
            <w:shd w:val="clear" w:color="auto" w:fill="FFFFFF"/>
            <w:tcMar>
              <w:top w:w="60" w:type="dxa"/>
              <w:left w:w="60" w:type="dxa"/>
              <w:bottom w:w="60" w:type="dxa"/>
              <w:right w:w="60" w:type="dxa"/>
            </w:tcMar>
          </w:tcPr>
          <w:p w14:paraId="70955BDE" w14:textId="77777777" w:rsidR="00A54846" w:rsidRDefault="00A54846">
            <w:pPr>
              <w:pStyle w:val="Para"/>
              <w:spacing w:after="0"/>
              <w:jc w:val="center"/>
              <w:rPr>
                <w:noProof/>
                <w:sz w:val="16"/>
                <w:szCs w:val="16"/>
                <w:lang w:val="en-US" w:bidi="en-US"/>
              </w:rPr>
            </w:pPr>
          </w:p>
        </w:tc>
        <w:tc>
          <w:tcPr>
            <w:tcW w:w="506" w:type="dxa"/>
            <w:shd w:val="clear" w:color="auto" w:fill="FFFFFF"/>
            <w:tcMar>
              <w:top w:w="60" w:type="dxa"/>
              <w:left w:w="60" w:type="dxa"/>
              <w:bottom w:w="60" w:type="dxa"/>
              <w:right w:w="60" w:type="dxa"/>
            </w:tcMar>
          </w:tcPr>
          <w:p w14:paraId="2CF24205" w14:textId="77777777" w:rsidR="00A54846" w:rsidRDefault="00A54846">
            <w:pPr>
              <w:pStyle w:val="Para"/>
              <w:spacing w:after="0"/>
              <w:jc w:val="center"/>
              <w:rPr>
                <w:noProof/>
                <w:sz w:val="16"/>
                <w:szCs w:val="16"/>
                <w:lang w:val="en-US" w:bidi="en-US"/>
              </w:rPr>
            </w:pPr>
          </w:p>
        </w:tc>
        <w:tc>
          <w:tcPr>
            <w:tcW w:w="538" w:type="dxa"/>
            <w:gridSpan w:val="2"/>
            <w:shd w:val="clear" w:color="auto" w:fill="FFFFFF"/>
            <w:tcMar>
              <w:top w:w="60" w:type="dxa"/>
              <w:left w:w="60" w:type="dxa"/>
              <w:bottom w:w="60" w:type="dxa"/>
              <w:right w:w="60" w:type="dxa"/>
            </w:tcMar>
          </w:tcPr>
          <w:p w14:paraId="64DB82B8" w14:textId="77777777" w:rsidR="00A54846" w:rsidRDefault="00A54846">
            <w:pPr>
              <w:pStyle w:val="Para"/>
              <w:spacing w:after="0"/>
              <w:jc w:val="center"/>
              <w:rPr>
                <w:noProof/>
                <w:sz w:val="16"/>
                <w:szCs w:val="16"/>
                <w:lang w:val="en-US" w:bidi="en-US"/>
              </w:rPr>
            </w:pPr>
          </w:p>
        </w:tc>
        <w:tc>
          <w:tcPr>
            <w:tcW w:w="516" w:type="dxa"/>
            <w:shd w:val="clear" w:color="auto" w:fill="FFFFFF"/>
            <w:tcMar>
              <w:top w:w="60" w:type="dxa"/>
              <w:left w:w="60" w:type="dxa"/>
              <w:bottom w:w="60" w:type="dxa"/>
              <w:right w:w="60" w:type="dxa"/>
            </w:tcMar>
          </w:tcPr>
          <w:p w14:paraId="5432C2EE" w14:textId="77777777" w:rsidR="00A54846" w:rsidRDefault="00A54846">
            <w:pPr>
              <w:pStyle w:val="Para"/>
              <w:spacing w:after="0"/>
              <w:jc w:val="center"/>
              <w:rPr>
                <w:noProof/>
                <w:sz w:val="16"/>
                <w:szCs w:val="16"/>
                <w:lang w:val="en-US" w:bidi="en-US"/>
              </w:rPr>
            </w:pPr>
          </w:p>
        </w:tc>
        <w:tc>
          <w:tcPr>
            <w:tcW w:w="566" w:type="dxa"/>
            <w:shd w:val="clear" w:color="auto" w:fill="FFFFFF"/>
            <w:tcMar>
              <w:top w:w="60" w:type="dxa"/>
              <w:left w:w="60" w:type="dxa"/>
              <w:bottom w:w="60" w:type="dxa"/>
              <w:right w:w="60" w:type="dxa"/>
            </w:tcMar>
          </w:tcPr>
          <w:p w14:paraId="3A6D087E" w14:textId="77777777" w:rsidR="00A54846" w:rsidRDefault="00A54846">
            <w:pPr>
              <w:pStyle w:val="Para"/>
              <w:spacing w:after="0"/>
              <w:jc w:val="center"/>
              <w:rPr>
                <w:noProof/>
                <w:sz w:val="16"/>
                <w:szCs w:val="16"/>
                <w:lang w:val="en-US" w:bidi="en-US"/>
              </w:rPr>
            </w:pPr>
          </w:p>
        </w:tc>
        <w:tc>
          <w:tcPr>
            <w:tcW w:w="526" w:type="dxa"/>
            <w:shd w:val="clear" w:color="auto" w:fill="FFFFFF"/>
            <w:tcMar>
              <w:top w:w="60" w:type="dxa"/>
              <w:left w:w="60" w:type="dxa"/>
              <w:bottom w:w="60" w:type="dxa"/>
              <w:right w:w="60" w:type="dxa"/>
            </w:tcMar>
          </w:tcPr>
          <w:p w14:paraId="03EB900F" w14:textId="77777777" w:rsidR="00A54846" w:rsidRDefault="00A54846">
            <w:pPr>
              <w:pStyle w:val="Para"/>
              <w:spacing w:after="0"/>
              <w:jc w:val="center"/>
              <w:rPr>
                <w:noProof/>
                <w:sz w:val="16"/>
                <w:szCs w:val="16"/>
                <w:lang w:val="en-US" w:bidi="en-US"/>
              </w:rPr>
            </w:pPr>
          </w:p>
        </w:tc>
        <w:tc>
          <w:tcPr>
            <w:tcW w:w="526" w:type="dxa"/>
            <w:shd w:val="clear" w:color="auto" w:fill="FFFFFF"/>
            <w:tcMar>
              <w:top w:w="60" w:type="dxa"/>
              <w:left w:w="60" w:type="dxa"/>
              <w:bottom w:w="60" w:type="dxa"/>
              <w:right w:w="60" w:type="dxa"/>
            </w:tcMar>
          </w:tcPr>
          <w:p w14:paraId="7F025175" w14:textId="77777777" w:rsidR="00A54846" w:rsidRDefault="00A54846">
            <w:pPr>
              <w:pStyle w:val="Para"/>
              <w:spacing w:after="0"/>
              <w:jc w:val="center"/>
              <w:rPr>
                <w:noProof/>
                <w:sz w:val="16"/>
                <w:szCs w:val="16"/>
                <w:lang w:val="en-US" w:bidi="en-US"/>
              </w:rPr>
            </w:pPr>
          </w:p>
        </w:tc>
        <w:tc>
          <w:tcPr>
            <w:tcW w:w="526" w:type="dxa"/>
            <w:shd w:val="clear" w:color="auto" w:fill="FFFFFF"/>
            <w:tcMar>
              <w:top w:w="60" w:type="dxa"/>
              <w:left w:w="60" w:type="dxa"/>
              <w:bottom w:w="60" w:type="dxa"/>
              <w:right w:w="60" w:type="dxa"/>
            </w:tcMar>
          </w:tcPr>
          <w:p w14:paraId="16FBF6AF" w14:textId="77777777" w:rsidR="00A54846" w:rsidRDefault="00A54846">
            <w:pPr>
              <w:pStyle w:val="Para"/>
              <w:spacing w:after="0"/>
              <w:jc w:val="center"/>
              <w:rPr>
                <w:noProof/>
                <w:sz w:val="16"/>
                <w:szCs w:val="16"/>
                <w:lang w:val="en-US" w:bidi="en-US"/>
              </w:rPr>
            </w:pPr>
          </w:p>
        </w:tc>
        <w:tc>
          <w:tcPr>
            <w:tcW w:w="526" w:type="dxa"/>
            <w:shd w:val="clear" w:color="auto" w:fill="FFFFFF"/>
            <w:tcMar>
              <w:top w:w="60" w:type="dxa"/>
              <w:left w:w="60" w:type="dxa"/>
              <w:bottom w:w="60" w:type="dxa"/>
              <w:right w:w="60" w:type="dxa"/>
            </w:tcMar>
          </w:tcPr>
          <w:p w14:paraId="5B3350BE" w14:textId="77777777" w:rsidR="00A54846" w:rsidRDefault="00A54846">
            <w:pPr>
              <w:pStyle w:val="Para"/>
              <w:spacing w:after="0"/>
              <w:jc w:val="center"/>
              <w:rPr>
                <w:noProof/>
                <w:sz w:val="16"/>
                <w:szCs w:val="16"/>
                <w:lang w:val="en-US" w:bidi="en-US"/>
              </w:rPr>
            </w:pPr>
          </w:p>
        </w:tc>
        <w:tc>
          <w:tcPr>
            <w:tcW w:w="526" w:type="dxa"/>
            <w:shd w:val="clear" w:color="auto" w:fill="FFFFFF"/>
            <w:tcMar>
              <w:top w:w="60" w:type="dxa"/>
              <w:left w:w="60" w:type="dxa"/>
              <w:bottom w:w="60" w:type="dxa"/>
              <w:right w:w="60" w:type="dxa"/>
            </w:tcMar>
          </w:tcPr>
          <w:p w14:paraId="5AAD7990" w14:textId="77777777" w:rsidR="00A54846" w:rsidRDefault="00A54846">
            <w:pPr>
              <w:pStyle w:val="Para"/>
              <w:spacing w:after="0"/>
              <w:jc w:val="center"/>
              <w:rPr>
                <w:noProof/>
                <w:sz w:val="16"/>
                <w:szCs w:val="16"/>
                <w:lang w:val="en-US" w:bidi="en-US"/>
              </w:rPr>
            </w:pPr>
          </w:p>
        </w:tc>
        <w:tc>
          <w:tcPr>
            <w:tcW w:w="524" w:type="dxa"/>
            <w:shd w:val="clear" w:color="auto" w:fill="FFFFFF"/>
            <w:tcMar>
              <w:top w:w="60" w:type="dxa"/>
              <w:left w:w="60" w:type="dxa"/>
              <w:bottom w:w="60" w:type="dxa"/>
              <w:right w:w="60" w:type="dxa"/>
            </w:tcMar>
          </w:tcPr>
          <w:p w14:paraId="4C1D82C5" w14:textId="77777777" w:rsidR="00A54846" w:rsidRDefault="00A54846">
            <w:pPr>
              <w:pStyle w:val="Para"/>
              <w:spacing w:after="0"/>
              <w:jc w:val="center"/>
              <w:rPr>
                <w:noProof/>
                <w:sz w:val="16"/>
                <w:szCs w:val="16"/>
                <w:lang w:val="en-US" w:bidi="en-US"/>
              </w:rPr>
            </w:pPr>
          </w:p>
        </w:tc>
        <w:tc>
          <w:tcPr>
            <w:tcW w:w="544" w:type="dxa"/>
            <w:gridSpan w:val="3"/>
            <w:shd w:val="clear" w:color="auto" w:fill="FFFFFF"/>
            <w:tcMar>
              <w:top w:w="60" w:type="dxa"/>
              <w:left w:w="60" w:type="dxa"/>
              <w:bottom w:w="60" w:type="dxa"/>
              <w:right w:w="60" w:type="dxa"/>
            </w:tcMar>
          </w:tcPr>
          <w:p w14:paraId="232EAA44" w14:textId="77777777" w:rsidR="00A54846" w:rsidRDefault="00A54846">
            <w:pPr>
              <w:pStyle w:val="Para"/>
              <w:spacing w:after="0"/>
              <w:jc w:val="center"/>
              <w:rPr>
                <w:noProof/>
                <w:sz w:val="16"/>
                <w:szCs w:val="16"/>
                <w:lang w:val="en-US" w:bidi="en-US"/>
              </w:rPr>
            </w:pPr>
          </w:p>
        </w:tc>
        <w:tc>
          <w:tcPr>
            <w:tcW w:w="860" w:type="dxa"/>
            <w:shd w:val="clear" w:color="auto" w:fill="FFFFFF"/>
            <w:tcMar>
              <w:top w:w="60" w:type="dxa"/>
              <w:left w:w="60" w:type="dxa"/>
              <w:bottom w:w="60" w:type="dxa"/>
              <w:right w:w="60" w:type="dxa"/>
            </w:tcMar>
          </w:tcPr>
          <w:p w14:paraId="5046BF5B" w14:textId="77777777" w:rsidR="00A54846" w:rsidRDefault="00A54846">
            <w:pPr>
              <w:pStyle w:val="Para"/>
              <w:spacing w:after="0"/>
              <w:jc w:val="center"/>
              <w:rPr>
                <w:noProof/>
                <w:sz w:val="16"/>
                <w:szCs w:val="16"/>
                <w:lang w:val="en-US" w:bidi="en-US"/>
              </w:rPr>
            </w:pPr>
          </w:p>
        </w:tc>
        <w:tc>
          <w:tcPr>
            <w:tcW w:w="905" w:type="dxa"/>
            <w:shd w:val="clear" w:color="auto" w:fill="FFFFFF"/>
            <w:tcMar>
              <w:top w:w="60" w:type="dxa"/>
              <w:left w:w="60" w:type="dxa"/>
              <w:bottom w:w="60" w:type="dxa"/>
              <w:right w:w="60" w:type="dxa"/>
            </w:tcMar>
          </w:tcPr>
          <w:p w14:paraId="4527D8EE" w14:textId="77777777" w:rsidR="00A54846" w:rsidRDefault="00A54846">
            <w:pPr>
              <w:pStyle w:val="Para"/>
              <w:spacing w:after="0"/>
              <w:jc w:val="center"/>
              <w:rPr>
                <w:noProof/>
                <w:sz w:val="16"/>
                <w:szCs w:val="16"/>
                <w:lang w:val="en-US" w:bidi="en-US"/>
              </w:rPr>
            </w:pPr>
          </w:p>
        </w:tc>
        <w:tc>
          <w:tcPr>
            <w:tcW w:w="761" w:type="dxa"/>
            <w:shd w:val="clear" w:color="auto" w:fill="FFFFFF"/>
            <w:tcMar>
              <w:top w:w="60" w:type="dxa"/>
              <w:left w:w="60" w:type="dxa"/>
              <w:bottom w:w="60" w:type="dxa"/>
              <w:right w:w="60" w:type="dxa"/>
            </w:tcMar>
          </w:tcPr>
          <w:p w14:paraId="24B9F841" w14:textId="77777777" w:rsidR="00A54846" w:rsidRDefault="00A54846">
            <w:pPr>
              <w:pStyle w:val="Para"/>
              <w:spacing w:after="0"/>
              <w:jc w:val="center"/>
              <w:rPr>
                <w:noProof/>
                <w:sz w:val="16"/>
                <w:szCs w:val="16"/>
                <w:lang w:val="en-US" w:bidi="en-US"/>
              </w:rPr>
            </w:pPr>
          </w:p>
        </w:tc>
        <w:tc>
          <w:tcPr>
            <w:tcW w:w="1058" w:type="dxa"/>
            <w:shd w:val="clear" w:color="auto" w:fill="FFFFFF"/>
            <w:tcMar>
              <w:top w:w="60" w:type="dxa"/>
              <w:left w:w="60" w:type="dxa"/>
              <w:bottom w:w="60" w:type="dxa"/>
              <w:right w:w="60" w:type="dxa"/>
            </w:tcMar>
          </w:tcPr>
          <w:p w14:paraId="0D75AEA2" w14:textId="77777777" w:rsidR="00A54846" w:rsidRDefault="00A54846">
            <w:pPr>
              <w:pStyle w:val="Para"/>
              <w:spacing w:after="0"/>
              <w:jc w:val="center"/>
              <w:rPr>
                <w:noProof/>
                <w:sz w:val="16"/>
                <w:szCs w:val="16"/>
                <w:lang w:val="en-US" w:bidi="en-US"/>
              </w:rPr>
            </w:pPr>
          </w:p>
        </w:tc>
      </w:tr>
      <w:tr w:rsidR="00A54846" w14:paraId="7BAF70DA" w14:textId="77777777">
        <w:tc>
          <w:tcPr>
            <w:tcW w:w="2005"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38496628" w14:textId="77777777" w:rsidR="00A54846" w:rsidRDefault="008A2731">
            <w:pPr>
              <w:pStyle w:val="Para"/>
              <w:spacing w:after="0"/>
              <w:jc w:val="left"/>
              <w:rPr>
                <w:b/>
                <w:noProof/>
                <w:sz w:val="16"/>
                <w:szCs w:val="16"/>
              </w:rPr>
            </w:pPr>
            <w:r>
              <w:rPr>
                <w:b/>
                <w:sz w:val="16"/>
              </w:rPr>
              <w:t xml:space="preserve">Sum (A </w:t>
            </w:r>
            <w:r>
              <w:rPr>
                <w:b/>
                <w:sz w:val="16"/>
                <w:highlight w:val="lightGray"/>
              </w:rPr>
              <w:t>+</w:t>
            </w:r>
            <w:r>
              <w:rPr>
                <w:b/>
                <w:sz w:val="16"/>
              </w:rPr>
              <w:t xml:space="preserve"> B)</w:t>
            </w:r>
          </w:p>
        </w:tc>
        <w:tc>
          <w:tcPr>
            <w:tcW w:w="527" w:type="dxa"/>
            <w:gridSpan w:val="2"/>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72E0D6C8" w14:textId="77777777" w:rsidR="00A54846" w:rsidRDefault="00A54846">
            <w:pPr>
              <w:pStyle w:val="Para"/>
              <w:spacing w:after="0"/>
              <w:rPr>
                <w:noProof/>
                <w:sz w:val="16"/>
                <w:szCs w:val="16"/>
                <w:lang w:val="en-US" w:bidi="en-US"/>
              </w:rPr>
            </w:pPr>
          </w:p>
        </w:tc>
        <w:tc>
          <w:tcPr>
            <w:tcW w:w="782"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369CB716" w14:textId="77777777" w:rsidR="00A54846" w:rsidRDefault="00A54846">
            <w:pPr>
              <w:pStyle w:val="Para"/>
              <w:spacing w:after="0"/>
              <w:jc w:val="center"/>
              <w:rPr>
                <w:noProof/>
                <w:sz w:val="16"/>
                <w:szCs w:val="16"/>
                <w:lang w:val="en-US" w:bidi="en-US"/>
              </w:rPr>
            </w:pPr>
          </w:p>
        </w:tc>
        <w:tc>
          <w:tcPr>
            <w:tcW w:w="539" w:type="dxa"/>
            <w:gridSpan w:val="2"/>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3528875B" w14:textId="77777777" w:rsidR="00A54846" w:rsidRDefault="008A2731">
            <w:pPr>
              <w:pStyle w:val="Para"/>
              <w:spacing w:after="0"/>
              <w:jc w:val="center"/>
              <w:rPr>
                <w:b/>
                <w:noProof/>
                <w:sz w:val="16"/>
                <w:szCs w:val="16"/>
              </w:rPr>
            </w:pPr>
            <w:r>
              <w:rPr>
                <w:b/>
                <w:sz w:val="16"/>
              </w:rPr>
              <w:t>%</w:t>
            </w:r>
          </w:p>
        </w:tc>
        <w:tc>
          <w:tcPr>
            <w:tcW w:w="527" w:type="dxa"/>
            <w:tcBorders>
              <w:top w:val="nil"/>
              <w:left w:val="single" w:sz="4" w:space="0" w:color="auto"/>
              <w:bottom w:val="nil"/>
              <w:right w:val="nil"/>
            </w:tcBorders>
            <w:shd w:val="clear" w:color="auto" w:fill="FFFFFF"/>
            <w:tcMar>
              <w:top w:w="60" w:type="dxa"/>
              <w:left w:w="60" w:type="dxa"/>
              <w:bottom w:w="60" w:type="dxa"/>
              <w:right w:w="60" w:type="dxa"/>
            </w:tcMar>
          </w:tcPr>
          <w:p w14:paraId="6EDD8905" w14:textId="77777777" w:rsidR="00A54846" w:rsidRDefault="00A54846">
            <w:pPr>
              <w:pStyle w:val="Para"/>
              <w:spacing w:after="0"/>
              <w:jc w:val="center"/>
              <w:rPr>
                <w:noProof/>
                <w:sz w:val="16"/>
                <w:szCs w:val="16"/>
                <w:lang w:val="en-US" w:bidi="en-US"/>
              </w:rPr>
            </w:pPr>
          </w:p>
        </w:tc>
        <w:tc>
          <w:tcPr>
            <w:tcW w:w="528" w:type="dxa"/>
            <w:shd w:val="clear" w:color="auto" w:fill="FFFFFF"/>
            <w:tcMar>
              <w:top w:w="60" w:type="dxa"/>
              <w:left w:w="60" w:type="dxa"/>
              <w:bottom w:w="60" w:type="dxa"/>
              <w:right w:w="60" w:type="dxa"/>
            </w:tcMar>
          </w:tcPr>
          <w:p w14:paraId="43DE7249" w14:textId="77777777" w:rsidR="00A54846" w:rsidRDefault="00A54846">
            <w:pPr>
              <w:pStyle w:val="Para"/>
              <w:spacing w:after="0"/>
              <w:jc w:val="center"/>
              <w:rPr>
                <w:noProof/>
                <w:sz w:val="16"/>
                <w:szCs w:val="16"/>
                <w:lang w:val="en-US" w:bidi="en-US"/>
              </w:rPr>
            </w:pPr>
          </w:p>
        </w:tc>
        <w:tc>
          <w:tcPr>
            <w:tcW w:w="506" w:type="dxa"/>
            <w:shd w:val="clear" w:color="auto" w:fill="FFFFFF"/>
            <w:tcMar>
              <w:top w:w="60" w:type="dxa"/>
              <w:left w:w="60" w:type="dxa"/>
              <w:bottom w:w="60" w:type="dxa"/>
              <w:right w:w="60" w:type="dxa"/>
            </w:tcMar>
          </w:tcPr>
          <w:p w14:paraId="47D342E5" w14:textId="77777777" w:rsidR="00A54846" w:rsidRDefault="00A54846">
            <w:pPr>
              <w:pStyle w:val="Para"/>
              <w:spacing w:after="0"/>
              <w:jc w:val="center"/>
              <w:rPr>
                <w:noProof/>
                <w:sz w:val="16"/>
                <w:szCs w:val="16"/>
                <w:lang w:val="en-US" w:bidi="en-US"/>
              </w:rPr>
            </w:pPr>
          </w:p>
        </w:tc>
        <w:tc>
          <w:tcPr>
            <w:tcW w:w="538" w:type="dxa"/>
            <w:gridSpan w:val="2"/>
            <w:shd w:val="clear" w:color="auto" w:fill="FFFFFF"/>
            <w:tcMar>
              <w:top w:w="60" w:type="dxa"/>
              <w:left w:w="60" w:type="dxa"/>
              <w:bottom w:w="60" w:type="dxa"/>
              <w:right w:w="60" w:type="dxa"/>
            </w:tcMar>
          </w:tcPr>
          <w:p w14:paraId="0EBA2602" w14:textId="77777777" w:rsidR="00A54846" w:rsidRDefault="00A54846">
            <w:pPr>
              <w:pStyle w:val="Para"/>
              <w:spacing w:after="0"/>
              <w:jc w:val="center"/>
              <w:rPr>
                <w:noProof/>
                <w:sz w:val="16"/>
                <w:szCs w:val="16"/>
                <w:lang w:val="en-US" w:bidi="en-US"/>
              </w:rPr>
            </w:pPr>
          </w:p>
        </w:tc>
        <w:tc>
          <w:tcPr>
            <w:tcW w:w="516" w:type="dxa"/>
            <w:shd w:val="clear" w:color="auto" w:fill="FFFFFF"/>
            <w:tcMar>
              <w:top w:w="60" w:type="dxa"/>
              <w:left w:w="60" w:type="dxa"/>
              <w:bottom w:w="60" w:type="dxa"/>
              <w:right w:w="60" w:type="dxa"/>
            </w:tcMar>
          </w:tcPr>
          <w:p w14:paraId="1650D3E6" w14:textId="77777777" w:rsidR="00A54846" w:rsidRDefault="00A54846">
            <w:pPr>
              <w:pStyle w:val="Para"/>
              <w:spacing w:after="0"/>
              <w:jc w:val="center"/>
              <w:rPr>
                <w:noProof/>
                <w:sz w:val="16"/>
                <w:szCs w:val="16"/>
                <w:lang w:val="en-US" w:bidi="en-US"/>
              </w:rPr>
            </w:pPr>
          </w:p>
        </w:tc>
        <w:tc>
          <w:tcPr>
            <w:tcW w:w="566" w:type="dxa"/>
            <w:shd w:val="clear" w:color="auto" w:fill="FFFFFF"/>
            <w:tcMar>
              <w:top w:w="60" w:type="dxa"/>
              <w:left w:w="60" w:type="dxa"/>
              <w:bottom w:w="60" w:type="dxa"/>
              <w:right w:w="60" w:type="dxa"/>
            </w:tcMar>
          </w:tcPr>
          <w:p w14:paraId="35DDE8BC" w14:textId="77777777" w:rsidR="00A54846" w:rsidRDefault="00A54846">
            <w:pPr>
              <w:pStyle w:val="Para"/>
              <w:spacing w:after="0"/>
              <w:jc w:val="center"/>
              <w:rPr>
                <w:noProof/>
                <w:sz w:val="16"/>
                <w:szCs w:val="16"/>
                <w:lang w:val="en-US" w:bidi="en-US"/>
              </w:rPr>
            </w:pPr>
          </w:p>
        </w:tc>
        <w:tc>
          <w:tcPr>
            <w:tcW w:w="526" w:type="dxa"/>
            <w:shd w:val="clear" w:color="auto" w:fill="FFFFFF"/>
            <w:tcMar>
              <w:top w:w="60" w:type="dxa"/>
              <w:left w:w="60" w:type="dxa"/>
              <w:bottom w:w="60" w:type="dxa"/>
              <w:right w:w="60" w:type="dxa"/>
            </w:tcMar>
          </w:tcPr>
          <w:p w14:paraId="1D364765" w14:textId="77777777" w:rsidR="00A54846" w:rsidRDefault="00A54846">
            <w:pPr>
              <w:pStyle w:val="Para"/>
              <w:spacing w:after="0"/>
              <w:jc w:val="center"/>
              <w:rPr>
                <w:noProof/>
                <w:sz w:val="16"/>
                <w:szCs w:val="16"/>
                <w:lang w:val="en-US" w:bidi="en-US"/>
              </w:rPr>
            </w:pPr>
          </w:p>
        </w:tc>
        <w:tc>
          <w:tcPr>
            <w:tcW w:w="526" w:type="dxa"/>
            <w:shd w:val="clear" w:color="auto" w:fill="FFFFFF"/>
            <w:tcMar>
              <w:top w:w="60" w:type="dxa"/>
              <w:left w:w="60" w:type="dxa"/>
              <w:bottom w:w="60" w:type="dxa"/>
              <w:right w:w="60" w:type="dxa"/>
            </w:tcMar>
          </w:tcPr>
          <w:p w14:paraId="465DB207" w14:textId="77777777" w:rsidR="00A54846" w:rsidRDefault="00A54846">
            <w:pPr>
              <w:pStyle w:val="Para"/>
              <w:spacing w:after="0"/>
              <w:jc w:val="center"/>
              <w:rPr>
                <w:noProof/>
                <w:sz w:val="16"/>
                <w:szCs w:val="16"/>
                <w:lang w:val="en-US" w:bidi="en-US"/>
              </w:rPr>
            </w:pPr>
          </w:p>
        </w:tc>
        <w:tc>
          <w:tcPr>
            <w:tcW w:w="526" w:type="dxa"/>
            <w:shd w:val="clear" w:color="auto" w:fill="FFFFFF"/>
            <w:tcMar>
              <w:top w:w="60" w:type="dxa"/>
              <w:left w:w="60" w:type="dxa"/>
              <w:bottom w:w="60" w:type="dxa"/>
              <w:right w:w="60" w:type="dxa"/>
            </w:tcMar>
          </w:tcPr>
          <w:p w14:paraId="13838333" w14:textId="77777777" w:rsidR="00A54846" w:rsidRDefault="00A54846">
            <w:pPr>
              <w:pStyle w:val="Para"/>
              <w:spacing w:after="0"/>
              <w:jc w:val="center"/>
              <w:rPr>
                <w:noProof/>
                <w:sz w:val="16"/>
                <w:szCs w:val="16"/>
                <w:lang w:val="en-US" w:bidi="en-US"/>
              </w:rPr>
            </w:pPr>
          </w:p>
        </w:tc>
        <w:tc>
          <w:tcPr>
            <w:tcW w:w="526" w:type="dxa"/>
            <w:shd w:val="clear" w:color="auto" w:fill="FFFFFF"/>
            <w:tcMar>
              <w:top w:w="60" w:type="dxa"/>
              <w:left w:w="60" w:type="dxa"/>
              <w:bottom w:w="60" w:type="dxa"/>
              <w:right w:w="60" w:type="dxa"/>
            </w:tcMar>
          </w:tcPr>
          <w:p w14:paraId="374CE809" w14:textId="77777777" w:rsidR="00A54846" w:rsidRDefault="00A54846">
            <w:pPr>
              <w:pStyle w:val="Para"/>
              <w:spacing w:after="0"/>
              <w:jc w:val="center"/>
              <w:rPr>
                <w:noProof/>
                <w:sz w:val="16"/>
                <w:szCs w:val="16"/>
                <w:lang w:val="en-US" w:bidi="en-US"/>
              </w:rPr>
            </w:pPr>
          </w:p>
        </w:tc>
        <w:tc>
          <w:tcPr>
            <w:tcW w:w="526" w:type="dxa"/>
            <w:shd w:val="clear" w:color="auto" w:fill="FFFFFF"/>
            <w:tcMar>
              <w:top w:w="60" w:type="dxa"/>
              <w:left w:w="60" w:type="dxa"/>
              <w:bottom w:w="60" w:type="dxa"/>
              <w:right w:w="60" w:type="dxa"/>
            </w:tcMar>
          </w:tcPr>
          <w:p w14:paraId="1C6E7711" w14:textId="77777777" w:rsidR="00A54846" w:rsidRDefault="00A54846">
            <w:pPr>
              <w:pStyle w:val="Para"/>
              <w:spacing w:after="0"/>
              <w:jc w:val="center"/>
              <w:rPr>
                <w:noProof/>
                <w:sz w:val="16"/>
                <w:szCs w:val="16"/>
                <w:lang w:val="en-US" w:bidi="en-US"/>
              </w:rPr>
            </w:pPr>
          </w:p>
        </w:tc>
        <w:tc>
          <w:tcPr>
            <w:tcW w:w="524" w:type="dxa"/>
            <w:shd w:val="clear" w:color="auto" w:fill="FFFFFF"/>
            <w:tcMar>
              <w:top w:w="60" w:type="dxa"/>
              <w:left w:w="60" w:type="dxa"/>
              <w:bottom w:w="60" w:type="dxa"/>
              <w:right w:w="60" w:type="dxa"/>
            </w:tcMar>
          </w:tcPr>
          <w:p w14:paraId="54DA79D4" w14:textId="77777777" w:rsidR="00A54846" w:rsidRDefault="00A54846">
            <w:pPr>
              <w:pStyle w:val="Para"/>
              <w:spacing w:after="0"/>
              <w:jc w:val="center"/>
              <w:rPr>
                <w:noProof/>
                <w:sz w:val="16"/>
                <w:szCs w:val="16"/>
                <w:lang w:val="en-US" w:bidi="en-US"/>
              </w:rPr>
            </w:pPr>
          </w:p>
        </w:tc>
        <w:tc>
          <w:tcPr>
            <w:tcW w:w="544" w:type="dxa"/>
            <w:gridSpan w:val="3"/>
            <w:shd w:val="clear" w:color="auto" w:fill="FFFFFF"/>
            <w:tcMar>
              <w:top w:w="60" w:type="dxa"/>
              <w:left w:w="60" w:type="dxa"/>
              <w:bottom w:w="60" w:type="dxa"/>
              <w:right w:w="60" w:type="dxa"/>
            </w:tcMar>
          </w:tcPr>
          <w:p w14:paraId="5C808BC3" w14:textId="77777777" w:rsidR="00A54846" w:rsidRDefault="00A54846">
            <w:pPr>
              <w:pStyle w:val="Para"/>
              <w:spacing w:after="0"/>
              <w:jc w:val="center"/>
              <w:rPr>
                <w:noProof/>
                <w:sz w:val="16"/>
                <w:szCs w:val="16"/>
                <w:lang w:val="en-US" w:bidi="en-US"/>
              </w:rPr>
            </w:pPr>
          </w:p>
        </w:tc>
        <w:tc>
          <w:tcPr>
            <w:tcW w:w="860" w:type="dxa"/>
            <w:shd w:val="clear" w:color="auto" w:fill="FFFFFF"/>
            <w:tcMar>
              <w:top w:w="60" w:type="dxa"/>
              <w:left w:w="60" w:type="dxa"/>
              <w:bottom w:w="60" w:type="dxa"/>
              <w:right w:w="60" w:type="dxa"/>
            </w:tcMar>
          </w:tcPr>
          <w:p w14:paraId="4A7E9833" w14:textId="77777777" w:rsidR="00A54846" w:rsidRDefault="00A54846">
            <w:pPr>
              <w:pStyle w:val="Para"/>
              <w:spacing w:after="0"/>
              <w:jc w:val="center"/>
              <w:rPr>
                <w:noProof/>
                <w:sz w:val="16"/>
                <w:szCs w:val="16"/>
                <w:lang w:val="en-US" w:bidi="en-US"/>
              </w:rPr>
            </w:pPr>
          </w:p>
        </w:tc>
        <w:tc>
          <w:tcPr>
            <w:tcW w:w="905" w:type="dxa"/>
            <w:shd w:val="clear" w:color="auto" w:fill="FFFFFF"/>
            <w:tcMar>
              <w:top w:w="60" w:type="dxa"/>
              <w:left w:w="60" w:type="dxa"/>
              <w:bottom w:w="60" w:type="dxa"/>
              <w:right w:w="60" w:type="dxa"/>
            </w:tcMar>
          </w:tcPr>
          <w:p w14:paraId="75A1A6A1" w14:textId="77777777" w:rsidR="00A54846" w:rsidRDefault="00A54846">
            <w:pPr>
              <w:pStyle w:val="Para"/>
              <w:spacing w:after="0"/>
              <w:jc w:val="center"/>
              <w:rPr>
                <w:noProof/>
                <w:sz w:val="16"/>
                <w:szCs w:val="16"/>
                <w:lang w:val="en-US" w:bidi="en-US"/>
              </w:rPr>
            </w:pPr>
          </w:p>
        </w:tc>
        <w:tc>
          <w:tcPr>
            <w:tcW w:w="761" w:type="dxa"/>
            <w:shd w:val="clear" w:color="auto" w:fill="FFFFFF"/>
            <w:tcMar>
              <w:top w:w="60" w:type="dxa"/>
              <w:left w:w="60" w:type="dxa"/>
              <w:bottom w:w="60" w:type="dxa"/>
              <w:right w:w="60" w:type="dxa"/>
            </w:tcMar>
          </w:tcPr>
          <w:p w14:paraId="558260FA" w14:textId="77777777" w:rsidR="00A54846" w:rsidRDefault="00A54846">
            <w:pPr>
              <w:pStyle w:val="Para"/>
              <w:spacing w:after="0"/>
              <w:jc w:val="center"/>
              <w:rPr>
                <w:noProof/>
                <w:sz w:val="16"/>
                <w:szCs w:val="16"/>
                <w:lang w:val="en-US" w:bidi="en-US"/>
              </w:rPr>
            </w:pPr>
          </w:p>
        </w:tc>
        <w:tc>
          <w:tcPr>
            <w:tcW w:w="1058" w:type="dxa"/>
            <w:shd w:val="clear" w:color="auto" w:fill="FFFFFF"/>
            <w:tcMar>
              <w:top w:w="60" w:type="dxa"/>
              <w:left w:w="60" w:type="dxa"/>
              <w:bottom w:w="60" w:type="dxa"/>
              <w:right w:w="60" w:type="dxa"/>
            </w:tcMar>
          </w:tcPr>
          <w:p w14:paraId="05CF45A5" w14:textId="77777777" w:rsidR="00A54846" w:rsidRDefault="00A54846">
            <w:pPr>
              <w:pStyle w:val="Para"/>
              <w:spacing w:after="0"/>
              <w:jc w:val="center"/>
              <w:rPr>
                <w:noProof/>
                <w:sz w:val="16"/>
                <w:szCs w:val="16"/>
                <w:lang w:val="en-US" w:bidi="en-US"/>
              </w:rPr>
            </w:pPr>
          </w:p>
        </w:tc>
      </w:tr>
      <w:tr w:rsidR="00A54846" w14:paraId="73FFEFBF" w14:textId="77777777">
        <w:tc>
          <w:tcPr>
            <w:tcW w:w="14316" w:type="dxa"/>
            <w:gridSpan w:val="26"/>
            <w:shd w:val="clear" w:color="auto" w:fill="FFFFFF"/>
            <w:tcMar>
              <w:top w:w="60" w:type="dxa"/>
              <w:left w:w="60" w:type="dxa"/>
              <w:bottom w:w="60" w:type="dxa"/>
              <w:right w:w="60" w:type="dxa"/>
            </w:tcMar>
            <w:vAlign w:val="bottom"/>
            <w:hideMark/>
          </w:tcPr>
          <w:p w14:paraId="148957F4" w14:textId="77777777" w:rsidR="00A54846" w:rsidRDefault="008A2731">
            <w:pPr>
              <w:pStyle w:val="Para"/>
              <w:spacing w:after="0"/>
              <w:ind w:left="480" w:hanging="480"/>
              <w:rPr>
                <w:noProof/>
                <w:sz w:val="16"/>
                <w:szCs w:val="16"/>
              </w:rPr>
            </w:pPr>
            <w:r>
              <w:rPr>
                <w:sz w:val="16"/>
              </w:rPr>
              <w:t xml:space="preserve">(1) </w:t>
            </w:r>
            <w:r>
              <w:rPr>
                <w:sz w:val="16"/>
              </w:rPr>
              <w:tab/>
              <w:t>Aktivitet 1 er i sin helhet omfattet av taksonomien. Imidlertid er bare en del av den taksonomiforenlig. Derfor kan aktivitet 1 rapporteres under både A1 og A2. Imidlertid er det bare den andelen som rapporteres under A1, som kan regnes som taksonomiforenlig i det ikke-finansielle foretakets KPI for omsetning.</w:t>
            </w:r>
          </w:p>
        </w:tc>
      </w:tr>
    </w:tbl>
    <w:p w14:paraId="3C9D76DC" w14:textId="77777777" w:rsidR="00A54846" w:rsidRDefault="008A2731">
      <w:pPr>
        <w:pStyle w:val="AnnexNormal"/>
        <w:spacing w:after="120"/>
      </w:pPr>
      <w:r>
        <w:lastRenderedPageBreak/>
        <w:t>Kolonne 21 bør fylles ut for omstillingsaktiviteter som bidrar til begrensning av klimaendringer.</w:t>
      </w:r>
    </w:p>
    <w:p w14:paraId="7FE5B527" w14:textId="77777777" w:rsidR="00A54846" w:rsidRDefault="008A2731">
      <w:pPr>
        <w:pStyle w:val="AnnexNormal"/>
        <w:spacing w:after="0"/>
      </w:pPr>
      <w:r>
        <w:t>For aktiviteter oppført under A2, er det frivillig for ikke-finansielle foretak å fylle ut kolonne 5–17.</w:t>
      </w:r>
      <w:r>
        <w:br w:type="page"/>
      </w:r>
    </w:p>
    <w:p w14:paraId="2A639434" w14:textId="77777777" w:rsidR="00A54846" w:rsidRDefault="008A2731">
      <w:pPr>
        <w:pStyle w:val="AnnexGrSeq1"/>
        <w:spacing w:line="240" w:lineRule="exact"/>
        <w:jc w:val="both"/>
        <w:rPr>
          <w:sz w:val="18"/>
        </w:rPr>
      </w:pPr>
      <w:r>
        <w:rPr>
          <w:i/>
          <w:sz w:val="18"/>
        </w:rPr>
        <w:lastRenderedPageBreak/>
        <w:t>Mal: Andel av investeringsutgiftene for produkter eller tjenester som er forbundet med taksonomiforenlige økonomiske aktiviteter – opplysninger for år N</w:t>
      </w:r>
    </w:p>
    <w:tbl>
      <w:tblPr>
        <w:tblOverlap w:val="never"/>
        <w:tblW w:w="0" w:type="auto"/>
        <w:tblInd w:w="72" w:type="dxa"/>
        <w:tblLayout w:type="fixed"/>
        <w:tblCellMar>
          <w:left w:w="10" w:type="dxa"/>
          <w:right w:w="10" w:type="dxa"/>
        </w:tblCellMar>
        <w:tblLook w:val="04A0" w:firstRow="1" w:lastRow="0" w:firstColumn="1" w:lastColumn="0" w:noHBand="0" w:noVBand="1"/>
      </w:tblPr>
      <w:tblGrid>
        <w:gridCol w:w="2005"/>
        <w:gridCol w:w="7"/>
        <w:gridCol w:w="520"/>
        <w:gridCol w:w="782"/>
        <w:gridCol w:w="6"/>
        <w:gridCol w:w="533"/>
        <w:gridCol w:w="527"/>
        <w:gridCol w:w="528"/>
        <w:gridCol w:w="513"/>
        <w:gridCol w:w="531"/>
        <w:gridCol w:w="516"/>
        <w:gridCol w:w="566"/>
        <w:gridCol w:w="526"/>
        <w:gridCol w:w="526"/>
        <w:gridCol w:w="526"/>
        <w:gridCol w:w="526"/>
        <w:gridCol w:w="526"/>
        <w:gridCol w:w="524"/>
        <w:gridCol w:w="528"/>
        <w:gridCol w:w="876"/>
        <w:gridCol w:w="905"/>
        <w:gridCol w:w="761"/>
        <w:gridCol w:w="1059"/>
      </w:tblGrid>
      <w:tr w:rsidR="00A54846" w14:paraId="02B9EDAF" w14:textId="77777777">
        <w:trPr>
          <w:tblHeader/>
        </w:trPr>
        <w:tc>
          <w:tcPr>
            <w:tcW w:w="3853" w:type="dxa"/>
            <w:gridSpan w:val="6"/>
            <w:shd w:val="clear" w:color="auto" w:fill="FFFFFF"/>
            <w:tcMar>
              <w:top w:w="60" w:type="dxa"/>
              <w:left w:w="60" w:type="dxa"/>
              <w:bottom w:w="60" w:type="dxa"/>
              <w:right w:w="60" w:type="dxa"/>
            </w:tcMar>
          </w:tcPr>
          <w:p w14:paraId="49394C42" w14:textId="77777777" w:rsidR="00A54846" w:rsidRPr="006A792F" w:rsidRDefault="00A54846">
            <w:pPr>
              <w:pStyle w:val="Para"/>
              <w:spacing w:after="0" w:line="240" w:lineRule="auto"/>
              <w:jc w:val="center"/>
              <w:rPr>
                <w:noProof/>
                <w:sz w:val="16"/>
                <w:szCs w:val="16"/>
                <w:lang w:bidi="en-US"/>
              </w:rPr>
            </w:pPr>
          </w:p>
        </w:tc>
        <w:tc>
          <w:tcPr>
            <w:tcW w:w="3181" w:type="dxa"/>
            <w:gridSpan w:val="6"/>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362F50C0" w14:textId="77777777" w:rsidR="00A54846" w:rsidRDefault="008A2731">
            <w:pPr>
              <w:pStyle w:val="Para"/>
              <w:spacing w:after="0" w:line="240" w:lineRule="auto"/>
              <w:jc w:val="center"/>
              <w:rPr>
                <w:noProof/>
                <w:sz w:val="16"/>
                <w:szCs w:val="16"/>
              </w:rPr>
            </w:pPr>
            <w:r>
              <w:rPr>
                <w:sz w:val="16"/>
              </w:rPr>
              <w:t>Kriterier for vesentlig bidrag</w:t>
            </w:r>
          </w:p>
        </w:tc>
        <w:tc>
          <w:tcPr>
            <w:tcW w:w="3154" w:type="dxa"/>
            <w:gridSpan w:val="6"/>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5039A83F" w14:textId="77777777" w:rsidR="00A54846" w:rsidRDefault="008A2731">
            <w:pPr>
              <w:pStyle w:val="Para"/>
              <w:spacing w:after="120" w:line="240" w:lineRule="auto"/>
              <w:jc w:val="center"/>
              <w:rPr>
                <w:noProof/>
                <w:sz w:val="16"/>
                <w:szCs w:val="16"/>
              </w:rPr>
            </w:pPr>
            <w:r>
              <w:rPr>
                <w:sz w:val="16"/>
              </w:rPr>
              <w:t>Kriterier mht. at aktiviteten ikke er til betydelig skade</w:t>
            </w:r>
          </w:p>
          <w:p w14:paraId="4EF85233" w14:textId="77777777" w:rsidR="00A54846" w:rsidRDefault="008A2731">
            <w:pPr>
              <w:pStyle w:val="Para"/>
              <w:spacing w:after="0" w:line="240" w:lineRule="auto"/>
              <w:jc w:val="center"/>
              <w:rPr>
                <w:noProof/>
                <w:sz w:val="16"/>
                <w:szCs w:val="16"/>
              </w:rPr>
            </w:pPr>
            <w:r>
              <w:rPr>
                <w:sz w:val="16"/>
              </w:rPr>
              <w:t>(DNSH)</w:t>
            </w:r>
          </w:p>
        </w:tc>
        <w:tc>
          <w:tcPr>
            <w:tcW w:w="4129" w:type="dxa"/>
            <w:gridSpan w:val="5"/>
            <w:tcBorders>
              <w:top w:val="nil"/>
              <w:left w:val="single" w:sz="4" w:space="0" w:color="auto"/>
              <w:bottom w:val="nil"/>
              <w:right w:val="nil"/>
            </w:tcBorders>
            <w:shd w:val="clear" w:color="auto" w:fill="FFFFFF"/>
            <w:tcMar>
              <w:top w:w="60" w:type="dxa"/>
              <w:left w:w="60" w:type="dxa"/>
              <w:bottom w:w="60" w:type="dxa"/>
              <w:right w:w="60" w:type="dxa"/>
            </w:tcMar>
          </w:tcPr>
          <w:p w14:paraId="27765C26" w14:textId="77777777" w:rsidR="00A54846" w:rsidRDefault="00A54846">
            <w:pPr>
              <w:pStyle w:val="Para"/>
              <w:spacing w:after="0" w:line="240" w:lineRule="auto"/>
              <w:jc w:val="center"/>
              <w:rPr>
                <w:noProof/>
                <w:sz w:val="16"/>
                <w:szCs w:val="16"/>
                <w:lang w:val="en-US" w:bidi="en-US"/>
              </w:rPr>
            </w:pPr>
          </w:p>
        </w:tc>
      </w:tr>
      <w:tr w:rsidR="00A54846" w14:paraId="5EF7AABD" w14:textId="77777777">
        <w:trPr>
          <w:trHeight w:val="2906"/>
          <w:tblHeader/>
        </w:trPr>
        <w:tc>
          <w:tcPr>
            <w:tcW w:w="2012"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31DFF7D1" w14:textId="77777777" w:rsidR="00A54846" w:rsidRDefault="008A2731">
            <w:pPr>
              <w:pStyle w:val="Para"/>
              <w:spacing w:after="0" w:line="240" w:lineRule="auto"/>
              <w:jc w:val="center"/>
              <w:rPr>
                <w:b/>
                <w:noProof/>
                <w:sz w:val="16"/>
                <w:szCs w:val="16"/>
              </w:rPr>
            </w:pPr>
            <w:r>
              <w:rPr>
                <w:b/>
                <w:sz w:val="16"/>
              </w:rPr>
              <w:t>Økonomiske aktiviteter (1)</w:t>
            </w:r>
          </w:p>
        </w:tc>
        <w:tc>
          <w:tcPr>
            <w:tcW w:w="520"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7832CAF7" w14:textId="77777777" w:rsidR="00A54846" w:rsidRDefault="008A2731">
            <w:pPr>
              <w:pStyle w:val="Para"/>
              <w:spacing w:after="0" w:line="240" w:lineRule="auto"/>
              <w:jc w:val="center"/>
              <w:rPr>
                <w:b/>
                <w:noProof/>
                <w:sz w:val="16"/>
                <w:szCs w:val="16"/>
              </w:rPr>
            </w:pPr>
            <w:r>
              <w:rPr>
                <w:b/>
                <w:sz w:val="16"/>
              </w:rPr>
              <w:t>Kode(r) (2)</w:t>
            </w:r>
          </w:p>
        </w:tc>
        <w:tc>
          <w:tcPr>
            <w:tcW w:w="788"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4FA165DB" w14:textId="77777777" w:rsidR="00A54846" w:rsidRDefault="008A2731">
            <w:pPr>
              <w:pStyle w:val="Para"/>
              <w:spacing w:after="0" w:line="240" w:lineRule="auto"/>
              <w:jc w:val="center"/>
              <w:rPr>
                <w:b/>
                <w:noProof/>
                <w:sz w:val="16"/>
                <w:szCs w:val="16"/>
              </w:rPr>
            </w:pPr>
            <w:r>
              <w:rPr>
                <w:b/>
                <w:sz w:val="16"/>
              </w:rPr>
              <w:t>Absolutte investeringsutgifter (3)</w:t>
            </w:r>
          </w:p>
        </w:tc>
        <w:tc>
          <w:tcPr>
            <w:tcW w:w="53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7DCD73C6" w14:textId="77777777" w:rsidR="00A54846" w:rsidRDefault="008A2731">
            <w:pPr>
              <w:pStyle w:val="Para"/>
              <w:spacing w:after="0" w:line="240" w:lineRule="auto"/>
              <w:jc w:val="center"/>
              <w:rPr>
                <w:b/>
                <w:noProof/>
                <w:sz w:val="16"/>
                <w:szCs w:val="16"/>
              </w:rPr>
            </w:pPr>
            <w:r>
              <w:rPr>
                <w:b/>
                <w:sz w:val="16"/>
              </w:rPr>
              <w:t>Andel av investeringsutgiftene (4)</w:t>
            </w:r>
          </w:p>
        </w:tc>
        <w:tc>
          <w:tcPr>
            <w:tcW w:w="527"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4DDF5E60" w14:textId="77777777" w:rsidR="00A54846" w:rsidRDefault="008A2731">
            <w:pPr>
              <w:pStyle w:val="Para"/>
              <w:spacing w:after="0" w:line="240" w:lineRule="auto"/>
              <w:jc w:val="center"/>
              <w:rPr>
                <w:b/>
                <w:noProof/>
                <w:sz w:val="16"/>
                <w:szCs w:val="16"/>
              </w:rPr>
            </w:pPr>
            <w:r>
              <w:rPr>
                <w:b/>
                <w:sz w:val="16"/>
              </w:rPr>
              <w:t>Begrensning av klimaendringer (5)</w:t>
            </w: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0D347500" w14:textId="77777777" w:rsidR="00A54846" w:rsidRDefault="008A2731">
            <w:pPr>
              <w:pStyle w:val="Para"/>
              <w:spacing w:after="0" w:line="240" w:lineRule="auto"/>
              <w:jc w:val="center"/>
              <w:rPr>
                <w:b/>
                <w:noProof/>
                <w:sz w:val="16"/>
                <w:szCs w:val="16"/>
              </w:rPr>
            </w:pPr>
            <w:r>
              <w:rPr>
                <w:b/>
                <w:sz w:val="16"/>
              </w:rPr>
              <w:t>Tilpasning til klimaendringer (6)</w:t>
            </w:r>
          </w:p>
        </w:tc>
        <w:tc>
          <w:tcPr>
            <w:tcW w:w="51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30793899" w14:textId="77777777" w:rsidR="00A54846" w:rsidRDefault="008A2731">
            <w:pPr>
              <w:pStyle w:val="Para"/>
              <w:spacing w:after="0" w:line="240" w:lineRule="auto"/>
              <w:jc w:val="center"/>
              <w:rPr>
                <w:b/>
                <w:noProof/>
                <w:sz w:val="16"/>
                <w:szCs w:val="16"/>
              </w:rPr>
            </w:pPr>
            <w:r>
              <w:rPr>
                <w:b/>
                <w:sz w:val="16"/>
              </w:rPr>
              <w:t>Vann- og havressurser (7)</w:t>
            </w:r>
          </w:p>
        </w:tc>
        <w:tc>
          <w:tcPr>
            <w:tcW w:w="53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357D16E1" w14:textId="77777777" w:rsidR="00A54846" w:rsidRDefault="008A2731">
            <w:pPr>
              <w:pStyle w:val="Para"/>
              <w:spacing w:after="0" w:line="240" w:lineRule="auto"/>
              <w:jc w:val="center"/>
              <w:rPr>
                <w:b/>
                <w:noProof/>
                <w:sz w:val="16"/>
                <w:szCs w:val="16"/>
              </w:rPr>
            </w:pPr>
            <w:r>
              <w:rPr>
                <w:b/>
                <w:sz w:val="16"/>
              </w:rPr>
              <w:t>Sirkulær økonomi (8)</w:t>
            </w:r>
          </w:p>
        </w:tc>
        <w:tc>
          <w:tcPr>
            <w:tcW w:w="51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1AE392A7" w14:textId="77777777" w:rsidR="00A54846" w:rsidRDefault="008A2731">
            <w:pPr>
              <w:pStyle w:val="Para"/>
              <w:spacing w:after="0" w:line="240" w:lineRule="auto"/>
              <w:jc w:val="center"/>
              <w:rPr>
                <w:b/>
                <w:noProof/>
                <w:sz w:val="16"/>
                <w:szCs w:val="16"/>
              </w:rPr>
            </w:pPr>
            <w:r>
              <w:rPr>
                <w:b/>
                <w:sz w:val="16"/>
              </w:rPr>
              <w:t>Forurensning (9)</w:t>
            </w:r>
          </w:p>
        </w:tc>
        <w:tc>
          <w:tcPr>
            <w:tcW w:w="56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277DCD23" w14:textId="77777777" w:rsidR="00A54846" w:rsidRDefault="008A2731">
            <w:pPr>
              <w:pStyle w:val="Para"/>
              <w:spacing w:after="0" w:line="240" w:lineRule="auto"/>
              <w:jc w:val="center"/>
              <w:rPr>
                <w:b/>
                <w:noProof/>
                <w:sz w:val="16"/>
                <w:szCs w:val="16"/>
              </w:rPr>
            </w:pPr>
            <w:r>
              <w:rPr>
                <w:b/>
                <w:sz w:val="16"/>
              </w:rPr>
              <w:t>Biologisk mangfold og økosystemer (10)</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20338199" w14:textId="77777777" w:rsidR="00A54846" w:rsidRDefault="008A2731">
            <w:pPr>
              <w:pStyle w:val="Para"/>
              <w:spacing w:after="0" w:line="240" w:lineRule="auto"/>
              <w:jc w:val="center"/>
              <w:rPr>
                <w:b/>
                <w:noProof/>
                <w:sz w:val="16"/>
                <w:szCs w:val="16"/>
              </w:rPr>
            </w:pPr>
            <w:r>
              <w:rPr>
                <w:b/>
                <w:sz w:val="16"/>
              </w:rPr>
              <w:t>Begrensning av klimaendringer (11)</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72FF81CD" w14:textId="77777777" w:rsidR="00A54846" w:rsidRDefault="008A2731">
            <w:pPr>
              <w:pStyle w:val="Para"/>
              <w:spacing w:after="0" w:line="240" w:lineRule="auto"/>
              <w:jc w:val="center"/>
              <w:rPr>
                <w:b/>
                <w:noProof/>
                <w:sz w:val="16"/>
                <w:szCs w:val="16"/>
              </w:rPr>
            </w:pPr>
            <w:r>
              <w:rPr>
                <w:b/>
                <w:sz w:val="16"/>
              </w:rPr>
              <w:t>Tilpasning til klimaendringer (12)</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4F2390A7" w14:textId="77777777" w:rsidR="00A54846" w:rsidRDefault="008A2731">
            <w:pPr>
              <w:pStyle w:val="Para"/>
              <w:spacing w:after="0" w:line="240" w:lineRule="auto"/>
              <w:jc w:val="center"/>
              <w:rPr>
                <w:b/>
                <w:noProof/>
                <w:sz w:val="16"/>
                <w:szCs w:val="16"/>
              </w:rPr>
            </w:pPr>
            <w:r>
              <w:rPr>
                <w:b/>
                <w:sz w:val="16"/>
              </w:rPr>
              <w:t>Vann- og havressurser (13)</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22714830" w14:textId="77777777" w:rsidR="00A54846" w:rsidRDefault="008A2731">
            <w:pPr>
              <w:pStyle w:val="Para"/>
              <w:spacing w:after="0" w:line="240" w:lineRule="auto"/>
              <w:jc w:val="center"/>
              <w:rPr>
                <w:b/>
                <w:noProof/>
                <w:sz w:val="16"/>
                <w:szCs w:val="16"/>
              </w:rPr>
            </w:pPr>
            <w:r>
              <w:rPr>
                <w:b/>
                <w:sz w:val="16"/>
              </w:rPr>
              <w:t>Sirkulær økonomi (14)</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6EEB1407" w14:textId="77777777" w:rsidR="00A54846" w:rsidRDefault="008A2731">
            <w:pPr>
              <w:pStyle w:val="Para"/>
              <w:spacing w:after="0" w:line="240" w:lineRule="auto"/>
              <w:jc w:val="center"/>
              <w:rPr>
                <w:b/>
                <w:noProof/>
                <w:sz w:val="16"/>
                <w:szCs w:val="16"/>
              </w:rPr>
            </w:pPr>
            <w:r>
              <w:rPr>
                <w:b/>
                <w:sz w:val="16"/>
              </w:rPr>
              <w:t>Forurensning (15)</w:t>
            </w:r>
          </w:p>
        </w:tc>
        <w:tc>
          <w:tcPr>
            <w:tcW w:w="52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4B6C5265" w14:textId="77777777" w:rsidR="00A54846" w:rsidRDefault="008A2731">
            <w:pPr>
              <w:pStyle w:val="Para"/>
              <w:spacing w:after="0" w:line="240" w:lineRule="auto"/>
              <w:jc w:val="center"/>
              <w:rPr>
                <w:b/>
                <w:noProof/>
                <w:sz w:val="16"/>
                <w:szCs w:val="16"/>
              </w:rPr>
            </w:pPr>
            <w:r>
              <w:rPr>
                <w:b/>
                <w:sz w:val="16"/>
              </w:rPr>
              <w:t>Biologisk mangfold og økosystemer (16)</w:t>
            </w:r>
          </w:p>
        </w:tc>
        <w:tc>
          <w:tcPr>
            <w:tcW w:w="528" w:type="dxa"/>
            <w:tcBorders>
              <w:top w:val="single" w:sz="4" w:space="0" w:color="auto"/>
              <w:left w:val="single" w:sz="4" w:space="0" w:color="auto"/>
              <w:bottom w:val="nil"/>
              <w:right w:val="single" w:sz="12" w:space="0" w:color="auto"/>
            </w:tcBorders>
            <w:shd w:val="clear" w:color="auto" w:fill="FFFFFF"/>
            <w:tcMar>
              <w:top w:w="60" w:type="dxa"/>
              <w:left w:w="60" w:type="dxa"/>
              <w:bottom w:w="60" w:type="dxa"/>
              <w:right w:w="60" w:type="dxa"/>
            </w:tcMar>
            <w:textDirection w:val="tbRl"/>
            <w:vAlign w:val="bottom"/>
            <w:hideMark/>
          </w:tcPr>
          <w:p w14:paraId="15A1BE4B" w14:textId="77777777" w:rsidR="00A54846" w:rsidRDefault="008A2731">
            <w:pPr>
              <w:pStyle w:val="Para"/>
              <w:spacing w:after="0" w:line="240" w:lineRule="auto"/>
              <w:jc w:val="center"/>
              <w:rPr>
                <w:b/>
                <w:noProof/>
                <w:sz w:val="16"/>
                <w:szCs w:val="16"/>
              </w:rPr>
            </w:pPr>
            <w:r>
              <w:rPr>
                <w:b/>
                <w:sz w:val="16"/>
              </w:rPr>
              <w:t>Minstegarantier (17)</w:t>
            </w:r>
          </w:p>
        </w:tc>
        <w:tc>
          <w:tcPr>
            <w:tcW w:w="876" w:type="dxa"/>
            <w:tcBorders>
              <w:top w:val="single" w:sz="12" w:space="0" w:color="auto"/>
              <w:left w:val="single" w:sz="12" w:space="0" w:color="auto"/>
              <w:bottom w:val="nil"/>
              <w:right w:val="single" w:sz="12" w:space="0" w:color="auto"/>
            </w:tcBorders>
            <w:shd w:val="clear" w:color="auto" w:fill="FFFFFF"/>
            <w:tcMar>
              <w:top w:w="60" w:type="dxa"/>
              <w:left w:w="60" w:type="dxa"/>
              <w:bottom w:w="60" w:type="dxa"/>
              <w:right w:w="60" w:type="dxa"/>
            </w:tcMar>
            <w:vAlign w:val="center"/>
            <w:hideMark/>
          </w:tcPr>
          <w:p w14:paraId="790DEF4D" w14:textId="4ADA8033" w:rsidR="00A54846" w:rsidRDefault="008A2731">
            <w:pPr>
              <w:pStyle w:val="Para"/>
              <w:spacing w:after="0" w:line="240" w:lineRule="auto"/>
              <w:jc w:val="center"/>
              <w:rPr>
                <w:b/>
                <w:noProof/>
                <w:sz w:val="16"/>
                <w:szCs w:val="16"/>
              </w:rPr>
            </w:pPr>
            <w:r>
              <w:rPr>
                <w:b/>
                <w:sz w:val="16"/>
              </w:rPr>
              <w:t>Taksono</w:t>
            </w:r>
            <w:r w:rsidR="007D4CBF">
              <w:rPr>
                <w:b/>
                <w:sz w:val="16"/>
              </w:rPr>
              <w:softHyphen/>
            </w:r>
            <w:r>
              <w:rPr>
                <w:b/>
                <w:sz w:val="16"/>
              </w:rPr>
              <w:t>miforenlig andel av investerin</w:t>
            </w:r>
            <w:r w:rsidR="007D4CBF">
              <w:rPr>
                <w:b/>
                <w:sz w:val="16"/>
              </w:rPr>
              <w:softHyphen/>
            </w:r>
            <w:r>
              <w:rPr>
                <w:b/>
                <w:sz w:val="16"/>
              </w:rPr>
              <w:t>gsutgiftene, år N (18)</w:t>
            </w: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vAlign w:val="center"/>
            <w:hideMark/>
          </w:tcPr>
          <w:p w14:paraId="26A255AF" w14:textId="138E3F78" w:rsidR="00A54846" w:rsidRDefault="008A2731">
            <w:pPr>
              <w:pStyle w:val="Para"/>
              <w:spacing w:after="0" w:line="240" w:lineRule="auto"/>
              <w:jc w:val="center"/>
              <w:rPr>
                <w:b/>
                <w:noProof/>
                <w:sz w:val="16"/>
                <w:szCs w:val="16"/>
              </w:rPr>
            </w:pPr>
            <w:r>
              <w:rPr>
                <w:b/>
                <w:sz w:val="16"/>
              </w:rPr>
              <w:t>Taksono</w:t>
            </w:r>
            <w:r w:rsidR="007D4CBF">
              <w:rPr>
                <w:b/>
                <w:sz w:val="16"/>
              </w:rPr>
              <w:softHyphen/>
            </w:r>
            <w:r>
              <w:rPr>
                <w:b/>
                <w:sz w:val="16"/>
              </w:rPr>
              <w:t>miforenlig andel av investerin</w:t>
            </w:r>
            <w:r w:rsidR="007D4CBF">
              <w:rPr>
                <w:b/>
                <w:sz w:val="16"/>
              </w:rPr>
              <w:softHyphen/>
            </w:r>
            <w:r>
              <w:rPr>
                <w:b/>
                <w:sz w:val="16"/>
              </w:rPr>
              <w:t>gsutgiftene, år N-1 (19)</w:t>
            </w: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3CBDE607" w14:textId="5325948B" w:rsidR="00A54846" w:rsidRDefault="008A2731">
            <w:pPr>
              <w:pStyle w:val="Para"/>
              <w:spacing w:after="0" w:line="240" w:lineRule="auto"/>
              <w:jc w:val="center"/>
              <w:rPr>
                <w:b/>
                <w:noProof/>
                <w:sz w:val="16"/>
                <w:szCs w:val="16"/>
              </w:rPr>
            </w:pPr>
            <w:r>
              <w:rPr>
                <w:b/>
                <w:sz w:val="16"/>
              </w:rPr>
              <w:t>Kategori (mulig</w:t>
            </w:r>
            <w:r w:rsidR="007D4CBF">
              <w:rPr>
                <w:b/>
                <w:sz w:val="16"/>
              </w:rPr>
              <w:softHyphen/>
            </w:r>
            <w:r>
              <w:rPr>
                <w:b/>
                <w:sz w:val="16"/>
              </w:rPr>
              <w:t>gjørende aktivitet) (20)</w:t>
            </w:r>
          </w:p>
        </w:tc>
        <w:tc>
          <w:tcPr>
            <w:tcW w:w="1059"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vAlign w:val="center"/>
            <w:hideMark/>
          </w:tcPr>
          <w:p w14:paraId="5C2E7102" w14:textId="63C069F1" w:rsidR="00A54846" w:rsidRDefault="008A2731">
            <w:pPr>
              <w:pStyle w:val="Para"/>
              <w:spacing w:after="0" w:line="240" w:lineRule="auto"/>
              <w:jc w:val="center"/>
              <w:rPr>
                <w:b/>
                <w:noProof/>
                <w:sz w:val="16"/>
                <w:szCs w:val="16"/>
              </w:rPr>
            </w:pPr>
            <w:r>
              <w:rPr>
                <w:b/>
                <w:sz w:val="16"/>
              </w:rPr>
              <w:t>Kategori (omstillings</w:t>
            </w:r>
            <w:r w:rsidR="007D4CBF">
              <w:rPr>
                <w:b/>
                <w:sz w:val="16"/>
              </w:rPr>
              <w:softHyphen/>
            </w:r>
            <w:r>
              <w:rPr>
                <w:b/>
                <w:sz w:val="16"/>
              </w:rPr>
              <w:t>aktivitet)</w:t>
            </w:r>
          </w:p>
          <w:p w14:paraId="7CB24B17" w14:textId="77777777" w:rsidR="00A54846" w:rsidRDefault="008A2731">
            <w:pPr>
              <w:pStyle w:val="Para"/>
              <w:spacing w:after="0" w:line="240" w:lineRule="auto"/>
              <w:jc w:val="center"/>
              <w:rPr>
                <w:b/>
                <w:noProof/>
                <w:sz w:val="16"/>
                <w:szCs w:val="16"/>
              </w:rPr>
            </w:pPr>
            <w:r>
              <w:rPr>
                <w:b/>
                <w:sz w:val="16"/>
              </w:rPr>
              <w:t>(21)</w:t>
            </w:r>
          </w:p>
        </w:tc>
      </w:tr>
      <w:tr w:rsidR="00A54846" w14:paraId="1DD0F49F" w14:textId="77777777">
        <w:trPr>
          <w:cantSplit/>
          <w:tblHeader/>
        </w:trPr>
        <w:tc>
          <w:tcPr>
            <w:tcW w:w="2012" w:type="dxa"/>
            <w:gridSpan w:val="2"/>
            <w:tcBorders>
              <w:top w:val="nil"/>
              <w:left w:val="single" w:sz="4" w:space="0" w:color="auto"/>
              <w:bottom w:val="nil"/>
              <w:right w:val="nil"/>
            </w:tcBorders>
            <w:shd w:val="clear" w:color="auto" w:fill="FFFFFF"/>
            <w:tcMar>
              <w:top w:w="60" w:type="dxa"/>
              <w:left w:w="60" w:type="dxa"/>
              <w:bottom w:w="60" w:type="dxa"/>
              <w:right w:w="60" w:type="dxa"/>
            </w:tcMar>
            <w:vAlign w:val="center"/>
          </w:tcPr>
          <w:p w14:paraId="5E5DF863" w14:textId="77777777" w:rsidR="00A54846" w:rsidRDefault="00A54846">
            <w:pPr>
              <w:pStyle w:val="Para"/>
              <w:spacing w:after="0" w:line="240" w:lineRule="auto"/>
              <w:jc w:val="center"/>
              <w:rPr>
                <w:noProof/>
                <w:sz w:val="16"/>
                <w:szCs w:val="16"/>
                <w:lang w:val="en-US" w:bidi="en-US"/>
              </w:rPr>
            </w:pPr>
          </w:p>
        </w:tc>
        <w:tc>
          <w:tcPr>
            <w:tcW w:w="520" w:type="dxa"/>
            <w:tcBorders>
              <w:top w:val="nil"/>
              <w:left w:val="single" w:sz="4" w:space="0" w:color="auto"/>
              <w:bottom w:val="nil"/>
              <w:right w:val="nil"/>
            </w:tcBorders>
            <w:shd w:val="clear" w:color="auto" w:fill="FFFFFF"/>
            <w:tcMar>
              <w:top w:w="60" w:type="dxa"/>
              <w:left w:w="60" w:type="dxa"/>
              <w:bottom w:w="60" w:type="dxa"/>
              <w:right w:w="60" w:type="dxa"/>
            </w:tcMar>
            <w:textDirection w:val="tbRl"/>
            <w:vAlign w:val="center"/>
          </w:tcPr>
          <w:p w14:paraId="560EE51A" w14:textId="77777777" w:rsidR="00A54846" w:rsidRDefault="00A54846">
            <w:pPr>
              <w:pStyle w:val="Para"/>
              <w:spacing w:after="0" w:line="240" w:lineRule="auto"/>
              <w:jc w:val="center"/>
              <w:rPr>
                <w:noProof/>
                <w:sz w:val="16"/>
                <w:szCs w:val="16"/>
                <w:lang w:val="en-US" w:bidi="en-US"/>
              </w:rPr>
            </w:pPr>
          </w:p>
        </w:tc>
        <w:tc>
          <w:tcPr>
            <w:tcW w:w="788" w:type="dxa"/>
            <w:gridSpan w:val="2"/>
            <w:tcBorders>
              <w:top w:val="nil"/>
              <w:left w:val="single" w:sz="4" w:space="0" w:color="auto"/>
              <w:bottom w:val="nil"/>
              <w:right w:val="nil"/>
            </w:tcBorders>
            <w:tcMar>
              <w:top w:w="60" w:type="dxa"/>
              <w:left w:w="60" w:type="dxa"/>
              <w:bottom w:w="60" w:type="dxa"/>
              <w:right w:w="60" w:type="dxa"/>
            </w:tcMar>
            <w:vAlign w:val="center"/>
            <w:hideMark/>
          </w:tcPr>
          <w:p w14:paraId="1477E8F2" w14:textId="77777777" w:rsidR="00A54846" w:rsidRDefault="008A2731">
            <w:pPr>
              <w:pStyle w:val="Para"/>
              <w:spacing w:after="0" w:line="240" w:lineRule="auto"/>
              <w:jc w:val="center"/>
              <w:rPr>
                <w:b/>
                <w:noProof/>
                <w:sz w:val="16"/>
                <w:szCs w:val="16"/>
              </w:rPr>
            </w:pPr>
            <w:r>
              <w:rPr>
                <w:b/>
                <w:sz w:val="16"/>
              </w:rPr>
              <w:t>Valuta</w:t>
            </w:r>
          </w:p>
        </w:tc>
        <w:tc>
          <w:tcPr>
            <w:tcW w:w="533" w:type="dxa"/>
            <w:tcBorders>
              <w:top w:val="nil"/>
              <w:left w:val="single" w:sz="4" w:space="0" w:color="auto"/>
              <w:bottom w:val="nil"/>
              <w:right w:val="nil"/>
            </w:tcBorders>
            <w:tcMar>
              <w:top w:w="60" w:type="dxa"/>
              <w:left w:w="60" w:type="dxa"/>
              <w:bottom w:w="60" w:type="dxa"/>
              <w:right w:w="60" w:type="dxa"/>
            </w:tcMar>
            <w:vAlign w:val="center"/>
            <w:hideMark/>
          </w:tcPr>
          <w:p w14:paraId="57303EDD" w14:textId="77777777" w:rsidR="00A54846" w:rsidRDefault="008A2731">
            <w:pPr>
              <w:pStyle w:val="Para"/>
              <w:spacing w:after="0" w:line="240" w:lineRule="auto"/>
              <w:jc w:val="center"/>
              <w:rPr>
                <w:b/>
                <w:noProof/>
                <w:sz w:val="16"/>
                <w:szCs w:val="16"/>
              </w:rPr>
            </w:pPr>
            <w:r>
              <w:rPr>
                <w:b/>
                <w:sz w:val="16"/>
              </w:rPr>
              <w:t>%</w:t>
            </w:r>
          </w:p>
        </w:tc>
        <w:tc>
          <w:tcPr>
            <w:tcW w:w="527" w:type="dxa"/>
            <w:tcBorders>
              <w:top w:val="nil"/>
              <w:left w:val="single" w:sz="4" w:space="0" w:color="auto"/>
              <w:bottom w:val="nil"/>
              <w:right w:val="nil"/>
            </w:tcBorders>
            <w:tcMar>
              <w:top w:w="60" w:type="dxa"/>
              <w:left w:w="60" w:type="dxa"/>
              <w:bottom w:w="60" w:type="dxa"/>
              <w:right w:w="60" w:type="dxa"/>
            </w:tcMar>
            <w:vAlign w:val="center"/>
            <w:hideMark/>
          </w:tcPr>
          <w:p w14:paraId="70E891E7" w14:textId="77777777" w:rsidR="00A54846" w:rsidRDefault="008A2731">
            <w:pPr>
              <w:pStyle w:val="Para"/>
              <w:spacing w:after="0" w:line="240" w:lineRule="auto"/>
              <w:jc w:val="center"/>
              <w:rPr>
                <w:b/>
                <w:noProof/>
                <w:sz w:val="16"/>
                <w:szCs w:val="16"/>
              </w:rPr>
            </w:pPr>
            <w:r>
              <w:rPr>
                <w:b/>
                <w:sz w:val="16"/>
              </w:rPr>
              <w:t>%</w:t>
            </w:r>
          </w:p>
        </w:tc>
        <w:tc>
          <w:tcPr>
            <w:tcW w:w="528" w:type="dxa"/>
            <w:tcBorders>
              <w:top w:val="nil"/>
              <w:left w:val="single" w:sz="4" w:space="0" w:color="auto"/>
              <w:bottom w:val="nil"/>
              <w:right w:val="nil"/>
            </w:tcBorders>
            <w:tcMar>
              <w:top w:w="60" w:type="dxa"/>
              <w:left w:w="60" w:type="dxa"/>
              <w:bottom w:w="60" w:type="dxa"/>
              <w:right w:w="60" w:type="dxa"/>
            </w:tcMar>
            <w:vAlign w:val="center"/>
            <w:hideMark/>
          </w:tcPr>
          <w:p w14:paraId="25324128" w14:textId="77777777" w:rsidR="00A54846" w:rsidRDefault="008A2731">
            <w:pPr>
              <w:pStyle w:val="Para"/>
              <w:spacing w:after="0" w:line="240" w:lineRule="auto"/>
              <w:jc w:val="center"/>
              <w:rPr>
                <w:b/>
                <w:noProof/>
                <w:sz w:val="16"/>
                <w:szCs w:val="16"/>
              </w:rPr>
            </w:pPr>
            <w:r>
              <w:rPr>
                <w:b/>
                <w:sz w:val="16"/>
              </w:rPr>
              <w:t>%</w:t>
            </w:r>
          </w:p>
        </w:tc>
        <w:tc>
          <w:tcPr>
            <w:tcW w:w="513" w:type="dxa"/>
            <w:tcBorders>
              <w:top w:val="nil"/>
              <w:left w:val="single" w:sz="4" w:space="0" w:color="auto"/>
              <w:bottom w:val="nil"/>
              <w:right w:val="nil"/>
            </w:tcBorders>
            <w:tcMar>
              <w:top w:w="60" w:type="dxa"/>
              <w:left w:w="60" w:type="dxa"/>
              <w:bottom w:w="60" w:type="dxa"/>
              <w:right w:w="60" w:type="dxa"/>
            </w:tcMar>
            <w:vAlign w:val="center"/>
            <w:hideMark/>
          </w:tcPr>
          <w:p w14:paraId="13FA6749" w14:textId="77777777" w:rsidR="00A54846" w:rsidRDefault="008A2731">
            <w:pPr>
              <w:pStyle w:val="Para"/>
              <w:spacing w:after="0" w:line="240" w:lineRule="auto"/>
              <w:jc w:val="center"/>
              <w:rPr>
                <w:b/>
                <w:noProof/>
                <w:sz w:val="16"/>
                <w:szCs w:val="16"/>
              </w:rPr>
            </w:pPr>
            <w:r>
              <w:rPr>
                <w:b/>
                <w:sz w:val="16"/>
              </w:rPr>
              <w:t>%</w:t>
            </w:r>
          </w:p>
        </w:tc>
        <w:tc>
          <w:tcPr>
            <w:tcW w:w="531" w:type="dxa"/>
            <w:tcBorders>
              <w:top w:val="nil"/>
              <w:left w:val="single" w:sz="4" w:space="0" w:color="auto"/>
              <w:bottom w:val="nil"/>
              <w:right w:val="nil"/>
            </w:tcBorders>
            <w:tcMar>
              <w:top w:w="60" w:type="dxa"/>
              <w:left w:w="60" w:type="dxa"/>
              <w:bottom w:w="60" w:type="dxa"/>
              <w:right w:w="60" w:type="dxa"/>
            </w:tcMar>
            <w:vAlign w:val="center"/>
            <w:hideMark/>
          </w:tcPr>
          <w:p w14:paraId="08592780" w14:textId="77777777" w:rsidR="00A54846" w:rsidRDefault="008A2731">
            <w:pPr>
              <w:pStyle w:val="Para"/>
              <w:spacing w:after="0" w:line="240" w:lineRule="auto"/>
              <w:jc w:val="center"/>
              <w:rPr>
                <w:b/>
                <w:noProof/>
                <w:sz w:val="16"/>
                <w:szCs w:val="16"/>
              </w:rPr>
            </w:pPr>
            <w:r>
              <w:rPr>
                <w:b/>
                <w:sz w:val="16"/>
              </w:rPr>
              <w:t>%</w:t>
            </w:r>
          </w:p>
        </w:tc>
        <w:tc>
          <w:tcPr>
            <w:tcW w:w="516" w:type="dxa"/>
            <w:tcBorders>
              <w:top w:val="nil"/>
              <w:left w:val="single" w:sz="4" w:space="0" w:color="auto"/>
              <w:bottom w:val="nil"/>
              <w:right w:val="nil"/>
            </w:tcBorders>
            <w:tcMar>
              <w:top w:w="60" w:type="dxa"/>
              <w:left w:w="60" w:type="dxa"/>
              <w:bottom w:w="60" w:type="dxa"/>
              <w:right w:w="60" w:type="dxa"/>
            </w:tcMar>
            <w:vAlign w:val="center"/>
            <w:hideMark/>
          </w:tcPr>
          <w:p w14:paraId="5F4D1404" w14:textId="77777777" w:rsidR="00A54846" w:rsidRDefault="008A2731">
            <w:pPr>
              <w:pStyle w:val="Para"/>
              <w:spacing w:after="0" w:line="240" w:lineRule="auto"/>
              <w:jc w:val="center"/>
              <w:rPr>
                <w:b/>
                <w:noProof/>
                <w:sz w:val="16"/>
                <w:szCs w:val="16"/>
              </w:rPr>
            </w:pPr>
            <w:r>
              <w:rPr>
                <w:b/>
                <w:sz w:val="16"/>
              </w:rPr>
              <w:t>%</w:t>
            </w:r>
          </w:p>
        </w:tc>
        <w:tc>
          <w:tcPr>
            <w:tcW w:w="566" w:type="dxa"/>
            <w:tcBorders>
              <w:top w:val="nil"/>
              <w:left w:val="single" w:sz="4" w:space="0" w:color="auto"/>
              <w:bottom w:val="nil"/>
              <w:right w:val="nil"/>
            </w:tcBorders>
            <w:tcMar>
              <w:top w:w="60" w:type="dxa"/>
              <w:left w:w="60" w:type="dxa"/>
              <w:bottom w:w="60" w:type="dxa"/>
              <w:right w:w="60" w:type="dxa"/>
            </w:tcMar>
            <w:vAlign w:val="center"/>
            <w:hideMark/>
          </w:tcPr>
          <w:p w14:paraId="2B05D856" w14:textId="77777777" w:rsidR="00A54846" w:rsidRDefault="008A2731">
            <w:pPr>
              <w:pStyle w:val="Para"/>
              <w:spacing w:after="0" w:line="240" w:lineRule="auto"/>
              <w:jc w:val="center"/>
              <w:rPr>
                <w:b/>
                <w:noProof/>
                <w:sz w:val="16"/>
                <w:szCs w:val="16"/>
              </w:rPr>
            </w:pPr>
            <w:r>
              <w:rPr>
                <w:b/>
                <w:sz w:val="16"/>
              </w:rPr>
              <w:t>%</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1A4930E3" w14:textId="77777777" w:rsidR="00A54846" w:rsidRDefault="008A2731">
            <w:pPr>
              <w:pStyle w:val="Para"/>
              <w:spacing w:after="0" w:line="240" w:lineRule="auto"/>
              <w:jc w:val="center"/>
              <w:rPr>
                <w:b/>
                <w:noProof/>
                <w:sz w:val="16"/>
                <w:szCs w:val="16"/>
              </w:rPr>
            </w:pPr>
            <w:r>
              <w:rPr>
                <w:b/>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04E53F8C" w14:textId="77777777" w:rsidR="00A54846" w:rsidRDefault="008A2731">
            <w:pPr>
              <w:pStyle w:val="Para"/>
              <w:spacing w:after="0" w:line="240" w:lineRule="auto"/>
              <w:jc w:val="center"/>
              <w:rPr>
                <w:b/>
                <w:noProof/>
                <w:sz w:val="16"/>
                <w:szCs w:val="16"/>
              </w:rPr>
            </w:pPr>
            <w:r>
              <w:rPr>
                <w:b/>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69C3917C" w14:textId="77777777" w:rsidR="00A54846" w:rsidRDefault="008A2731">
            <w:pPr>
              <w:pStyle w:val="Para"/>
              <w:spacing w:after="0" w:line="240" w:lineRule="auto"/>
              <w:jc w:val="center"/>
              <w:rPr>
                <w:b/>
                <w:noProof/>
                <w:sz w:val="16"/>
                <w:szCs w:val="16"/>
              </w:rPr>
            </w:pPr>
            <w:r>
              <w:rPr>
                <w:b/>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0EB121A9" w14:textId="77777777" w:rsidR="00A54846" w:rsidRDefault="008A2731">
            <w:pPr>
              <w:pStyle w:val="Para"/>
              <w:spacing w:after="0" w:line="240" w:lineRule="auto"/>
              <w:jc w:val="center"/>
              <w:rPr>
                <w:b/>
                <w:noProof/>
                <w:sz w:val="16"/>
                <w:szCs w:val="16"/>
              </w:rPr>
            </w:pPr>
            <w:r>
              <w:rPr>
                <w:b/>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3C64FB2E" w14:textId="77777777" w:rsidR="00A54846" w:rsidRDefault="008A2731">
            <w:pPr>
              <w:pStyle w:val="Para"/>
              <w:spacing w:after="0" w:line="240" w:lineRule="auto"/>
              <w:jc w:val="center"/>
              <w:rPr>
                <w:b/>
                <w:noProof/>
                <w:sz w:val="16"/>
                <w:szCs w:val="16"/>
              </w:rPr>
            </w:pPr>
            <w:r>
              <w:rPr>
                <w:b/>
                <w:sz w:val="16"/>
              </w:rPr>
              <w:t>Ja/Nei</w:t>
            </w:r>
          </w:p>
        </w:tc>
        <w:tc>
          <w:tcPr>
            <w:tcW w:w="524" w:type="dxa"/>
            <w:tcBorders>
              <w:top w:val="nil"/>
              <w:left w:val="single" w:sz="4" w:space="0" w:color="auto"/>
              <w:bottom w:val="nil"/>
              <w:right w:val="nil"/>
            </w:tcBorders>
            <w:tcMar>
              <w:top w:w="60" w:type="dxa"/>
              <w:left w:w="60" w:type="dxa"/>
              <w:bottom w:w="60" w:type="dxa"/>
              <w:right w:w="60" w:type="dxa"/>
            </w:tcMar>
            <w:vAlign w:val="center"/>
            <w:hideMark/>
          </w:tcPr>
          <w:p w14:paraId="0904E2B0" w14:textId="77777777" w:rsidR="00A54846" w:rsidRDefault="008A2731">
            <w:pPr>
              <w:pStyle w:val="Para"/>
              <w:spacing w:after="0" w:line="240" w:lineRule="auto"/>
              <w:jc w:val="center"/>
              <w:rPr>
                <w:b/>
                <w:noProof/>
                <w:sz w:val="16"/>
                <w:szCs w:val="16"/>
              </w:rPr>
            </w:pPr>
            <w:r>
              <w:rPr>
                <w:b/>
                <w:sz w:val="16"/>
              </w:rPr>
              <w:t>Ja/Nei</w:t>
            </w:r>
          </w:p>
        </w:tc>
        <w:tc>
          <w:tcPr>
            <w:tcW w:w="528" w:type="dxa"/>
            <w:tcBorders>
              <w:top w:val="nil"/>
              <w:left w:val="single" w:sz="4" w:space="0" w:color="auto"/>
              <w:bottom w:val="nil"/>
              <w:right w:val="single" w:sz="12" w:space="0" w:color="auto"/>
            </w:tcBorders>
            <w:tcMar>
              <w:top w:w="60" w:type="dxa"/>
              <w:left w:w="60" w:type="dxa"/>
              <w:bottom w:w="60" w:type="dxa"/>
              <w:right w:w="60" w:type="dxa"/>
            </w:tcMar>
            <w:vAlign w:val="center"/>
            <w:hideMark/>
          </w:tcPr>
          <w:p w14:paraId="1B793EA6" w14:textId="77777777" w:rsidR="00A54846" w:rsidRDefault="008A2731">
            <w:pPr>
              <w:pStyle w:val="Para"/>
              <w:spacing w:after="0" w:line="240" w:lineRule="auto"/>
              <w:jc w:val="center"/>
              <w:rPr>
                <w:b/>
                <w:noProof/>
                <w:sz w:val="16"/>
                <w:szCs w:val="16"/>
              </w:rPr>
            </w:pPr>
            <w:r>
              <w:rPr>
                <w:b/>
                <w:sz w:val="16"/>
              </w:rPr>
              <w:t>Ja/Nei</w:t>
            </w:r>
          </w:p>
        </w:tc>
        <w:tc>
          <w:tcPr>
            <w:tcW w:w="876" w:type="dxa"/>
            <w:tcBorders>
              <w:top w:val="nil"/>
              <w:left w:val="single" w:sz="12" w:space="0" w:color="auto"/>
              <w:bottom w:val="single" w:sz="4" w:space="0" w:color="auto"/>
              <w:right w:val="single" w:sz="12" w:space="0" w:color="auto"/>
            </w:tcBorders>
            <w:tcMar>
              <w:top w:w="60" w:type="dxa"/>
              <w:left w:w="60" w:type="dxa"/>
              <w:bottom w:w="60" w:type="dxa"/>
              <w:right w:w="60" w:type="dxa"/>
            </w:tcMar>
            <w:vAlign w:val="center"/>
            <w:hideMark/>
          </w:tcPr>
          <w:p w14:paraId="15652F70" w14:textId="77777777" w:rsidR="00A54846" w:rsidRDefault="008A2731">
            <w:pPr>
              <w:pStyle w:val="Para"/>
              <w:spacing w:after="0" w:line="240" w:lineRule="auto"/>
              <w:jc w:val="center"/>
              <w:rPr>
                <w:b/>
                <w:noProof/>
                <w:sz w:val="16"/>
                <w:szCs w:val="16"/>
              </w:rPr>
            </w:pPr>
            <w:r>
              <w:rPr>
                <w:b/>
                <w:sz w:val="16"/>
              </w:rPr>
              <w:t>Prosent</w:t>
            </w:r>
          </w:p>
        </w:tc>
        <w:tc>
          <w:tcPr>
            <w:tcW w:w="905" w:type="dxa"/>
            <w:tcBorders>
              <w:top w:val="nil"/>
              <w:left w:val="single" w:sz="12" w:space="0" w:color="auto"/>
              <w:bottom w:val="nil"/>
              <w:right w:val="nil"/>
            </w:tcBorders>
            <w:tcMar>
              <w:top w:w="60" w:type="dxa"/>
              <w:left w:w="60" w:type="dxa"/>
              <w:bottom w:w="60" w:type="dxa"/>
              <w:right w:w="60" w:type="dxa"/>
            </w:tcMar>
            <w:vAlign w:val="center"/>
            <w:hideMark/>
          </w:tcPr>
          <w:p w14:paraId="65D999F3" w14:textId="77777777" w:rsidR="00A54846" w:rsidRDefault="008A2731">
            <w:pPr>
              <w:pStyle w:val="Para"/>
              <w:spacing w:after="0" w:line="240" w:lineRule="auto"/>
              <w:jc w:val="center"/>
              <w:rPr>
                <w:b/>
                <w:noProof/>
                <w:sz w:val="16"/>
                <w:szCs w:val="16"/>
              </w:rPr>
            </w:pPr>
            <w:r>
              <w:rPr>
                <w:b/>
                <w:sz w:val="16"/>
              </w:rPr>
              <w:t>Prosent</w:t>
            </w:r>
          </w:p>
        </w:tc>
        <w:tc>
          <w:tcPr>
            <w:tcW w:w="761" w:type="dxa"/>
            <w:tcBorders>
              <w:top w:val="nil"/>
              <w:left w:val="single" w:sz="4" w:space="0" w:color="auto"/>
              <w:bottom w:val="nil"/>
              <w:right w:val="nil"/>
            </w:tcBorders>
            <w:tcMar>
              <w:top w:w="60" w:type="dxa"/>
              <w:left w:w="60" w:type="dxa"/>
              <w:bottom w:w="60" w:type="dxa"/>
              <w:right w:w="60" w:type="dxa"/>
            </w:tcMar>
            <w:vAlign w:val="center"/>
            <w:hideMark/>
          </w:tcPr>
          <w:p w14:paraId="67F3FD4E" w14:textId="67AD2D65" w:rsidR="00A54846" w:rsidRDefault="008A2731">
            <w:pPr>
              <w:pStyle w:val="Para"/>
              <w:spacing w:after="0" w:line="240" w:lineRule="auto"/>
              <w:jc w:val="center"/>
              <w:rPr>
                <w:b/>
                <w:noProof/>
                <w:sz w:val="16"/>
                <w:szCs w:val="16"/>
              </w:rPr>
            </w:pPr>
            <w:r>
              <w:rPr>
                <w:b/>
                <w:sz w:val="16"/>
              </w:rPr>
              <w:t>Mulig</w:t>
            </w:r>
            <w:r w:rsidR="007D4CBF">
              <w:rPr>
                <w:b/>
                <w:sz w:val="16"/>
              </w:rPr>
              <w:softHyphen/>
            </w:r>
            <w:r>
              <w:rPr>
                <w:b/>
                <w:sz w:val="16"/>
              </w:rPr>
              <w:t>gjørende</w:t>
            </w:r>
          </w:p>
        </w:tc>
        <w:tc>
          <w:tcPr>
            <w:tcW w:w="1059" w:type="dxa"/>
            <w:tcBorders>
              <w:top w:val="nil"/>
              <w:left w:val="single" w:sz="4" w:space="0" w:color="auto"/>
              <w:bottom w:val="nil"/>
              <w:right w:val="single" w:sz="4" w:space="0" w:color="auto"/>
            </w:tcBorders>
            <w:tcMar>
              <w:top w:w="60" w:type="dxa"/>
              <w:left w:w="60" w:type="dxa"/>
              <w:bottom w:w="60" w:type="dxa"/>
              <w:right w:w="60" w:type="dxa"/>
            </w:tcMar>
            <w:vAlign w:val="center"/>
            <w:hideMark/>
          </w:tcPr>
          <w:p w14:paraId="1649871C" w14:textId="77777777" w:rsidR="00A54846" w:rsidRDefault="008A2731">
            <w:pPr>
              <w:pStyle w:val="Para"/>
              <w:spacing w:after="0" w:line="240" w:lineRule="auto"/>
              <w:jc w:val="center"/>
              <w:rPr>
                <w:b/>
                <w:noProof/>
                <w:sz w:val="16"/>
                <w:szCs w:val="16"/>
              </w:rPr>
            </w:pPr>
            <w:r>
              <w:rPr>
                <w:b/>
                <w:sz w:val="16"/>
              </w:rPr>
              <w:t>Omstilling</w:t>
            </w:r>
          </w:p>
        </w:tc>
      </w:tr>
      <w:tr w:rsidR="00A54846" w14:paraId="2364749E" w14:textId="77777777">
        <w:tc>
          <w:tcPr>
            <w:tcW w:w="2005"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74453B1F" w14:textId="77777777" w:rsidR="00A54846" w:rsidRDefault="008A2731">
            <w:pPr>
              <w:pStyle w:val="Para"/>
              <w:spacing w:after="0" w:line="240" w:lineRule="auto"/>
              <w:jc w:val="left"/>
              <w:rPr>
                <w:b/>
                <w:noProof/>
                <w:sz w:val="16"/>
                <w:szCs w:val="16"/>
              </w:rPr>
            </w:pPr>
            <w:r>
              <w:rPr>
                <w:b/>
                <w:sz w:val="16"/>
              </w:rPr>
              <w:t>A. AKTIVITETER SOM ER OMFATTET AV TAKSONOMIEN</w:t>
            </w:r>
          </w:p>
        </w:tc>
        <w:tc>
          <w:tcPr>
            <w:tcW w:w="1309" w:type="dxa"/>
            <w:gridSpan w:val="3"/>
            <w:tcBorders>
              <w:top w:val="single" w:sz="4" w:space="0" w:color="auto"/>
              <w:left w:val="nil"/>
              <w:bottom w:val="nil"/>
              <w:right w:val="nil"/>
            </w:tcBorders>
            <w:shd w:val="clear" w:color="auto" w:fill="FFFFFF"/>
            <w:vAlign w:val="center"/>
          </w:tcPr>
          <w:p w14:paraId="1EF9F96B" w14:textId="77777777" w:rsidR="00A54846" w:rsidRPr="006A792F" w:rsidRDefault="00A54846">
            <w:pPr>
              <w:pStyle w:val="Para"/>
              <w:spacing w:after="0" w:line="240" w:lineRule="auto"/>
              <w:jc w:val="left"/>
              <w:rPr>
                <w:b/>
                <w:noProof/>
                <w:sz w:val="16"/>
                <w:szCs w:val="16"/>
                <w:lang w:bidi="en-US"/>
              </w:rPr>
            </w:pPr>
          </w:p>
        </w:tc>
        <w:tc>
          <w:tcPr>
            <w:tcW w:w="539" w:type="dxa"/>
            <w:gridSpan w:val="2"/>
            <w:tcBorders>
              <w:top w:val="single" w:sz="4" w:space="0" w:color="auto"/>
              <w:left w:val="nil"/>
              <w:bottom w:val="nil"/>
              <w:right w:val="nil"/>
            </w:tcBorders>
            <w:shd w:val="clear" w:color="auto" w:fill="FFFFFF"/>
            <w:tcMar>
              <w:top w:w="60" w:type="dxa"/>
              <w:left w:w="60" w:type="dxa"/>
              <w:bottom w:w="60" w:type="dxa"/>
              <w:right w:w="60" w:type="dxa"/>
            </w:tcMar>
            <w:vAlign w:val="center"/>
            <w:hideMark/>
          </w:tcPr>
          <w:p w14:paraId="76E239BC" w14:textId="77777777" w:rsidR="00A54846" w:rsidRDefault="008A2731">
            <w:pPr>
              <w:pStyle w:val="Para"/>
              <w:spacing w:after="0" w:line="240" w:lineRule="auto"/>
              <w:jc w:val="left"/>
              <w:rPr>
                <w:noProof/>
                <w:sz w:val="16"/>
                <w:szCs w:val="16"/>
              </w:rPr>
            </w:pPr>
            <w:r>
              <w:rPr>
                <w:sz w:val="16"/>
              </w:rPr>
              <w:t>%</w:t>
            </w:r>
          </w:p>
        </w:tc>
        <w:tc>
          <w:tcPr>
            <w:tcW w:w="6863" w:type="dxa"/>
            <w:gridSpan w:val="13"/>
            <w:tcBorders>
              <w:top w:val="single" w:sz="4" w:space="0" w:color="auto"/>
              <w:left w:val="nil"/>
              <w:bottom w:val="nil"/>
              <w:right w:val="single" w:sz="12" w:space="0" w:color="auto"/>
            </w:tcBorders>
            <w:shd w:val="clear" w:color="auto" w:fill="FFFFFF"/>
            <w:tcMar>
              <w:top w:w="60" w:type="dxa"/>
              <w:left w:w="60" w:type="dxa"/>
              <w:bottom w:w="60" w:type="dxa"/>
              <w:right w:w="60" w:type="dxa"/>
            </w:tcMar>
          </w:tcPr>
          <w:p w14:paraId="5FCDE685" w14:textId="77777777" w:rsidR="00A54846" w:rsidRDefault="00A54846">
            <w:pPr>
              <w:pStyle w:val="Para"/>
              <w:spacing w:after="0" w:line="240" w:lineRule="auto"/>
              <w:rPr>
                <w:noProof/>
                <w:sz w:val="16"/>
                <w:szCs w:val="16"/>
                <w:lang w:val="en-US" w:bidi="en-US"/>
              </w:rPr>
            </w:pPr>
          </w:p>
        </w:tc>
        <w:tc>
          <w:tcPr>
            <w:tcW w:w="876" w:type="dxa"/>
            <w:tcBorders>
              <w:top w:val="single" w:sz="4" w:space="0" w:color="auto"/>
              <w:left w:val="single" w:sz="12" w:space="0" w:color="auto"/>
              <w:bottom w:val="nil"/>
              <w:right w:val="single" w:sz="12" w:space="0" w:color="auto"/>
            </w:tcBorders>
            <w:shd w:val="clear" w:color="auto" w:fill="FFFFFF"/>
          </w:tcPr>
          <w:p w14:paraId="791154A7" w14:textId="77777777" w:rsidR="00A54846" w:rsidRDefault="00A54846">
            <w:pPr>
              <w:pStyle w:val="Para"/>
              <w:spacing w:after="0" w:line="240" w:lineRule="auto"/>
              <w:rPr>
                <w:noProof/>
                <w:sz w:val="16"/>
                <w:szCs w:val="16"/>
                <w:lang w:val="en-US" w:bidi="en-US"/>
              </w:rPr>
            </w:pPr>
          </w:p>
        </w:tc>
        <w:tc>
          <w:tcPr>
            <w:tcW w:w="2725" w:type="dxa"/>
            <w:gridSpan w:val="3"/>
            <w:tcBorders>
              <w:top w:val="single" w:sz="4" w:space="0" w:color="auto"/>
              <w:left w:val="single" w:sz="12" w:space="0" w:color="auto"/>
              <w:bottom w:val="nil"/>
              <w:right w:val="nil"/>
            </w:tcBorders>
            <w:shd w:val="clear" w:color="auto" w:fill="FFFFFF"/>
          </w:tcPr>
          <w:p w14:paraId="28E990CB" w14:textId="77777777" w:rsidR="00A54846" w:rsidRDefault="00A54846">
            <w:pPr>
              <w:pStyle w:val="Para"/>
              <w:spacing w:after="0" w:line="240" w:lineRule="auto"/>
              <w:rPr>
                <w:noProof/>
                <w:sz w:val="16"/>
                <w:szCs w:val="16"/>
                <w:lang w:val="en-US" w:bidi="en-US"/>
              </w:rPr>
            </w:pPr>
          </w:p>
        </w:tc>
      </w:tr>
      <w:tr w:rsidR="00A54846" w14:paraId="4B1FBC61" w14:textId="77777777">
        <w:tc>
          <w:tcPr>
            <w:tcW w:w="2012"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5FDAA611" w14:textId="77777777" w:rsidR="00A54846" w:rsidRDefault="008A2731">
            <w:pPr>
              <w:pStyle w:val="Para"/>
              <w:spacing w:after="0" w:line="240" w:lineRule="auto"/>
              <w:jc w:val="left"/>
              <w:rPr>
                <w:b/>
                <w:noProof/>
                <w:sz w:val="16"/>
                <w:szCs w:val="16"/>
              </w:rPr>
            </w:pPr>
            <w:r>
              <w:rPr>
                <w:b/>
                <w:sz w:val="16"/>
              </w:rPr>
              <w:t>A.1. Miljømessig bærekraftige (taksonomiforenlige) aktiviteter</w:t>
            </w:r>
          </w:p>
        </w:tc>
        <w:tc>
          <w:tcPr>
            <w:tcW w:w="520"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6221BDC1" w14:textId="77777777" w:rsidR="00A54846" w:rsidRPr="006A792F" w:rsidRDefault="00A54846">
            <w:pPr>
              <w:pStyle w:val="Para"/>
              <w:spacing w:after="0" w:line="240" w:lineRule="auto"/>
              <w:jc w:val="left"/>
              <w:rPr>
                <w:noProof/>
                <w:sz w:val="16"/>
                <w:szCs w:val="16"/>
                <w:lang w:bidi="en-US"/>
              </w:rPr>
            </w:pPr>
          </w:p>
        </w:tc>
        <w:tc>
          <w:tcPr>
            <w:tcW w:w="788"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43797E50" w14:textId="77777777" w:rsidR="00A54846" w:rsidRPr="006A792F" w:rsidRDefault="00A54846">
            <w:pPr>
              <w:pStyle w:val="Para"/>
              <w:spacing w:after="0" w:line="240" w:lineRule="auto"/>
              <w:jc w:val="center"/>
              <w:rPr>
                <w:noProof/>
                <w:sz w:val="16"/>
                <w:szCs w:val="16"/>
                <w:lang w:bidi="en-US"/>
              </w:rPr>
            </w:pPr>
          </w:p>
        </w:tc>
        <w:tc>
          <w:tcPr>
            <w:tcW w:w="53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26EF9DCD" w14:textId="77777777" w:rsidR="00A54846" w:rsidRPr="006A792F" w:rsidRDefault="00A54846">
            <w:pPr>
              <w:pStyle w:val="Para"/>
              <w:spacing w:after="0" w:line="240" w:lineRule="auto"/>
              <w:jc w:val="center"/>
              <w:rPr>
                <w:noProof/>
                <w:sz w:val="16"/>
                <w:szCs w:val="16"/>
                <w:lang w:bidi="en-US"/>
              </w:rPr>
            </w:pPr>
          </w:p>
        </w:tc>
        <w:tc>
          <w:tcPr>
            <w:tcW w:w="527"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51859A0A" w14:textId="77777777" w:rsidR="00A54846" w:rsidRPr="006A792F" w:rsidRDefault="00A54846">
            <w:pPr>
              <w:pStyle w:val="Para"/>
              <w:spacing w:after="0" w:line="240" w:lineRule="auto"/>
              <w:jc w:val="center"/>
              <w:rPr>
                <w:noProof/>
                <w:sz w:val="16"/>
                <w:szCs w:val="16"/>
                <w:lang w:bidi="en-US"/>
              </w:rPr>
            </w:pP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0D733FF0" w14:textId="77777777" w:rsidR="00A54846" w:rsidRPr="006A792F" w:rsidRDefault="00A54846">
            <w:pPr>
              <w:pStyle w:val="Para"/>
              <w:spacing w:after="0" w:line="240" w:lineRule="auto"/>
              <w:jc w:val="center"/>
              <w:rPr>
                <w:noProof/>
                <w:sz w:val="16"/>
                <w:szCs w:val="16"/>
                <w:lang w:bidi="en-US"/>
              </w:rPr>
            </w:pPr>
          </w:p>
        </w:tc>
        <w:tc>
          <w:tcPr>
            <w:tcW w:w="51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1968868C" w14:textId="77777777" w:rsidR="00A54846" w:rsidRPr="006A792F" w:rsidRDefault="00A54846">
            <w:pPr>
              <w:pStyle w:val="Para"/>
              <w:spacing w:after="0" w:line="240" w:lineRule="auto"/>
              <w:jc w:val="center"/>
              <w:rPr>
                <w:noProof/>
                <w:sz w:val="16"/>
                <w:szCs w:val="16"/>
                <w:lang w:bidi="en-US"/>
              </w:rPr>
            </w:pPr>
          </w:p>
        </w:tc>
        <w:tc>
          <w:tcPr>
            <w:tcW w:w="53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59FE70B7" w14:textId="77777777" w:rsidR="00A54846" w:rsidRPr="006A792F" w:rsidRDefault="00A54846">
            <w:pPr>
              <w:pStyle w:val="Para"/>
              <w:spacing w:after="0" w:line="240" w:lineRule="auto"/>
              <w:jc w:val="center"/>
              <w:rPr>
                <w:noProof/>
                <w:sz w:val="16"/>
                <w:szCs w:val="16"/>
                <w:lang w:bidi="en-US"/>
              </w:rPr>
            </w:pPr>
          </w:p>
        </w:tc>
        <w:tc>
          <w:tcPr>
            <w:tcW w:w="51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1136FDBE" w14:textId="77777777" w:rsidR="00A54846" w:rsidRPr="006A792F" w:rsidRDefault="00A54846">
            <w:pPr>
              <w:pStyle w:val="Para"/>
              <w:spacing w:after="0" w:line="240" w:lineRule="auto"/>
              <w:jc w:val="center"/>
              <w:rPr>
                <w:noProof/>
                <w:sz w:val="16"/>
                <w:szCs w:val="16"/>
                <w:lang w:bidi="en-US"/>
              </w:rPr>
            </w:pPr>
          </w:p>
        </w:tc>
        <w:tc>
          <w:tcPr>
            <w:tcW w:w="56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05B10CA9" w14:textId="77777777" w:rsidR="00A54846" w:rsidRPr="006A792F" w:rsidRDefault="00A54846">
            <w:pPr>
              <w:pStyle w:val="Para"/>
              <w:spacing w:after="0" w:line="240" w:lineRule="auto"/>
              <w:jc w:val="center"/>
              <w:rPr>
                <w:noProof/>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43F706E" w14:textId="77777777" w:rsidR="00A54846" w:rsidRPr="006A792F" w:rsidRDefault="00A54846">
            <w:pPr>
              <w:pStyle w:val="Para"/>
              <w:spacing w:after="0" w:line="240" w:lineRule="auto"/>
              <w:jc w:val="center"/>
              <w:rPr>
                <w:noProof/>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40C91F47" w14:textId="77777777" w:rsidR="00A54846" w:rsidRPr="006A792F" w:rsidRDefault="00A54846">
            <w:pPr>
              <w:pStyle w:val="Para"/>
              <w:spacing w:after="0" w:line="240" w:lineRule="auto"/>
              <w:jc w:val="center"/>
              <w:rPr>
                <w:noProof/>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EC1AF3F" w14:textId="77777777" w:rsidR="00A54846" w:rsidRPr="006A792F" w:rsidRDefault="00A54846">
            <w:pPr>
              <w:pStyle w:val="Para"/>
              <w:spacing w:after="0" w:line="240" w:lineRule="auto"/>
              <w:jc w:val="center"/>
              <w:rPr>
                <w:noProof/>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676CF686" w14:textId="77777777" w:rsidR="00A54846" w:rsidRPr="006A792F" w:rsidRDefault="00A54846">
            <w:pPr>
              <w:pStyle w:val="Para"/>
              <w:spacing w:after="0" w:line="240" w:lineRule="auto"/>
              <w:jc w:val="center"/>
              <w:rPr>
                <w:noProof/>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5A3A6F95" w14:textId="77777777" w:rsidR="00A54846" w:rsidRPr="006A792F" w:rsidRDefault="00A54846">
            <w:pPr>
              <w:pStyle w:val="Para"/>
              <w:spacing w:after="0" w:line="240" w:lineRule="auto"/>
              <w:jc w:val="center"/>
              <w:rPr>
                <w:noProof/>
                <w:sz w:val="16"/>
                <w:szCs w:val="16"/>
                <w:lang w:bidi="en-US"/>
              </w:rPr>
            </w:pPr>
          </w:p>
        </w:tc>
        <w:tc>
          <w:tcPr>
            <w:tcW w:w="52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0ED79F78" w14:textId="77777777" w:rsidR="00A54846" w:rsidRPr="006A792F" w:rsidRDefault="00A54846">
            <w:pPr>
              <w:pStyle w:val="Para"/>
              <w:spacing w:after="0" w:line="240" w:lineRule="auto"/>
              <w:jc w:val="center"/>
              <w:rPr>
                <w:noProof/>
                <w:sz w:val="16"/>
                <w:szCs w:val="16"/>
                <w:lang w:bidi="en-US"/>
              </w:rPr>
            </w:pPr>
          </w:p>
        </w:tc>
        <w:tc>
          <w:tcPr>
            <w:tcW w:w="528" w:type="dxa"/>
            <w:tcBorders>
              <w:top w:val="single" w:sz="4" w:space="0" w:color="auto"/>
              <w:left w:val="single" w:sz="4" w:space="0" w:color="auto"/>
              <w:bottom w:val="nil"/>
              <w:right w:val="single" w:sz="12" w:space="0" w:color="auto"/>
            </w:tcBorders>
            <w:shd w:val="clear" w:color="auto" w:fill="FFFFFF"/>
            <w:tcMar>
              <w:top w:w="60" w:type="dxa"/>
              <w:left w:w="60" w:type="dxa"/>
              <w:bottom w:w="60" w:type="dxa"/>
              <w:right w:w="60" w:type="dxa"/>
            </w:tcMar>
          </w:tcPr>
          <w:p w14:paraId="010D6722" w14:textId="77777777" w:rsidR="00A54846" w:rsidRPr="006A792F" w:rsidRDefault="00A54846">
            <w:pPr>
              <w:pStyle w:val="Para"/>
              <w:spacing w:after="0" w:line="240" w:lineRule="auto"/>
              <w:jc w:val="center"/>
              <w:rPr>
                <w:noProof/>
                <w:sz w:val="16"/>
                <w:szCs w:val="16"/>
                <w:lang w:bidi="en-US"/>
              </w:rPr>
            </w:pPr>
          </w:p>
        </w:tc>
        <w:tc>
          <w:tcPr>
            <w:tcW w:w="876" w:type="dxa"/>
            <w:tcBorders>
              <w:top w:val="single" w:sz="4" w:space="0" w:color="auto"/>
              <w:left w:val="single" w:sz="12" w:space="0" w:color="auto"/>
              <w:bottom w:val="nil"/>
              <w:right w:val="single" w:sz="12" w:space="0" w:color="auto"/>
            </w:tcBorders>
            <w:shd w:val="clear" w:color="auto" w:fill="FFFFFF"/>
            <w:tcMar>
              <w:top w:w="60" w:type="dxa"/>
              <w:left w:w="60" w:type="dxa"/>
              <w:bottom w:w="60" w:type="dxa"/>
              <w:right w:w="60" w:type="dxa"/>
            </w:tcMar>
          </w:tcPr>
          <w:p w14:paraId="7A3A4117" w14:textId="77777777" w:rsidR="00A54846" w:rsidRPr="006A792F" w:rsidRDefault="00A54846">
            <w:pPr>
              <w:pStyle w:val="Para"/>
              <w:spacing w:after="0" w:line="240" w:lineRule="auto"/>
              <w:jc w:val="center"/>
              <w:rPr>
                <w:noProof/>
                <w:sz w:val="16"/>
                <w:szCs w:val="16"/>
                <w:lang w:bidi="en-US"/>
              </w:rPr>
            </w:pP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tcPr>
          <w:p w14:paraId="27E002F9" w14:textId="77777777" w:rsidR="00A54846" w:rsidRPr="006A792F" w:rsidRDefault="00A54846">
            <w:pPr>
              <w:pStyle w:val="Para"/>
              <w:spacing w:after="0" w:line="240" w:lineRule="auto"/>
              <w:jc w:val="center"/>
              <w:rPr>
                <w:noProof/>
                <w:sz w:val="16"/>
                <w:szCs w:val="16"/>
                <w:lang w:bidi="en-US"/>
              </w:rPr>
            </w:pP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57DED3F6" w14:textId="77777777" w:rsidR="00A54846" w:rsidRPr="006A792F" w:rsidRDefault="00A54846">
            <w:pPr>
              <w:pStyle w:val="Para"/>
              <w:spacing w:after="0" w:line="240" w:lineRule="auto"/>
              <w:jc w:val="center"/>
              <w:rPr>
                <w:noProof/>
                <w:sz w:val="16"/>
                <w:szCs w:val="16"/>
                <w:lang w:bidi="en-US"/>
              </w:rPr>
            </w:pPr>
          </w:p>
        </w:tc>
        <w:tc>
          <w:tcPr>
            <w:tcW w:w="1059"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tcPr>
          <w:p w14:paraId="1A76657A" w14:textId="77777777" w:rsidR="00A54846" w:rsidRPr="006A792F" w:rsidRDefault="00A54846">
            <w:pPr>
              <w:pStyle w:val="Para"/>
              <w:spacing w:after="0" w:line="240" w:lineRule="auto"/>
              <w:jc w:val="center"/>
              <w:rPr>
                <w:noProof/>
                <w:sz w:val="16"/>
                <w:szCs w:val="16"/>
                <w:lang w:bidi="en-US"/>
              </w:rPr>
            </w:pPr>
          </w:p>
        </w:tc>
      </w:tr>
      <w:tr w:rsidR="00A54846" w14:paraId="26EB8A71" w14:textId="77777777">
        <w:tc>
          <w:tcPr>
            <w:tcW w:w="2012"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1B8AC4E2" w14:textId="77777777" w:rsidR="00A54846" w:rsidRDefault="008A2731">
            <w:pPr>
              <w:pStyle w:val="Para"/>
              <w:spacing w:after="0" w:line="240" w:lineRule="auto"/>
              <w:jc w:val="left"/>
              <w:rPr>
                <w:noProof/>
                <w:sz w:val="16"/>
                <w:szCs w:val="16"/>
              </w:rPr>
            </w:pPr>
            <w:r>
              <w:rPr>
                <w:sz w:val="16"/>
              </w:rPr>
              <w:t>Aktivitet 1</w:t>
            </w:r>
            <w:r>
              <w:rPr>
                <w:sz w:val="16"/>
                <w:vertAlign w:val="superscript"/>
              </w:rPr>
              <w:t>(1)</w:t>
            </w:r>
          </w:p>
        </w:tc>
        <w:tc>
          <w:tcPr>
            <w:tcW w:w="520"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35AFDE4E" w14:textId="77777777" w:rsidR="00A54846" w:rsidRDefault="00A54846">
            <w:pPr>
              <w:pStyle w:val="Para"/>
              <w:spacing w:after="0" w:line="240" w:lineRule="auto"/>
              <w:jc w:val="left"/>
              <w:rPr>
                <w:noProof/>
                <w:sz w:val="16"/>
                <w:szCs w:val="16"/>
                <w:lang w:val="en-US" w:bidi="en-US"/>
              </w:rPr>
            </w:pPr>
          </w:p>
        </w:tc>
        <w:tc>
          <w:tcPr>
            <w:tcW w:w="788"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36F025C3" w14:textId="77777777" w:rsidR="00A54846" w:rsidRDefault="00A54846">
            <w:pPr>
              <w:pStyle w:val="Para"/>
              <w:spacing w:after="0" w:line="240" w:lineRule="auto"/>
              <w:jc w:val="center"/>
              <w:rPr>
                <w:noProof/>
                <w:sz w:val="16"/>
                <w:szCs w:val="16"/>
                <w:lang w:val="en-US" w:bidi="en-US"/>
              </w:rPr>
            </w:pPr>
          </w:p>
        </w:tc>
        <w:tc>
          <w:tcPr>
            <w:tcW w:w="53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hideMark/>
          </w:tcPr>
          <w:p w14:paraId="35E571FF" w14:textId="77777777" w:rsidR="00A54846" w:rsidRDefault="008A2731">
            <w:pPr>
              <w:pStyle w:val="Para"/>
              <w:spacing w:after="0" w:line="240" w:lineRule="auto"/>
              <w:jc w:val="center"/>
              <w:rPr>
                <w:noProof/>
                <w:sz w:val="16"/>
                <w:szCs w:val="16"/>
              </w:rPr>
            </w:pPr>
            <w:r>
              <w:rPr>
                <w:sz w:val="16"/>
              </w:rPr>
              <w:t>%</w:t>
            </w:r>
          </w:p>
        </w:tc>
        <w:tc>
          <w:tcPr>
            <w:tcW w:w="527"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3E531A67" w14:textId="77777777" w:rsidR="00A54846" w:rsidRDefault="008A2731">
            <w:pPr>
              <w:pStyle w:val="Para"/>
              <w:spacing w:after="0" w:line="240" w:lineRule="auto"/>
              <w:jc w:val="center"/>
              <w:rPr>
                <w:noProof/>
                <w:sz w:val="16"/>
                <w:szCs w:val="16"/>
              </w:rPr>
            </w:pPr>
            <w:r>
              <w:rPr>
                <w:sz w:val="16"/>
              </w:rPr>
              <w:t>%</w:t>
            </w: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1528C84C" w14:textId="77777777" w:rsidR="00A54846" w:rsidRDefault="008A2731">
            <w:pPr>
              <w:pStyle w:val="Para"/>
              <w:spacing w:after="0" w:line="240" w:lineRule="auto"/>
              <w:jc w:val="center"/>
              <w:rPr>
                <w:noProof/>
                <w:sz w:val="16"/>
                <w:szCs w:val="16"/>
              </w:rPr>
            </w:pPr>
            <w:r>
              <w:rPr>
                <w:sz w:val="16"/>
              </w:rPr>
              <w:t>%</w:t>
            </w:r>
          </w:p>
        </w:tc>
        <w:tc>
          <w:tcPr>
            <w:tcW w:w="51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5898CE25" w14:textId="77777777" w:rsidR="00A54846" w:rsidRDefault="008A2731">
            <w:pPr>
              <w:pStyle w:val="Para"/>
              <w:spacing w:after="0" w:line="240" w:lineRule="auto"/>
              <w:jc w:val="center"/>
              <w:rPr>
                <w:noProof/>
                <w:sz w:val="16"/>
                <w:szCs w:val="16"/>
              </w:rPr>
            </w:pPr>
            <w:r>
              <w:rPr>
                <w:sz w:val="16"/>
              </w:rPr>
              <w:t>%</w:t>
            </w:r>
          </w:p>
        </w:tc>
        <w:tc>
          <w:tcPr>
            <w:tcW w:w="53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792946AB" w14:textId="77777777" w:rsidR="00A54846" w:rsidRDefault="008A2731">
            <w:pPr>
              <w:pStyle w:val="Para"/>
              <w:spacing w:after="0" w:line="240" w:lineRule="auto"/>
              <w:jc w:val="center"/>
              <w:rPr>
                <w:noProof/>
                <w:sz w:val="16"/>
                <w:szCs w:val="16"/>
              </w:rPr>
            </w:pPr>
            <w:r>
              <w:rPr>
                <w:sz w:val="16"/>
              </w:rPr>
              <w:t>%</w:t>
            </w:r>
          </w:p>
        </w:tc>
        <w:tc>
          <w:tcPr>
            <w:tcW w:w="51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3F88F72C" w14:textId="77777777" w:rsidR="00A54846" w:rsidRDefault="008A2731">
            <w:pPr>
              <w:pStyle w:val="Para"/>
              <w:spacing w:after="0" w:line="240" w:lineRule="auto"/>
              <w:jc w:val="center"/>
              <w:rPr>
                <w:noProof/>
                <w:sz w:val="16"/>
                <w:szCs w:val="16"/>
              </w:rPr>
            </w:pPr>
            <w:r>
              <w:rPr>
                <w:sz w:val="16"/>
              </w:rPr>
              <w:t>%</w:t>
            </w:r>
          </w:p>
        </w:tc>
        <w:tc>
          <w:tcPr>
            <w:tcW w:w="56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047F1FF1" w14:textId="77777777" w:rsidR="00A54846" w:rsidRDefault="008A2731">
            <w:pPr>
              <w:pStyle w:val="Para"/>
              <w:spacing w:after="0" w:line="240" w:lineRule="auto"/>
              <w:jc w:val="center"/>
              <w:rPr>
                <w:noProof/>
                <w:sz w:val="16"/>
                <w:szCs w:val="16"/>
              </w:rPr>
            </w:pPr>
            <w:r>
              <w:rPr>
                <w:sz w:val="16"/>
              </w:rPr>
              <w:t>%</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1BF90292" w14:textId="77777777" w:rsidR="00A54846" w:rsidRDefault="00A54846">
            <w:pPr>
              <w:pStyle w:val="Para"/>
              <w:spacing w:after="0" w:line="240" w:lineRule="auto"/>
              <w:jc w:val="center"/>
              <w:rPr>
                <w:noProof/>
                <w:sz w:val="16"/>
                <w:szCs w:val="16"/>
                <w:lang w:val="en-US"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3AE46059" w14:textId="77777777" w:rsidR="00A54846" w:rsidRDefault="008A2731">
            <w:pPr>
              <w:pStyle w:val="Para"/>
              <w:spacing w:after="0" w:line="240" w:lineRule="auto"/>
              <w:jc w:val="center"/>
              <w:rPr>
                <w:noProof/>
                <w:sz w:val="16"/>
                <w:szCs w:val="16"/>
              </w:rPr>
            </w:pPr>
            <w:r>
              <w:rPr>
                <w:sz w:val="16"/>
              </w:rPr>
              <w:t>Ja</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665110D8" w14:textId="77777777" w:rsidR="00A54846" w:rsidRDefault="008A2731">
            <w:pPr>
              <w:pStyle w:val="Para"/>
              <w:spacing w:after="0" w:line="240" w:lineRule="auto"/>
              <w:jc w:val="center"/>
              <w:rPr>
                <w:noProof/>
                <w:sz w:val="16"/>
                <w:szCs w:val="16"/>
              </w:rPr>
            </w:pPr>
            <w:r>
              <w:rPr>
                <w:sz w:val="16"/>
              </w:rPr>
              <w:t>Ja</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4F00187E" w14:textId="77777777" w:rsidR="00A54846" w:rsidRDefault="008A2731">
            <w:pPr>
              <w:pStyle w:val="Para"/>
              <w:spacing w:after="0" w:line="240" w:lineRule="auto"/>
              <w:jc w:val="center"/>
              <w:rPr>
                <w:noProof/>
                <w:sz w:val="16"/>
                <w:szCs w:val="16"/>
              </w:rPr>
            </w:pPr>
            <w:r>
              <w:rPr>
                <w:sz w:val="16"/>
              </w:rPr>
              <w:t>Ja</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51B87470" w14:textId="77777777" w:rsidR="00A54846" w:rsidRDefault="008A2731">
            <w:pPr>
              <w:pStyle w:val="Para"/>
              <w:spacing w:after="0" w:line="240" w:lineRule="auto"/>
              <w:jc w:val="center"/>
              <w:rPr>
                <w:noProof/>
                <w:sz w:val="16"/>
                <w:szCs w:val="16"/>
              </w:rPr>
            </w:pPr>
            <w:r>
              <w:rPr>
                <w:sz w:val="16"/>
              </w:rPr>
              <w:t>Ja</w:t>
            </w:r>
          </w:p>
        </w:tc>
        <w:tc>
          <w:tcPr>
            <w:tcW w:w="52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2C57BE49" w14:textId="77777777" w:rsidR="00A54846" w:rsidRDefault="008A2731">
            <w:pPr>
              <w:pStyle w:val="Para"/>
              <w:spacing w:after="0" w:line="240" w:lineRule="auto"/>
              <w:jc w:val="center"/>
              <w:rPr>
                <w:noProof/>
                <w:sz w:val="16"/>
                <w:szCs w:val="16"/>
              </w:rPr>
            </w:pPr>
            <w:r>
              <w:rPr>
                <w:sz w:val="16"/>
              </w:rPr>
              <w:t>Ja</w:t>
            </w:r>
          </w:p>
        </w:tc>
        <w:tc>
          <w:tcPr>
            <w:tcW w:w="528" w:type="dxa"/>
            <w:tcBorders>
              <w:top w:val="single" w:sz="4" w:space="0" w:color="auto"/>
              <w:left w:val="single" w:sz="4" w:space="0" w:color="auto"/>
              <w:bottom w:val="nil"/>
              <w:right w:val="single" w:sz="12" w:space="0" w:color="auto"/>
            </w:tcBorders>
            <w:shd w:val="clear" w:color="auto" w:fill="FFFFFF"/>
            <w:tcMar>
              <w:top w:w="60" w:type="dxa"/>
              <w:left w:w="60" w:type="dxa"/>
              <w:bottom w:w="60" w:type="dxa"/>
              <w:right w:w="60" w:type="dxa"/>
            </w:tcMar>
            <w:vAlign w:val="bottom"/>
            <w:hideMark/>
          </w:tcPr>
          <w:p w14:paraId="3D2BC8F1" w14:textId="77777777" w:rsidR="00A54846" w:rsidRDefault="008A2731">
            <w:pPr>
              <w:pStyle w:val="Para"/>
              <w:spacing w:after="0" w:line="240" w:lineRule="auto"/>
              <w:jc w:val="center"/>
              <w:rPr>
                <w:b/>
                <w:noProof/>
                <w:sz w:val="16"/>
                <w:szCs w:val="16"/>
              </w:rPr>
            </w:pPr>
            <w:r>
              <w:rPr>
                <w:b/>
                <w:sz w:val="16"/>
              </w:rPr>
              <w:t>Ja</w:t>
            </w:r>
          </w:p>
        </w:tc>
        <w:tc>
          <w:tcPr>
            <w:tcW w:w="876" w:type="dxa"/>
            <w:tcBorders>
              <w:top w:val="single" w:sz="4" w:space="0" w:color="auto"/>
              <w:left w:val="single" w:sz="12" w:space="0" w:color="auto"/>
              <w:bottom w:val="nil"/>
              <w:right w:val="single" w:sz="12" w:space="0" w:color="auto"/>
            </w:tcBorders>
            <w:shd w:val="clear" w:color="auto" w:fill="FFFFFF"/>
            <w:tcMar>
              <w:top w:w="60" w:type="dxa"/>
              <w:left w:w="60" w:type="dxa"/>
              <w:bottom w:w="60" w:type="dxa"/>
              <w:right w:w="60" w:type="dxa"/>
            </w:tcMar>
            <w:vAlign w:val="bottom"/>
            <w:hideMark/>
          </w:tcPr>
          <w:p w14:paraId="53C897E5" w14:textId="77777777" w:rsidR="00A54846" w:rsidRDefault="008A2731">
            <w:pPr>
              <w:pStyle w:val="Para"/>
              <w:spacing w:after="0" w:line="240" w:lineRule="auto"/>
              <w:jc w:val="center"/>
              <w:rPr>
                <w:b/>
                <w:noProof/>
                <w:sz w:val="16"/>
                <w:szCs w:val="16"/>
              </w:rPr>
            </w:pPr>
            <w:r>
              <w:rPr>
                <w:b/>
                <w:sz w:val="16"/>
              </w:rPr>
              <w:t>%</w:t>
            </w: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tcPr>
          <w:p w14:paraId="51781DEF" w14:textId="77777777" w:rsidR="00A54846" w:rsidRDefault="00A54846">
            <w:pPr>
              <w:pStyle w:val="Para"/>
              <w:spacing w:after="0" w:line="240" w:lineRule="auto"/>
              <w:jc w:val="center"/>
              <w:rPr>
                <w:noProof/>
                <w:sz w:val="16"/>
                <w:szCs w:val="16"/>
                <w:lang w:val="en-US" w:bidi="en-US"/>
              </w:rPr>
            </w:pP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08212954" w14:textId="79B37CA4" w:rsidR="00A54846" w:rsidRDefault="008A2731">
            <w:pPr>
              <w:pStyle w:val="Para"/>
              <w:spacing w:after="0" w:line="240" w:lineRule="auto"/>
              <w:jc w:val="center"/>
              <w:rPr>
                <w:noProof/>
                <w:sz w:val="16"/>
                <w:szCs w:val="16"/>
              </w:rPr>
            </w:pPr>
            <w:r>
              <w:rPr>
                <w:sz w:val="16"/>
              </w:rPr>
              <w:t>Mulig</w:t>
            </w:r>
            <w:r w:rsidR="007D4CBF">
              <w:rPr>
                <w:sz w:val="16"/>
              </w:rPr>
              <w:softHyphen/>
            </w:r>
            <w:r>
              <w:rPr>
                <w:sz w:val="16"/>
              </w:rPr>
              <w:t>gjørende</w:t>
            </w:r>
          </w:p>
        </w:tc>
        <w:tc>
          <w:tcPr>
            <w:tcW w:w="1059"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tcPr>
          <w:p w14:paraId="7B3B2446" w14:textId="77777777" w:rsidR="00A54846" w:rsidRDefault="00A54846">
            <w:pPr>
              <w:pStyle w:val="Para"/>
              <w:spacing w:after="0" w:line="240" w:lineRule="auto"/>
              <w:jc w:val="center"/>
              <w:rPr>
                <w:noProof/>
                <w:sz w:val="16"/>
                <w:szCs w:val="16"/>
                <w:lang w:val="en-US" w:bidi="en-US"/>
              </w:rPr>
            </w:pPr>
          </w:p>
        </w:tc>
      </w:tr>
      <w:tr w:rsidR="00A54846" w14:paraId="4486DDBD" w14:textId="77777777">
        <w:tc>
          <w:tcPr>
            <w:tcW w:w="2012" w:type="dxa"/>
            <w:gridSpan w:val="2"/>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352AD204" w14:textId="77777777" w:rsidR="00A54846" w:rsidRDefault="008A2731">
            <w:pPr>
              <w:pStyle w:val="Para"/>
              <w:spacing w:after="0" w:line="240" w:lineRule="auto"/>
              <w:jc w:val="left"/>
              <w:rPr>
                <w:noProof/>
                <w:sz w:val="16"/>
                <w:szCs w:val="16"/>
              </w:rPr>
            </w:pPr>
            <w:r>
              <w:rPr>
                <w:sz w:val="16"/>
              </w:rPr>
              <w:t>Aktivitet 2</w:t>
            </w:r>
          </w:p>
        </w:tc>
        <w:tc>
          <w:tcPr>
            <w:tcW w:w="520"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46C7A970" w14:textId="77777777" w:rsidR="00A54846" w:rsidRDefault="00A54846">
            <w:pPr>
              <w:pStyle w:val="Para"/>
              <w:spacing w:after="0" w:line="240" w:lineRule="auto"/>
              <w:jc w:val="left"/>
              <w:rPr>
                <w:noProof/>
                <w:sz w:val="16"/>
                <w:szCs w:val="16"/>
                <w:lang w:val="en-US" w:bidi="en-US"/>
              </w:rPr>
            </w:pPr>
          </w:p>
        </w:tc>
        <w:tc>
          <w:tcPr>
            <w:tcW w:w="788" w:type="dxa"/>
            <w:gridSpan w:val="2"/>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74BBFA30" w14:textId="77777777" w:rsidR="00A54846" w:rsidRDefault="00A54846">
            <w:pPr>
              <w:pStyle w:val="Para"/>
              <w:spacing w:after="0" w:line="240" w:lineRule="auto"/>
              <w:jc w:val="center"/>
              <w:rPr>
                <w:noProof/>
                <w:sz w:val="16"/>
                <w:szCs w:val="16"/>
                <w:lang w:val="en-US" w:bidi="en-US"/>
              </w:rPr>
            </w:pPr>
          </w:p>
        </w:tc>
        <w:tc>
          <w:tcPr>
            <w:tcW w:w="533"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6A79EEBC" w14:textId="77777777" w:rsidR="00A54846" w:rsidRDefault="008A2731">
            <w:pPr>
              <w:pStyle w:val="Para"/>
              <w:spacing w:after="0" w:line="240" w:lineRule="auto"/>
              <w:jc w:val="center"/>
              <w:rPr>
                <w:noProof/>
                <w:sz w:val="16"/>
                <w:szCs w:val="16"/>
              </w:rPr>
            </w:pPr>
            <w:r>
              <w:rPr>
                <w:sz w:val="16"/>
              </w:rPr>
              <w:t>%</w:t>
            </w:r>
          </w:p>
        </w:tc>
        <w:tc>
          <w:tcPr>
            <w:tcW w:w="527"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62C88055" w14:textId="77777777" w:rsidR="00A54846" w:rsidRDefault="008A2731">
            <w:pPr>
              <w:pStyle w:val="Para"/>
              <w:spacing w:after="0" w:line="240" w:lineRule="auto"/>
              <w:jc w:val="center"/>
              <w:rPr>
                <w:noProof/>
                <w:sz w:val="16"/>
                <w:szCs w:val="16"/>
              </w:rPr>
            </w:pPr>
            <w:r>
              <w:rPr>
                <w:sz w:val="16"/>
              </w:rPr>
              <w:t>%</w:t>
            </w:r>
          </w:p>
        </w:tc>
        <w:tc>
          <w:tcPr>
            <w:tcW w:w="528"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40F01525" w14:textId="77777777" w:rsidR="00A54846" w:rsidRDefault="008A2731">
            <w:pPr>
              <w:pStyle w:val="Para"/>
              <w:spacing w:after="0" w:line="240" w:lineRule="auto"/>
              <w:jc w:val="center"/>
              <w:rPr>
                <w:noProof/>
                <w:sz w:val="16"/>
                <w:szCs w:val="16"/>
              </w:rPr>
            </w:pPr>
            <w:r>
              <w:rPr>
                <w:sz w:val="16"/>
              </w:rPr>
              <w:t>%</w:t>
            </w:r>
          </w:p>
        </w:tc>
        <w:tc>
          <w:tcPr>
            <w:tcW w:w="513"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5568053B" w14:textId="77777777" w:rsidR="00A54846" w:rsidRDefault="008A2731">
            <w:pPr>
              <w:pStyle w:val="Para"/>
              <w:spacing w:after="0" w:line="240" w:lineRule="auto"/>
              <w:jc w:val="center"/>
              <w:rPr>
                <w:noProof/>
                <w:sz w:val="16"/>
                <w:szCs w:val="16"/>
              </w:rPr>
            </w:pPr>
            <w:r>
              <w:rPr>
                <w:sz w:val="16"/>
              </w:rPr>
              <w:t>%</w:t>
            </w:r>
          </w:p>
        </w:tc>
        <w:tc>
          <w:tcPr>
            <w:tcW w:w="531"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129D8BA4" w14:textId="77777777" w:rsidR="00A54846" w:rsidRDefault="008A2731">
            <w:pPr>
              <w:pStyle w:val="Para"/>
              <w:spacing w:after="0" w:line="240" w:lineRule="auto"/>
              <w:jc w:val="center"/>
              <w:rPr>
                <w:noProof/>
                <w:sz w:val="16"/>
                <w:szCs w:val="16"/>
              </w:rPr>
            </w:pPr>
            <w:r>
              <w:rPr>
                <w:sz w:val="16"/>
              </w:rPr>
              <w:t>%</w:t>
            </w:r>
          </w:p>
        </w:tc>
        <w:tc>
          <w:tcPr>
            <w:tcW w:w="51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4102D8F0" w14:textId="77777777" w:rsidR="00A54846" w:rsidRDefault="008A2731">
            <w:pPr>
              <w:pStyle w:val="Para"/>
              <w:spacing w:after="0" w:line="240" w:lineRule="auto"/>
              <w:jc w:val="center"/>
              <w:rPr>
                <w:noProof/>
                <w:sz w:val="16"/>
                <w:szCs w:val="16"/>
              </w:rPr>
            </w:pPr>
            <w:r>
              <w:rPr>
                <w:sz w:val="16"/>
              </w:rPr>
              <w:t>%</w:t>
            </w:r>
          </w:p>
        </w:tc>
        <w:tc>
          <w:tcPr>
            <w:tcW w:w="56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2549382B" w14:textId="77777777" w:rsidR="00A54846" w:rsidRDefault="008A2731">
            <w:pPr>
              <w:pStyle w:val="Para"/>
              <w:spacing w:after="0" w:line="240" w:lineRule="auto"/>
              <w:jc w:val="center"/>
              <w:rPr>
                <w:noProof/>
                <w:sz w:val="16"/>
                <w:szCs w:val="16"/>
              </w:rPr>
            </w:pPr>
            <w:r>
              <w:rPr>
                <w:sz w:val="16"/>
              </w:rPr>
              <w:t>%</w:t>
            </w: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04FCA051" w14:textId="77777777" w:rsidR="00A54846" w:rsidRDefault="008A2731">
            <w:pPr>
              <w:pStyle w:val="Para"/>
              <w:spacing w:after="0" w:line="240" w:lineRule="auto"/>
              <w:jc w:val="center"/>
              <w:rPr>
                <w:noProof/>
                <w:sz w:val="16"/>
                <w:szCs w:val="16"/>
              </w:rPr>
            </w:pPr>
            <w:r>
              <w:rPr>
                <w:sz w:val="16"/>
              </w:rPr>
              <w:t>Ja</w:t>
            </w: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6A9EFCF8" w14:textId="77777777" w:rsidR="00A54846" w:rsidRDefault="008A2731">
            <w:pPr>
              <w:pStyle w:val="Para"/>
              <w:spacing w:after="0" w:line="240" w:lineRule="auto"/>
              <w:jc w:val="center"/>
              <w:rPr>
                <w:noProof/>
                <w:sz w:val="16"/>
                <w:szCs w:val="16"/>
              </w:rPr>
            </w:pPr>
            <w:r>
              <w:rPr>
                <w:sz w:val="16"/>
              </w:rPr>
              <w:t>Ja</w:t>
            </w: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705BA31D" w14:textId="77777777" w:rsidR="00A54846" w:rsidRDefault="00A54846">
            <w:pPr>
              <w:pStyle w:val="Para"/>
              <w:spacing w:after="0" w:line="240" w:lineRule="auto"/>
              <w:jc w:val="center"/>
              <w:rPr>
                <w:noProof/>
                <w:sz w:val="16"/>
                <w:szCs w:val="16"/>
                <w:lang w:val="en-US" w:bidi="en-US"/>
              </w:rPr>
            </w:pP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068D7464" w14:textId="77777777" w:rsidR="00A54846" w:rsidRDefault="008A2731">
            <w:pPr>
              <w:pStyle w:val="Para"/>
              <w:spacing w:after="0" w:line="240" w:lineRule="auto"/>
              <w:jc w:val="center"/>
              <w:rPr>
                <w:noProof/>
                <w:sz w:val="16"/>
                <w:szCs w:val="16"/>
              </w:rPr>
            </w:pPr>
            <w:r>
              <w:rPr>
                <w:sz w:val="16"/>
              </w:rPr>
              <w:t>Ja</w:t>
            </w: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7BB6E6AF" w14:textId="77777777" w:rsidR="00A54846" w:rsidRDefault="008A2731">
            <w:pPr>
              <w:pStyle w:val="Para"/>
              <w:spacing w:after="0" w:line="240" w:lineRule="auto"/>
              <w:jc w:val="center"/>
              <w:rPr>
                <w:noProof/>
                <w:sz w:val="16"/>
                <w:szCs w:val="16"/>
              </w:rPr>
            </w:pPr>
            <w:r>
              <w:rPr>
                <w:sz w:val="16"/>
              </w:rPr>
              <w:t>Ja</w:t>
            </w:r>
          </w:p>
        </w:tc>
        <w:tc>
          <w:tcPr>
            <w:tcW w:w="524"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32BCB6EB" w14:textId="77777777" w:rsidR="00A54846" w:rsidRDefault="008A2731">
            <w:pPr>
              <w:pStyle w:val="Para"/>
              <w:spacing w:after="0" w:line="240" w:lineRule="auto"/>
              <w:jc w:val="center"/>
              <w:rPr>
                <w:noProof/>
                <w:sz w:val="16"/>
                <w:szCs w:val="16"/>
              </w:rPr>
            </w:pPr>
            <w:r>
              <w:rPr>
                <w:sz w:val="16"/>
              </w:rPr>
              <w:t>Ja</w:t>
            </w:r>
          </w:p>
        </w:tc>
        <w:tc>
          <w:tcPr>
            <w:tcW w:w="528" w:type="dxa"/>
            <w:tcBorders>
              <w:top w:val="single" w:sz="4" w:space="0" w:color="auto"/>
              <w:left w:val="single" w:sz="4" w:space="0" w:color="auto"/>
              <w:bottom w:val="single" w:sz="4" w:space="0" w:color="auto"/>
              <w:right w:val="single" w:sz="12" w:space="0" w:color="auto"/>
            </w:tcBorders>
            <w:shd w:val="clear" w:color="auto" w:fill="FFFFFF"/>
            <w:tcMar>
              <w:top w:w="60" w:type="dxa"/>
              <w:left w:w="60" w:type="dxa"/>
              <w:bottom w:w="60" w:type="dxa"/>
              <w:right w:w="60" w:type="dxa"/>
            </w:tcMar>
            <w:vAlign w:val="bottom"/>
            <w:hideMark/>
          </w:tcPr>
          <w:p w14:paraId="0CC22C37" w14:textId="77777777" w:rsidR="00A54846" w:rsidRDefault="008A2731">
            <w:pPr>
              <w:pStyle w:val="Para"/>
              <w:spacing w:after="0" w:line="240" w:lineRule="auto"/>
              <w:jc w:val="center"/>
              <w:rPr>
                <w:noProof/>
                <w:sz w:val="16"/>
                <w:szCs w:val="16"/>
              </w:rPr>
            </w:pPr>
            <w:r>
              <w:rPr>
                <w:sz w:val="16"/>
              </w:rPr>
              <w:t>Ja</w:t>
            </w:r>
          </w:p>
        </w:tc>
        <w:tc>
          <w:tcPr>
            <w:tcW w:w="876" w:type="dxa"/>
            <w:tcBorders>
              <w:top w:val="single" w:sz="4" w:space="0" w:color="auto"/>
              <w:left w:val="single" w:sz="12" w:space="0" w:color="auto"/>
              <w:bottom w:val="single" w:sz="4" w:space="0" w:color="auto"/>
              <w:right w:val="single" w:sz="12" w:space="0" w:color="auto"/>
            </w:tcBorders>
            <w:shd w:val="clear" w:color="auto" w:fill="FFFFFF"/>
            <w:tcMar>
              <w:top w:w="60" w:type="dxa"/>
              <w:left w:w="60" w:type="dxa"/>
              <w:bottom w:w="60" w:type="dxa"/>
              <w:right w:w="60" w:type="dxa"/>
            </w:tcMar>
            <w:vAlign w:val="bottom"/>
            <w:hideMark/>
          </w:tcPr>
          <w:p w14:paraId="10270177" w14:textId="77777777" w:rsidR="00A54846" w:rsidRDefault="008A2731">
            <w:pPr>
              <w:pStyle w:val="Para"/>
              <w:spacing w:after="0" w:line="240" w:lineRule="auto"/>
              <w:jc w:val="center"/>
              <w:rPr>
                <w:b/>
                <w:noProof/>
                <w:sz w:val="16"/>
                <w:szCs w:val="16"/>
              </w:rPr>
            </w:pPr>
            <w:r>
              <w:rPr>
                <w:b/>
                <w:sz w:val="16"/>
              </w:rPr>
              <w:t>%</w:t>
            </w:r>
          </w:p>
        </w:tc>
        <w:tc>
          <w:tcPr>
            <w:tcW w:w="905" w:type="dxa"/>
            <w:tcBorders>
              <w:top w:val="single" w:sz="4" w:space="0" w:color="auto"/>
              <w:left w:val="single" w:sz="12" w:space="0" w:color="auto"/>
              <w:bottom w:val="single" w:sz="4" w:space="0" w:color="auto"/>
              <w:right w:val="nil"/>
            </w:tcBorders>
            <w:shd w:val="clear" w:color="auto" w:fill="FFFFFF"/>
            <w:tcMar>
              <w:top w:w="60" w:type="dxa"/>
              <w:left w:w="60" w:type="dxa"/>
              <w:bottom w:w="60" w:type="dxa"/>
              <w:right w:w="60" w:type="dxa"/>
            </w:tcMar>
          </w:tcPr>
          <w:p w14:paraId="436FF0A5" w14:textId="77777777" w:rsidR="00A54846" w:rsidRDefault="00A54846">
            <w:pPr>
              <w:pStyle w:val="Para"/>
              <w:spacing w:after="0" w:line="240" w:lineRule="auto"/>
              <w:jc w:val="center"/>
              <w:rPr>
                <w:noProof/>
                <w:sz w:val="16"/>
                <w:szCs w:val="16"/>
                <w:lang w:val="en-US" w:bidi="en-US"/>
              </w:rPr>
            </w:pPr>
          </w:p>
        </w:tc>
        <w:tc>
          <w:tcPr>
            <w:tcW w:w="761"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386FCF8C" w14:textId="77777777" w:rsidR="00A54846" w:rsidRDefault="00A54846">
            <w:pPr>
              <w:pStyle w:val="Para"/>
              <w:spacing w:after="0" w:line="240" w:lineRule="auto"/>
              <w:jc w:val="center"/>
              <w:rPr>
                <w:noProof/>
                <w:sz w:val="16"/>
                <w:szCs w:val="16"/>
                <w:lang w:val="en-US" w:bidi="en-US"/>
              </w:rPr>
            </w:pP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3479ED06" w14:textId="77777777" w:rsidR="00A54846" w:rsidRDefault="00A54846">
            <w:pPr>
              <w:pStyle w:val="Para"/>
              <w:spacing w:after="0" w:line="240" w:lineRule="auto"/>
              <w:jc w:val="center"/>
              <w:rPr>
                <w:noProof/>
                <w:sz w:val="16"/>
                <w:szCs w:val="16"/>
                <w:lang w:val="en-US" w:bidi="en-US"/>
              </w:rPr>
            </w:pPr>
          </w:p>
        </w:tc>
      </w:tr>
    </w:tbl>
    <w:p w14:paraId="04F57E58" w14:textId="77777777" w:rsidR="00A54846" w:rsidRDefault="00A54846">
      <w:pPr>
        <w:pStyle w:val="Para"/>
        <w:spacing w:line="240" w:lineRule="auto"/>
        <w:jc w:val="left"/>
        <w:rPr>
          <w:noProof/>
          <w:lang w:val="en-US"/>
        </w:rPr>
      </w:pPr>
    </w:p>
    <w:p w14:paraId="58FCB1E9" w14:textId="77777777" w:rsidR="00A54846" w:rsidRDefault="008A2731">
      <w:pPr>
        <w:pStyle w:val="Para"/>
        <w:spacing w:line="240" w:lineRule="auto"/>
        <w:jc w:val="left"/>
      </w:pPr>
      <w:r>
        <w:br w:type="page"/>
      </w:r>
    </w:p>
    <w:tbl>
      <w:tblPr>
        <w:tblOverlap w:val="never"/>
        <w:tblW w:w="0" w:type="auto"/>
        <w:tblInd w:w="72" w:type="dxa"/>
        <w:tblLayout w:type="fixed"/>
        <w:tblCellMar>
          <w:left w:w="10" w:type="dxa"/>
          <w:right w:w="10" w:type="dxa"/>
        </w:tblCellMar>
        <w:tblLook w:val="04A0" w:firstRow="1" w:lastRow="0" w:firstColumn="1" w:lastColumn="0" w:noHBand="0" w:noVBand="1"/>
      </w:tblPr>
      <w:tblGrid>
        <w:gridCol w:w="2484"/>
        <w:gridCol w:w="528"/>
        <w:gridCol w:w="852"/>
        <w:gridCol w:w="444"/>
        <w:gridCol w:w="300"/>
        <w:gridCol w:w="194"/>
        <w:gridCol w:w="262"/>
        <w:gridCol w:w="232"/>
        <w:gridCol w:w="118"/>
        <w:gridCol w:w="376"/>
        <w:gridCol w:w="162"/>
        <w:gridCol w:w="332"/>
        <w:gridCol w:w="184"/>
        <w:gridCol w:w="310"/>
        <w:gridCol w:w="256"/>
        <w:gridCol w:w="238"/>
        <w:gridCol w:w="288"/>
        <w:gridCol w:w="207"/>
        <w:gridCol w:w="319"/>
        <w:gridCol w:w="176"/>
        <w:gridCol w:w="351"/>
        <w:gridCol w:w="143"/>
        <w:gridCol w:w="383"/>
        <w:gridCol w:w="111"/>
        <w:gridCol w:w="415"/>
        <w:gridCol w:w="79"/>
        <w:gridCol w:w="494"/>
        <w:gridCol w:w="528"/>
        <w:gridCol w:w="6"/>
        <w:gridCol w:w="10"/>
        <w:gridCol w:w="860"/>
        <w:gridCol w:w="905"/>
        <w:gridCol w:w="761"/>
        <w:gridCol w:w="996"/>
      </w:tblGrid>
      <w:tr w:rsidR="00A54846" w14:paraId="612D660D" w14:textId="77777777">
        <w:trPr>
          <w:tblHeader/>
        </w:trPr>
        <w:tc>
          <w:tcPr>
            <w:tcW w:w="4308" w:type="dxa"/>
            <w:gridSpan w:val="4"/>
            <w:shd w:val="clear" w:color="auto" w:fill="FFFFFF"/>
            <w:tcMar>
              <w:top w:w="60" w:type="dxa"/>
              <w:left w:w="60" w:type="dxa"/>
              <w:bottom w:w="60" w:type="dxa"/>
              <w:right w:w="60" w:type="dxa"/>
            </w:tcMar>
          </w:tcPr>
          <w:p w14:paraId="71421D78"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2964" w:type="dxa"/>
            <w:gridSpan w:val="12"/>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10717F08"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Kriterier for vesentlig bidrag</w:t>
            </w:r>
          </w:p>
        </w:tc>
        <w:tc>
          <w:tcPr>
            <w:tcW w:w="2966" w:type="dxa"/>
            <w:gridSpan w:val="11"/>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6D2301E3" w14:textId="77777777" w:rsidR="00A54846" w:rsidRDefault="008A2731">
            <w:pPr>
              <w:widowControl w:val="0"/>
              <w:shd w:val="clear" w:color="auto" w:fill="auto"/>
              <w:spacing w:after="120" w:line="200" w:lineRule="exact"/>
              <w:jc w:val="center"/>
              <w:rPr>
                <w:rFonts w:ascii="Helvetica" w:eastAsia="Arial Unicode MS" w:hAnsi="Helvetica" w:cs="Times New Roman"/>
                <w:color w:val="000000"/>
                <w:sz w:val="16"/>
                <w:szCs w:val="16"/>
              </w:rPr>
            </w:pPr>
            <w:r>
              <w:rPr>
                <w:rFonts w:ascii="Helvetica" w:hAnsi="Helvetica"/>
                <w:color w:val="000000"/>
                <w:sz w:val="16"/>
              </w:rPr>
              <w:t>Kriterier mht. at aktiviteten ikke er til betydelig skade</w:t>
            </w:r>
          </w:p>
          <w:p w14:paraId="730C5334"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(DNSH)</w:t>
            </w:r>
          </w:p>
        </w:tc>
        <w:tc>
          <w:tcPr>
            <w:tcW w:w="4066" w:type="dxa"/>
            <w:gridSpan w:val="7"/>
            <w:tcBorders>
              <w:top w:val="nil"/>
              <w:left w:val="single" w:sz="4" w:space="0" w:color="auto"/>
              <w:bottom w:val="nil"/>
              <w:right w:val="nil"/>
            </w:tcBorders>
            <w:shd w:val="clear" w:color="auto" w:fill="FFFFFF"/>
            <w:tcMar>
              <w:top w:w="60" w:type="dxa"/>
              <w:left w:w="60" w:type="dxa"/>
              <w:bottom w:w="60" w:type="dxa"/>
              <w:right w:w="60" w:type="dxa"/>
            </w:tcMar>
          </w:tcPr>
          <w:p w14:paraId="3AE0E7E7"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r>
      <w:tr w:rsidR="00A54846" w14:paraId="7C697213" w14:textId="77777777">
        <w:trPr>
          <w:trHeight w:val="2918"/>
          <w:tblHeader/>
        </w:trPr>
        <w:tc>
          <w:tcPr>
            <w:tcW w:w="248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25B0F876" w14:textId="77777777"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Økonomiske aktiviteter (1)</w:t>
            </w: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11388463"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Kode(r) (2)</w:t>
            </w:r>
          </w:p>
        </w:tc>
        <w:tc>
          <w:tcPr>
            <w:tcW w:w="852"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403B8250" w14:textId="77777777" w:rsidR="00A54846" w:rsidRDefault="008A2731">
            <w:pPr>
              <w:widowControl w:val="0"/>
              <w:shd w:val="clear" w:color="auto" w:fill="auto"/>
              <w:spacing w:line="200" w:lineRule="exact"/>
              <w:jc w:val="center"/>
              <w:rPr>
                <w:rFonts w:ascii="Helvetica" w:eastAsia="Arial Unicode MS" w:hAnsi="Helvetica" w:cs="Times New Roman"/>
                <w:b/>
                <w:color w:val="000000"/>
                <w:sz w:val="16"/>
                <w:szCs w:val="16"/>
              </w:rPr>
            </w:pPr>
            <w:r>
              <w:rPr>
                <w:rFonts w:ascii="Helvetica" w:hAnsi="Helvetica"/>
                <w:b/>
                <w:color w:val="000000"/>
                <w:sz w:val="16"/>
              </w:rPr>
              <w:t>Absolutte investeringsutgifter (3)</w:t>
            </w:r>
          </w:p>
        </w:tc>
        <w:tc>
          <w:tcPr>
            <w:tcW w:w="44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46030151"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Andel av investeringsutgiftene (4)</w:t>
            </w:r>
          </w:p>
        </w:tc>
        <w:tc>
          <w:tcPr>
            <w:tcW w:w="494"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7C565A7C"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Begrensning av klimaendringer (5)</w:t>
            </w:r>
          </w:p>
        </w:tc>
        <w:tc>
          <w:tcPr>
            <w:tcW w:w="494"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17DA53FD"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Tilpasning til klimaendringer (6)</w:t>
            </w:r>
          </w:p>
        </w:tc>
        <w:tc>
          <w:tcPr>
            <w:tcW w:w="494"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2DD4DE03"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Vann- og havressurser (7)</w:t>
            </w:r>
          </w:p>
        </w:tc>
        <w:tc>
          <w:tcPr>
            <w:tcW w:w="494"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5A55EF68"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Sirkulær økonomi (8)</w:t>
            </w:r>
          </w:p>
        </w:tc>
        <w:tc>
          <w:tcPr>
            <w:tcW w:w="494"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2DCE4C36"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Forurensning (9)</w:t>
            </w:r>
          </w:p>
        </w:tc>
        <w:tc>
          <w:tcPr>
            <w:tcW w:w="494"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5E4E8EE1"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Biologisk mangfold og økosystemer (10)</w:t>
            </w:r>
          </w:p>
        </w:tc>
        <w:tc>
          <w:tcPr>
            <w:tcW w:w="495"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06CC30B9"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Begrensning av klimaendringer (11)</w:t>
            </w:r>
          </w:p>
        </w:tc>
        <w:tc>
          <w:tcPr>
            <w:tcW w:w="495"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6275DAA8"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Tilpasning til klimaendringer (12)</w:t>
            </w:r>
          </w:p>
        </w:tc>
        <w:tc>
          <w:tcPr>
            <w:tcW w:w="494"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5E525ABD"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Vann- og havressurser (13)</w:t>
            </w:r>
          </w:p>
        </w:tc>
        <w:tc>
          <w:tcPr>
            <w:tcW w:w="494"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186FDA3B"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Sirkulær økonomi (14)</w:t>
            </w:r>
          </w:p>
        </w:tc>
        <w:tc>
          <w:tcPr>
            <w:tcW w:w="494"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1613CD8C"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Forurensning (15)</w:t>
            </w:r>
          </w:p>
        </w:tc>
        <w:tc>
          <w:tcPr>
            <w:tcW w:w="49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center"/>
            <w:hideMark/>
          </w:tcPr>
          <w:p w14:paraId="10C12B9C"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Biologisk mangfold og økosystemer (16)</w:t>
            </w:r>
          </w:p>
        </w:tc>
        <w:tc>
          <w:tcPr>
            <w:tcW w:w="528" w:type="dxa"/>
            <w:tcBorders>
              <w:top w:val="single" w:sz="4" w:space="0" w:color="auto"/>
              <w:left w:val="single" w:sz="4" w:space="0" w:color="auto"/>
              <w:bottom w:val="nil"/>
              <w:right w:val="single" w:sz="12" w:space="0" w:color="auto"/>
            </w:tcBorders>
            <w:shd w:val="clear" w:color="auto" w:fill="FFFFFF"/>
            <w:tcMar>
              <w:top w:w="60" w:type="dxa"/>
              <w:left w:w="60" w:type="dxa"/>
              <w:bottom w:w="60" w:type="dxa"/>
              <w:right w:w="60" w:type="dxa"/>
            </w:tcMar>
            <w:textDirection w:val="tbRl"/>
            <w:vAlign w:val="center"/>
            <w:hideMark/>
          </w:tcPr>
          <w:p w14:paraId="5DB2B88A"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Minstegarantier (17)</w:t>
            </w:r>
          </w:p>
        </w:tc>
        <w:tc>
          <w:tcPr>
            <w:tcW w:w="876" w:type="dxa"/>
            <w:gridSpan w:val="3"/>
            <w:tcBorders>
              <w:top w:val="single" w:sz="12" w:space="0" w:color="auto"/>
              <w:left w:val="single" w:sz="12" w:space="0" w:color="auto"/>
              <w:bottom w:val="nil"/>
              <w:right w:val="single" w:sz="12" w:space="0" w:color="auto"/>
            </w:tcBorders>
            <w:shd w:val="clear" w:color="auto" w:fill="FFFFFF"/>
            <w:tcMar>
              <w:top w:w="60" w:type="dxa"/>
              <w:left w:w="60" w:type="dxa"/>
              <w:bottom w:w="60" w:type="dxa"/>
              <w:right w:w="60" w:type="dxa"/>
            </w:tcMar>
            <w:vAlign w:val="center"/>
            <w:hideMark/>
          </w:tcPr>
          <w:p w14:paraId="2C5E812B" w14:textId="5C20E137"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Takson</w:t>
            </w:r>
            <w:r w:rsidR="007D4CBF">
              <w:rPr>
                <w:rFonts w:ascii="Helvetica" w:hAnsi="Helvetica"/>
                <w:b/>
                <w:color w:val="000000"/>
                <w:sz w:val="16"/>
              </w:rPr>
              <w:softHyphen/>
            </w:r>
            <w:r>
              <w:rPr>
                <w:rFonts w:ascii="Helvetica" w:hAnsi="Helvetica"/>
                <w:b/>
                <w:color w:val="000000"/>
                <w:sz w:val="16"/>
              </w:rPr>
              <w:t>omiforen</w:t>
            </w:r>
            <w:r w:rsidR="007D4CBF">
              <w:rPr>
                <w:rFonts w:ascii="Helvetica" w:hAnsi="Helvetica"/>
                <w:b/>
                <w:color w:val="000000"/>
                <w:sz w:val="16"/>
              </w:rPr>
              <w:softHyphen/>
            </w:r>
            <w:r>
              <w:rPr>
                <w:rFonts w:ascii="Helvetica" w:hAnsi="Helvetica"/>
                <w:b/>
                <w:color w:val="000000"/>
                <w:sz w:val="16"/>
              </w:rPr>
              <w:t>lig andel av invester</w:t>
            </w:r>
            <w:r w:rsidR="007D4CBF">
              <w:rPr>
                <w:rFonts w:ascii="Helvetica" w:hAnsi="Helvetica"/>
                <w:b/>
                <w:color w:val="000000"/>
                <w:sz w:val="16"/>
              </w:rPr>
              <w:softHyphen/>
            </w:r>
            <w:r>
              <w:rPr>
                <w:rFonts w:ascii="Helvetica" w:hAnsi="Helvetica"/>
                <w:b/>
                <w:color w:val="000000"/>
                <w:sz w:val="16"/>
              </w:rPr>
              <w:t>ingsutgif</w:t>
            </w:r>
            <w:r w:rsidR="007D4CBF">
              <w:rPr>
                <w:rFonts w:ascii="Helvetica" w:hAnsi="Helvetica"/>
                <w:b/>
                <w:color w:val="000000"/>
                <w:sz w:val="16"/>
              </w:rPr>
              <w:softHyphen/>
            </w:r>
            <w:r>
              <w:rPr>
                <w:rFonts w:ascii="Helvetica" w:hAnsi="Helvetica"/>
                <w:b/>
                <w:color w:val="000000"/>
                <w:sz w:val="16"/>
              </w:rPr>
              <w:t>tene, år N (18)</w:t>
            </w: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vAlign w:val="center"/>
            <w:hideMark/>
          </w:tcPr>
          <w:p w14:paraId="408E0BD6" w14:textId="72192453"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Takson</w:t>
            </w:r>
            <w:r w:rsidR="007D4CBF">
              <w:rPr>
                <w:rFonts w:ascii="Helvetica" w:hAnsi="Helvetica"/>
                <w:b/>
                <w:color w:val="000000"/>
                <w:sz w:val="16"/>
              </w:rPr>
              <w:softHyphen/>
            </w:r>
            <w:r>
              <w:rPr>
                <w:rFonts w:ascii="Helvetica" w:hAnsi="Helvetica"/>
                <w:b/>
                <w:color w:val="000000"/>
                <w:sz w:val="16"/>
              </w:rPr>
              <w:t>omiforen</w:t>
            </w:r>
            <w:r w:rsidR="007D4CBF">
              <w:rPr>
                <w:rFonts w:ascii="Helvetica" w:hAnsi="Helvetica"/>
                <w:b/>
                <w:color w:val="000000"/>
                <w:sz w:val="16"/>
              </w:rPr>
              <w:softHyphen/>
            </w:r>
            <w:r>
              <w:rPr>
                <w:rFonts w:ascii="Helvetica" w:hAnsi="Helvetica"/>
                <w:b/>
                <w:color w:val="000000"/>
                <w:sz w:val="16"/>
              </w:rPr>
              <w:t>lig andel av invester</w:t>
            </w:r>
            <w:r w:rsidR="007D4CBF">
              <w:rPr>
                <w:rFonts w:ascii="Helvetica" w:hAnsi="Helvetica"/>
                <w:b/>
                <w:color w:val="000000"/>
                <w:sz w:val="16"/>
              </w:rPr>
              <w:softHyphen/>
            </w:r>
            <w:r>
              <w:rPr>
                <w:rFonts w:ascii="Helvetica" w:hAnsi="Helvetica"/>
                <w:b/>
                <w:color w:val="000000"/>
                <w:sz w:val="16"/>
              </w:rPr>
              <w:t>ingsutgif</w:t>
            </w:r>
            <w:r w:rsidR="007D4CBF">
              <w:rPr>
                <w:rFonts w:ascii="Helvetica" w:hAnsi="Helvetica"/>
                <w:b/>
                <w:color w:val="000000"/>
                <w:sz w:val="16"/>
              </w:rPr>
              <w:softHyphen/>
            </w:r>
            <w:r>
              <w:rPr>
                <w:rFonts w:ascii="Helvetica" w:hAnsi="Helvetica"/>
                <w:b/>
                <w:color w:val="000000"/>
                <w:sz w:val="16"/>
              </w:rPr>
              <w:t>tene, år N-1 (19)</w:t>
            </w: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2468F9F2" w14:textId="4D20DD4A"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Katego</w:t>
            </w:r>
            <w:r w:rsidR="007D4CBF">
              <w:rPr>
                <w:rFonts w:ascii="Helvetica" w:hAnsi="Helvetica"/>
                <w:b/>
                <w:color w:val="000000"/>
                <w:sz w:val="16"/>
              </w:rPr>
              <w:softHyphen/>
            </w:r>
            <w:r>
              <w:rPr>
                <w:rFonts w:ascii="Helvetica" w:hAnsi="Helvetica"/>
                <w:b/>
                <w:color w:val="000000"/>
                <w:sz w:val="16"/>
              </w:rPr>
              <w:t>ri (mulig</w:t>
            </w:r>
            <w:r w:rsidR="007D4CBF">
              <w:rPr>
                <w:rFonts w:ascii="Helvetica" w:hAnsi="Helvetica"/>
                <w:b/>
                <w:color w:val="000000"/>
                <w:sz w:val="16"/>
              </w:rPr>
              <w:softHyphen/>
            </w:r>
            <w:r>
              <w:rPr>
                <w:rFonts w:ascii="Helvetica" w:hAnsi="Helvetica"/>
                <w:b/>
                <w:color w:val="000000"/>
                <w:sz w:val="16"/>
              </w:rPr>
              <w:t>gjøren</w:t>
            </w:r>
            <w:r w:rsidR="007D4CBF">
              <w:rPr>
                <w:rFonts w:ascii="Helvetica" w:hAnsi="Helvetica"/>
                <w:b/>
                <w:color w:val="000000"/>
                <w:sz w:val="16"/>
              </w:rPr>
              <w:softHyphen/>
            </w:r>
            <w:r>
              <w:rPr>
                <w:rFonts w:ascii="Helvetica" w:hAnsi="Helvetica"/>
                <w:b/>
                <w:color w:val="000000"/>
                <w:sz w:val="16"/>
              </w:rPr>
              <w:t>de aktivitet) (20)</w:t>
            </w:r>
          </w:p>
        </w:tc>
        <w:tc>
          <w:tcPr>
            <w:tcW w:w="996"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vAlign w:val="center"/>
            <w:hideMark/>
          </w:tcPr>
          <w:p w14:paraId="6A496D49" w14:textId="00D63E39"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Kategori (omstillin</w:t>
            </w:r>
            <w:r w:rsidR="007D4CBF">
              <w:rPr>
                <w:rFonts w:ascii="Helvetica" w:hAnsi="Helvetica"/>
                <w:b/>
                <w:color w:val="000000"/>
                <w:sz w:val="16"/>
              </w:rPr>
              <w:softHyphen/>
            </w:r>
            <w:r>
              <w:rPr>
                <w:rFonts w:ascii="Helvetica" w:hAnsi="Helvetica"/>
                <w:b/>
                <w:color w:val="000000"/>
                <w:sz w:val="16"/>
              </w:rPr>
              <w:t>gsaktivitet)</w:t>
            </w:r>
          </w:p>
          <w:p w14:paraId="1DF28873" w14:textId="77777777"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(21)</w:t>
            </w:r>
          </w:p>
        </w:tc>
      </w:tr>
      <w:tr w:rsidR="00A54846" w14:paraId="7E138616" w14:textId="77777777">
        <w:trPr>
          <w:cantSplit/>
          <w:tblHeader/>
        </w:trPr>
        <w:tc>
          <w:tcPr>
            <w:tcW w:w="2484" w:type="dxa"/>
            <w:tcBorders>
              <w:top w:val="nil"/>
              <w:left w:val="single" w:sz="4" w:space="0" w:color="auto"/>
              <w:bottom w:val="nil"/>
              <w:right w:val="nil"/>
            </w:tcBorders>
            <w:shd w:val="clear" w:color="auto" w:fill="FFFFFF"/>
            <w:tcMar>
              <w:top w:w="60" w:type="dxa"/>
              <w:left w:w="60" w:type="dxa"/>
              <w:bottom w:w="60" w:type="dxa"/>
              <w:right w:w="60" w:type="dxa"/>
            </w:tcMar>
            <w:vAlign w:val="center"/>
          </w:tcPr>
          <w:p w14:paraId="744A3BFC"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528" w:type="dxa"/>
            <w:tcBorders>
              <w:top w:val="nil"/>
              <w:left w:val="single" w:sz="4" w:space="0" w:color="auto"/>
              <w:bottom w:val="nil"/>
              <w:right w:val="nil"/>
            </w:tcBorders>
            <w:shd w:val="clear" w:color="auto" w:fill="FFFFFF"/>
            <w:tcMar>
              <w:top w:w="60" w:type="dxa"/>
              <w:left w:w="60" w:type="dxa"/>
              <w:bottom w:w="60" w:type="dxa"/>
              <w:right w:w="60" w:type="dxa"/>
            </w:tcMar>
            <w:textDirection w:val="tbRl"/>
            <w:vAlign w:val="center"/>
          </w:tcPr>
          <w:p w14:paraId="5EEC20C4"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852" w:type="dxa"/>
            <w:tcBorders>
              <w:top w:val="nil"/>
              <w:left w:val="single" w:sz="4" w:space="0" w:color="auto"/>
              <w:bottom w:val="nil"/>
              <w:right w:val="nil"/>
            </w:tcBorders>
            <w:tcMar>
              <w:top w:w="60" w:type="dxa"/>
              <w:left w:w="60" w:type="dxa"/>
              <w:bottom w:w="60" w:type="dxa"/>
              <w:right w:w="60" w:type="dxa"/>
            </w:tcMar>
            <w:vAlign w:val="center"/>
            <w:hideMark/>
          </w:tcPr>
          <w:p w14:paraId="23B1E089"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Valuta</w:t>
            </w:r>
          </w:p>
        </w:tc>
        <w:tc>
          <w:tcPr>
            <w:tcW w:w="444" w:type="dxa"/>
            <w:tcBorders>
              <w:top w:val="nil"/>
              <w:left w:val="single" w:sz="4" w:space="0" w:color="auto"/>
              <w:bottom w:val="nil"/>
              <w:right w:val="nil"/>
            </w:tcBorders>
            <w:tcMar>
              <w:top w:w="60" w:type="dxa"/>
              <w:left w:w="60" w:type="dxa"/>
              <w:bottom w:w="60" w:type="dxa"/>
              <w:right w:w="60" w:type="dxa"/>
            </w:tcMar>
            <w:vAlign w:val="center"/>
            <w:hideMark/>
          </w:tcPr>
          <w:p w14:paraId="79FFBFBB"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w:t>
            </w:r>
          </w:p>
        </w:tc>
        <w:tc>
          <w:tcPr>
            <w:tcW w:w="494" w:type="dxa"/>
            <w:gridSpan w:val="2"/>
            <w:tcBorders>
              <w:top w:val="nil"/>
              <w:left w:val="single" w:sz="4" w:space="0" w:color="auto"/>
              <w:bottom w:val="nil"/>
              <w:right w:val="nil"/>
            </w:tcBorders>
            <w:tcMar>
              <w:top w:w="60" w:type="dxa"/>
              <w:left w:w="60" w:type="dxa"/>
              <w:bottom w:w="60" w:type="dxa"/>
              <w:right w:w="60" w:type="dxa"/>
            </w:tcMar>
            <w:vAlign w:val="center"/>
            <w:hideMark/>
          </w:tcPr>
          <w:p w14:paraId="636B7293"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&amp;</w:t>
            </w:r>
          </w:p>
        </w:tc>
        <w:tc>
          <w:tcPr>
            <w:tcW w:w="494" w:type="dxa"/>
            <w:gridSpan w:val="2"/>
            <w:tcBorders>
              <w:top w:val="nil"/>
              <w:left w:val="single" w:sz="4" w:space="0" w:color="auto"/>
              <w:bottom w:val="nil"/>
              <w:right w:val="nil"/>
            </w:tcBorders>
            <w:tcMar>
              <w:top w:w="60" w:type="dxa"/>
              <w:left w:w="60" w:type="dxa"/>
              <w:bottom w:w="60" w:type="dxa"/>
              <w:right w:w="60" w:type="dxa"/>
            </w:tcMar>
            <w:vAlign w:val="center"/>
            <w:hideMark/>
          </w:tcPr>
          <w:p w14:paraId="2C17652B"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w:t>
            </w:r>
          </w:p>
        </w:tc>
        <w:tc>
          <w:tcPr>
            <w:tcW w:w="494" w:type="dxa"/>
            <w:gridSpan w:val="2"/>
            <w:tcBorders>
              <w:top w:val="nil"/>
              <w:left w:val="single" w:sz="4" w:space="0" w:color="auto"/>
              <w:bottom w:val="nil"/>
              <w:right w:val="nil"/>
            </w:tcBorders>
            <w:tcMar>
              <w:top w:w="60" w:type="dxa"/>
              <w:left w:w="60" w:type="dxa"/>
              <w:bottom w:w="60" w:type="dxa"/>
              <w:right w:w="60" w:type="dxa"/>
            </w:tcMar>
            <w:vAlign w:val="center"/>
            <w:hideMark/>
          </w:tcPr>
          <w:p w14:paraId="1890EE74"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w:t>
            </w:r>
          </w:p>
        </w:tc>
        <w:tc>
          <w:tcPr>
            <w:tcW w:w="494" w:type="dxa"/>
            <w:gridSpan w:val="2"/>
            <w:tcBorders>
              <w:top w:val="nil"/>
              <w:left w:val="single" w:sz="4" w:space="0" w:color="auto"/>
              <w:bottom w:val="nil"/>
              <w:right w:val="nil"/>
            </w:tcBorders>
            <w:tcMar>
              <w:top w:w="60" w:type="dxa"/>
              <w:left w:w="60" w:type="dxa"/>
              <w:bottom w:w="60" w:type="dxa"/>
              <w:right w:w="60" w:type="dxa"/>
            </w:tcMar>
            <w:vAlign w:val="center"/>
            <w:hideMark/>
          </w:tcPr>
          <w:p w14:paraId="0B1884BA"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w:t>
            </w:r>
          </w:p>
        </w:tc>
        <w:tc>
          <w:tcPr>
            <w:tcW w:w="494" w:type="dxa"/>
            <w:gridSpan w:val="2"/>
            <w:tcBorders>
              <w:top w:val="nil"/>
              <w:left w:val="single" w:sz="4" w:space="0" w:color="auto"/>
              <w:bottom w:val="nil"/>
              <w:right w:val="nil"/>
            </w:tcBorders>
            <w:tcMar>
              <w:top w:w="60" w:type="dxa"/>
              <w:left w:w="60" w:type="dxa"/>
              <w:bottom w:w="60" w:type="dxa"/>
              <w:right w:w="60" w:type="dxa"/>
            </w:tcMar>
            <w:vAlign w:val="center"/>
            <w:hideMark/>
          </w:tcPr>
          <w:p w14:paraId="46A889F8"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w:t>
            </w:r>
          </w:p>
        </w:tc>
        <w:tc>
          <w:tcPr>
            <w:tcW w:w="494" w:type="dxa"/>
            <w:gridSpan w:val="2"/>
            <w:tcBorders>
              <w:top w:val="nil"/>
              <w:left w:val="single" w:sz="4" w:space="0" w:color="auto"/>
              <w:bottom w:val="nil"/>
              <w:right w:val="nil"/>
            </w:tcBorders>
            <w:tcMar>
              <w:top w:w="60" w:type="dxa"/>
              <w:left w:w="60" w:type="dxa"/>
              <w:bottom w:w="60" w:type="dxa"/>
              <w:right w:w="60" w:type="dxa"/>
            </w:tcMar>
            <w:vAlign w:val="center"/>
            <w:hideMark/>
          </w:tcPr>
          <w:p w14:paraId="4AC1C3FD"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w:t>
            </w:r>
          </w:p>
        </w:tc>
        <w:tc>
          <w:tcPr>
            <w:tcW w:w="495" w:type="dxa"/>
            <w:gridSpan w:val="2"/>
            <w:tcBorders>
              <w:top w:val="nil"/>
              <w:left w:val="single" w:sz="4" w:space="0" w:color="auto"/>
              <w:bottom w:val="nil"/>
              <w:right w:val="nil"/>
            </w:tcBorders>
            <w:tcMar>
              <w:top w:w="60" w:type="dxa"/>
              <w:left w:w="60" w:type="dxa"/>
              <w:bottom w:w="60" w:type="dxa"/>
              <w:right w:w="60" w:type="dxa"/>
            </w:tcMar>
            <w:vAlign w:val="center"/>
            <w:hideMark/>
          </w:tcPr>
          <w:p w14:paraId="06889309"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Ja/Nei</w:t>
            </w:r>
          </w:p>
        </w:tc>
        <w:tc>
          <w:tcPr>
            <w:tcW w:w="495" w:type="dxa"/>
            <w:gridSpan w:val="2"/>
            <w:tcBorders>
              <w:top w:val="nil"/>
              <w:left w:val="single" w:sz="4" w:space="0" w:color="auto"/>
              <w:bottom w:val="nil"/>
              <w:right w:val="nil"/>
            </w:tcBorders>
            <w:tcMar>
              <w:top w:w="60" w:type="dxa"/>
              <w:left w:w="60" w:type="dxa"/>
              <w:bottom w:w="60" w:type="dxa"/>
              <w:right w:w="60" w:type="dxa"/>
            </w:tcMar>
            <w:vAlign w:val="center"/>
            <w:hideMark/>
          </w:tcPr>
          <w:p w14:paraId="407D76BE"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Ja/Nei</w:t>
            </w:r>
          </w:p>
        </w:tc>
        <w:tc>
          <w:tcPr>
            <w:tcW w:w="494" w:type="dxa"/>
            <w:gridSpan w:val="2"/>
            <w:tcBorders>
              <w:top w:val="nil"/>
              <w:left w:val="single" w:sz="4" w:space="0" w:color="auto"/>
              <w:bottom w:val="nil"/>
              <w:right w:val="nil"/>
            </w:tcBorders>
            <w:tcMar>
              <w:top w:w="60" w:type="dxa"/>
              <w:left w:w="60" w:type="dxa"/>
              <w:bottom w:w="60" w:type="dxa"/>
              <w:right w:w="60" w:type="dxa"/>
            </w:tcMar>
            <w:vAlign w:val="center"/>
            <w:hideMark/>
          </w:tcPr>
          <w:p w14:paraId="284132E3"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Ja/Nei</w:t>
            </w:r>
          </w:p>
        </w:tc>
        <w:tc>
          <w:tcPr>
            <w:tcW w:w="494" w:type="dxa"/>
            <w:gridSpan w:val="2"/>
            <w:tcBorders>
              <w:top w:val="nil"/>
              <w:left w:val="single" w:sz="4" w:space="0" w:color="auto"/>
              <w:bottom w:val="nil"/>
              <w:right w:val="nil"/>
            </w:tcBorders>
            <w:tcMar>
              <w:top w:w="60" w:type="dxa"/>
              <w:left w:w="60" w:type="dxa"/>
              <w:bottom w:w="60" w:type="dxa"/>
              <w:right w:w="60" w:type="dxa"/>
            </w:tcMar>
            <w:vAlign w:val="center"/>
            <w:hideMark/>
          </w:tcPr>
          <w:p w14:paraId="6849FC77"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Ja/Nei</w:t>
            </w:r>
          </w:p>
        </w:tc>
        <w:tc>
          <w:tcPr>
            <w:tcW w:w="494" w:type="dxa"/>
            <w:gridSpan w:val="2"/>
            <w:tcBorders>
              <w:top w:val="nil"/>
              <w:left w:val="single" w:sz="4" w:space="0" w:color="auto"/>
              <w:bottom w:val="nil"/>
              <w:right w:val="nil"/>
            </w:tcBorders>
            <w:tcMar>
              <w:top w:w="60" w:type="dxa"/>
              <w:left w:w="60" w:type="dxa"/>
              <w:bottom w:w="60" w:type="dxa"/>
              <w:right w:w="60" w:type="dxa"/>
            </w:tcMar>
            <w:vAlign w:val="center"/>
            <w:hideMark/>
          </w:tcPr>
          <w:p w14:paraId="79673E70"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Ja/Nei</w:t>
            </w:r>
          </w:p>
        </w:tc>
        <w:tc>
          <w:tcPr>
            <w:tcW w:w="494" w:type="dxa"/>
            <w:tcBorders>
              <w:top w:val="nil"/>
              <w:left w:val="single" w:sz="4" w:space="0" w:color="auto"/>
              <w:bottom w:val="nil"/>
              <w:right w:val="nil"/>
            </w:tcBorders>
            <w:tcMar>
              <w:top w:w="60" w:type="dxa"/>
              <w:left w:w="60" w:type="dxa"/>
              <w:bottom w:w="60" w:type="dxa"/>
              <w:right w:w="60" w:type="dxa"/>
            </w:tcMar>
            <w:vAlign w:val="center"/>
            <w:hideMark/>
          </w:tcPr>
          <w:p w14:paraId="08D34D65"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Ja/Nei</w:t>
            </w:r>
          </w:p>
        </w:tc>
        <w:tc>
          <w:tcPr>
            <w:tcW w:w="528" w:type="dxa"/>
            <w:tcBorders>
              <w:top w:val="nil"/>
              <w:left w:val="single" w:sz="4" w:space="0" w:color="auto"/>
              <w:bottom w:val="nil"/>
              <w:right w:val="single" w:sz="12" w:space="0" w:color="auto"/>
            </w:tcBorders>
            <w:tcMar>
              <w:top w:w="60" w:type="dxa"/>
              <w:left w:w="60" w:type="dxa"/>
              <w:bottom w:w="60" w:type="dxa"/>
              <w:right w:w="60" w:type="dxa"/>
            </w:tcMar>
            <w:vAlign w:val="center"/>
            <w:hideMark/>
          </w:tcPr>
          <w:p w14:paraId="2D4CD52A"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Ja/Nei</w:t>
            </w:r>
          </w:p>
        </w:tc>
        <w:tc>
          <w:tcPr>
            <w:tcW w:w="876" w:type="dxa"/>
            <w:gridSpan w:val="3"/>
            <w:tcBorders>
              <w:top w:val="nil"/>
              <w:left w:val="single" w:sz="12" w:space="0" w:color="auto"/>
              <w:bottom w:val="single" w:sz="4" w:space="0" w:color="auto"/>
              <w:right w:val="single" w:sz="12" w:space="0" w:color="auto"/>
            </w:tcBorders>
            <w:tcMar>
              <w:top w:w="60" w:type="dxa"/>
              <w:left w:w="60" w:type="dxa"/>
              <w:bottom w:w="60" w:type="dxa"/>
              <w:right w:w="60" w:type="dxa"/>
            </w:tcMar>
            <w:vAlign w:val="center"/>
            <w:hideMark/>
          </w:tcPr>
          <w:p w14:paraId="779A6BF2"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Prosent</w:t>
            </w:r>
          </w:p>
        </w:tc>
        <w:tc>
          <w:tcPr>
            <w:tcW w:w="905" w:type="dxa"/>
            <w:tcBorders>
              <w:top w:val="nil"/>
              <w:left w:val="single" w:sz="12" w:space="0" w:color="auto"/>
              <w:bottom w:val="nil"/>
              <w:right w:val="nil"/>
            </w:tcBorders>
            <w:tcMar>
              <w:top w:w="60" w:type="dxa"/>
              <w:left w:w="60" w:type="dxa"/>
              <w:bottom w:w="60" w:type="dxa"/>
              <w:right w:w="60" w:type="dxa"/>
            </w:tcMar>
            <w:vAlign w:val="center"/>
            <w:hideMark/>
          </w:tcPr>
          <w:p w14:paraId="7A2C0BE3"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Prosent</w:t>
            </w:r>
          </w:p>
        </w:tc>
        <w:tc>
          <w:tcPr>
            <w:tcW w:w="761" w:type="dxa"/>
            <w:tcBorders>
              <w:top w:val="nil"/>
              <w:left w:val="single" w:sz="4" w:space="0" w:color="auto"/>
              <w:bottom w:val="nil"/>
              <w:right w:val="nil"/>
            </w:tcBorders>
            <w:tcMar>
              <w:top w:w="60" w:type="dxa"/>
              <w:left w:w="60" w:type="dxa"/>
              <w:bottom w:w="60" w:type="dxa"/>
              <w:right w:w="60" w:type="dxa"/>
            </w:tcMar>
            <w:vAlign w:val="center"/>
            <w:hideMark/>
          </w:tcPr>
          <w:p w14:paraId="06D0EFBD" w14:textId="2D2D4592"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Mulig</w:t>
            </w:r>
            <w:r w:rsidR="007D4CBF">
              <w:rPr>
                <w:rFonts w:ascii="Helvetica" w:hAnsi="Helvetica"/>
                <w:b/>
                <w:color w:val="939393"/>
                <w:sz w:val="16"/>
              </w:rPr>
              <w:softHyphen/>
            </w:r>
            <w:r>
              <w:rPr>
                <w:rFonts w:ascii="Helvetica" w:hAnsi="Helvetica"/>
                <w:b/>
                <w:color w:val="939393"/>
                <w:sz w:val="16"/>
              </w:rPr>
              <w:t>gjøren</w:t>
            </w:r>
            <w:r w:rsidR="007D4CBF">
              <w:rPr>
                <w:rFonts w:ascii="Helvetica" w:hAnsi="Helvetica"/>
                <w:b/>
                <w:color w:val="939393"/>
                <w:sz w:val="16"/>
              </w:rPr>
              <w:softHyphen/>
            </w:r>
            <w:r>
              <w:rPr>
                <w:rFonts w:ascii="Helvetica" w:hAnsi="Helvetica"/>
                <w:b/>
                <w:color w:val="939393"/>
                <w:sz w:val="16"/>
              </w:rPr>
              <w:t>de</w:t>
            </w:r>
          </w:p>
        </w:tc>
        <w:tc>
          <w:tcPr>
            <w:tcW w:w="996" w:type="dxa"/>
            <w:tcBorders>
              <w:top w:val="nil"/>
              <w:left w:val="single" w:sz="4" w:space="0" w:color="auto"/>
              <w:bottom w:val="nil"/>
              <w:right w:val="single" w:sz="4" w:space="0" w:color="auto"/>
            </w:tcBorders>
            <w:tcMar>
              <w:top w:w="60" w:type="dxa"/>
              <w:left w:w="60" w:type="dxa"/>
              <w:bottom w:w="60" w:type="dxa"/>
              <w:right w:w="60" w:type="dxa"/>
            </w:tcMar>
            <w:vAlign w:val="center"/>
            <w:hideMark/>
          </w:tcPr>
          <w:p w14:paraId="1889EB45"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Omstilling</w:t>
            </w:r>
          </w:p>
        </w:tc>
      </w:tr>
      <w:tr w:rsidR="00A54846" w14:paraId="52E1796A" w14:textId="77777777">
        <w:tc>
          <w:tcPr>
            <w:tcW w:w="2484"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hideMark/>
          </w:tcPr>
          <w:p w14:paraId="4E0BF9E5" w14:textId="77777777" w:rsidR="00A54846" w:rsidRDefault="008A2731">
            <w:pPr>
              <w:widowControl w:val="0"/>
              <w:shd w:val="clear" w:color="auto" w:fill="auto"/>
              <w:spacing w:after="0" w:line="200" w:lineRule="exact"/>
              <w:jc w:val="left"/>
              <w:rPr>
                <w:rFonts w:ascii="Helvetica" w:eastAsia="Arial Unicode MS" w:hAnsi="Helvetica" w:cs="Times New Roman"/>
                <w:b/>
                <w:color w:val="000000"/>
                <w:sz w:val="16"/>
                <w:szCs w:val="16"/>
              </w:rPr>
            </w:pPr>
            <w:r>
              <w:rPr>
                <w:rFonts w:ascii="Helvetica" w:hAnsi="Helvetica"/>
                <w:b/>
                <w:color w:val="000000"/>
                <w:sz w:val="16"/>
              </w:rPr>
              <w:t>Investeringsutgifter for miljømessig bærekraftige (taksonomiforenlige) aktiviteter</w:t>
            </w:r>
          </w:p>
        </w:tc>
        <w:tc>
          <w:tcPr>
            <w:tcW w:w="528"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3C7EA26E"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852"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612A2070"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44"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hideMark/>
          </w:tcPr>
          <w:p w14:paraId="282B57A8"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w:t>
            </w:r>
          </w:p>
        </w:tc>
        <w:tc>
          <w:tcPr>
            <w:tcW w:w="494"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hideMark/>
          </w:tcPr>
          <w:p w14:paraId="21CEA23F"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w:t>
            </w:r>
          </w:p>
        </w:tc>
        <w:tc>
          <w:tcPr>
            <w:tcW w:w="494"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hideMark/>
          </w:tcPr>
          <w:p w14:paraId="0F33190A"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w:t>
            </w:r>
          </w:p>
        </w:tc>
        <w:tc>
          <w:tcPr>
            <w:tcW w:w="494"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hideMark/>
          </w:tcPr>
          <w:p w14:paraId="3654596B"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w:t>
            </w:r>
          </w:p>
        </w:tc>
        <w:tc>
          <w:tcPr>
            <w:tcW w:w="494"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hideMark/>
          </w:tcPr>
          <w:p w14:paraId="5CF72DF8"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w:t>
            </w:r>
          </w:p>
        </w:tc>
        <w:tc>
          <w:tcPr>
            <w:tcW w:w="494"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hideMark/>
          </w:tcPr>
          <w:p w14:paraId="11AB639B"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w:t>
            </w:r>
          </w:p>
        </w:tc>
        <w:tc>
          <w:tcPr>
            <w:tcW w:w="494"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hideMark/>
          </w:tcPr>
          <w:p w14:paraId="7718E2FC"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w:t>
            </w:r>
          </w:p>
        </w:tc>
        <w:tc>
          <w:tcPr>
            <w:tcW w:w="495"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10C8C7CC"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495"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01A5A678"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494"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4AEFF667"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494"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72CC98B8"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494" w:type="dxa"/>
            <w:gridSpan w:val="2"/>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2E0BC534"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494"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14992732"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534" w:type="dxa"/>
            <w:gridSpan w:val="2"/>
            <w:tcBorders>
              <w:top w:val="single" w:sz="4" w:space="0" w:color="auto"/>
              <w:left w:val="single" w:sz="4" w:space="0" w:color="auto"/>
              <w:bottom w:val="nil"/>
              <w:right w:val="single" w:sz="12" w:space="0" w:color="auto"/>
            </w:tcBorders>
            <w:shd w:val="clear" w:color="auto" w:fill="FFFFFF"/>
            <w:tcMar>
              <w:top w:w="100" w:type="dxa"/>
              <w:left w:w="60" w:type="dxa"/>
              <w:bottom w:w="100" w:type="dxa"/>
              <w:right w:w="60" w:type="dxa"/>
            </w:tcMar>
            <w:vAlign w:val="center"/>
          </w:tcPr>
          <w:p w14:paraId="528171B2"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870" w:type="dxa"/>
            <w:gridSpan w:val="2"/>
            <w:tcBorders>
              <w:top w:val="single" w:sz="4" w:space="0" w:color="auto"/>
              <w:left w:val="single" w:sz="12" w:space="0" w:color="auto"/>
              <w:bottom w:val="single" w:sz="4" w:space="0" w:color="auto"/>
              <w:right w:val="single" w:sz="12" w:space="0" w:color="auto"/>
            </w:tcBorders>
            <w:shd w:val="clear" w:color="auto" w:fill="FFFFFF"/>
            <w:tcMar>
              <w:top w:w="100" w:type="dxa"/>
              <w:left w:w="60" w:type="dxa"/>
              <w:bottom w:w="100" w:type="dxa"/>
              <w:right w:w="60" w:type="dxa"/>
            </w:tcMar>
            <w:vAlign w:val="center"/>
            <w:hideMark/>
          </w:tcPr>
          <w:p w14:paraId="4AF38CE9" w14:textId="77777777"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w:t>
            </w:r>
          </w:p>
        </w:tc>
        <w:tc>
          <w:tcPr>
            <w:tcW w:w="905" w:type="dxa"/>
            <w:tcBorders>
              <w:top w:val="single" w:sz="4" w:space="0" w:color="auto"/>
              <w:left w:val="single" w:sz="12" w:space="0" w:color="auto"/>
              <w:bottom w:val="nil"/>
              <w:right w:val="nil"/>
            </w:tcBorders>
            <w:shd w:val="clear" w:color="auto" w:fill="FFFFFF"/>
            <w:tcMar>
              <w:top w:w="100" w:type="dxa"/>
              <w:left w:w="60" w:type="dxa"/>
              <w:bottom w:w="100" w:type="dxa"/>
              <w:right w:w="60" w:type="dxa"/>
            </w:tcMar>
            <w:vAlign w:val="center"/>
          </w:tcPr>
          <w:p w14:paraId="7C7198EA"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761"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center"/>
          </w:tcPr>
          <w:p w14:paraId="2D0433C8"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996" w:type="dxa"/>
            <w:tcBorders>
              <w:top w:val="single" w:sz="4" w:space="0" w:color="auto"/>
              <w:left w:val="single" w:sz="4" w:space="0" w:color="auto"/>
              <w:bottom w:val="nil"/>
              <w:right w:val="single" w:sz="4" w:space="0" w:color="auto"/>
            </w:tcBorders>
            <w:shd w:val="clear" w:color="auto" w:fill="FFFFFF"/>
            <w:tcMar>
              <w:top w:w="100" w:type="dxa"/>
              <w:left w:w="60" w:type="dxa"/>
              <w:bottom w:w="100" w:type="dxa"/>
              <w:right w:w="60" w:type="dxa"/>
            </w:tcMar>
            <w:vAlign w:val="center"/>
          </w:tcPr>
          <w:p w14:paraId="1543535B"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r>
      <w:tr w:rsidR="00A54846" w14:paraId="57E57257" w14:textId="77777777">
        <w:tc>
          <w:tcPr>
            <w:tcW w:w="2484"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vAlign w:val="bottom"/>
            <w:hideMark/>
          </w:tcPr>
          <w:p w14:paraId="2EFBA98E" w14:textId="77777777" w:rsidR="00A54846" w:rsidRDefault="008A2731">
            <w:pPr>
              <w:widowControl w:val="0"/>
              <w:shd w:val="clear" w:color="auto" w:fill="auto"/>
              <w:spacing w:after="0" w:line="200" w:lineRule="exact"/>
              <w:jc w:val="left"/>
              <w:rPr>
                <w:rFonts w:ascii="Helvetica" w:eastAsia="Arial Unicode MS" w:hAnsi="Helvetica" w:cs="Times New Roman"/>
                <w:b/>
                <w:color w:val="000000"/>
                <w:sz w:val="16"/>
                <w:szCs w:val="16"/>
              </w:rPr>
            </w:pPr>
            <w:r>
              <w:rPr>
                <w:rFonts w:ascii="Helvetica" w:hAnsi="Helvetica"/>
                <w:b/>
                <w:color w:val="000000"/>
                <w:sz w:val="16"/>
              </w:rPr>
              <w:t>A.2 Aktiviteter som er omfattet av taksonomien, men som ikke er miljømessig bærekraftige (ikke taksonomiforenlige aktiviteter)</w:t>
            </w:r>
          </w:p>
        </w:tc>
        <w:tc>
          <w:tcPr>
            <w:tcW w:w="528"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tcPr>
          <w:p w14:paraId="07A48275"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852"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tcPr>
          <w:p w14:paraId="4D2D7C20"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44" w:type="dxa"/>
            <w:tcBorders>
              <w:top w:val="single" w:sz="4" w:space="0" w:color="auto"/>
              <w:left w:val="single" w:sz="4" w:space="0" w:color="auto"/>
              <w:bottom w:val="nil"/>
              <w:right w:val="nil"/>
            </w:tcBorders>
            <w:shd w:val="clear" w:color="auto" w:fill="FFFFFF"/>
            <w:tcMar>
              <w:top w:w="100" w:type="dxa"/>
              <w:left w:w="60" w:type="dxa"/>
              <w:bottom w:w="100" w:type="dxa"/>
              <w:right w:w="60" w:type="dxa"/>
            </w:tcMar>
          </w:tcPr>
          <w:p w14:paraId="64FFA540"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94" w:type="dxa"/>
            <w:gridSpan w:val="2"/>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3E7368FC"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94" w:type="dxa"/>
            <w:gridSpan w:val="2"/>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6C8F5220"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94" w:type="dxa"/>
            <w:gridSpan w:val="2"/>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514E99DF"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94" w:type="dxa"/>
            <w:gridSpan w:val="2"/>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4F71F0C7"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94" w:type="dxa"/>
            <w:gridSpan w:val="2"/>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612EEA4B"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94" w:type="dxa"/>
            <w:gridSpan w:val="2"/>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5FDF1D94"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95" w:type="dxa"/>
            <w:gridSpan w:val="2"/>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0D7EAAE8"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95" w:type="dxa"/>
            <w:gridSpan w:val="2"/>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4F6F4E96"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94" w:type="dxa"/>
            <w:gridSpan w:val="2"/>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7C26B531"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94" w:type="dxa"/>
            <w:gridSpan w:val="2"/>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74021DCC"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94" w:type="dxa"/>
            <w:gridSpan w:val="2"/>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103E04D6"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94"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364C449C"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534" w:type="dxa"/>
            <w:gridSpan w:val="2"/>
            <w:tcBorders>
              <w:top w:val="single" w:sz="4" w:space="0" w:color="auto"/>
              <w:left w:val="single" w:sz="4" w:space="0" w:color="auto"/>
              <w:bottom w:val="single" w:sz="4" w:space="0" w:color="auto"/>
              <w:right w:val="single" w:sz="12" w:space="0" w:color="auto"/>
            </w:tcBorders>
            <w:shd w:val="clear" w:color="auto" w:fill="FFFFFF"/>
            <w:tcMar>
              <w:top w:w="100" w:type="dxa"/>
              <w:left w:w="60" w:type="dxa"/>
              <w:bottom w:w="100" w:type="dxa"/>
              <w:right w:w="60" w:type="dxa"/>
            </w:tcMar>
          </w:tcPr>
          <w:p w14:paraId="26F0D75C"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870" w:type="dxa"/>
            <w:gridSpan w:val="2"/>
            <w:tcBorders>
              <w:top w:val="single" w:sz="4" w:space="0" w:color="auto"/>
              <w:left w:val="single" w:sz="12" w:space="0" w:color="auto"/>
              <w:bottom w:val="single" w:sz="4" w:space="0" w:color="auto"/>
              <w:right w:val="single" w:sz="12" w:space="0" w:color="auto"/>
            </w:tcBorders>
            <w:shd w:val="clear" w:color="auto" w:fill="FFFFFF"/>
            <w:tcMar>
              <w:top w:w="100" w:type="dxa"/>
              <w:left w:w="60" w:type="dxa"/>
              <w:bottom w:w="100" w:type="dxa"/>
              <w:right w:w="60" w:type="dxa"/>
            </w:tcMar>
          </w:tcPr>
          <w:p w14:paraId="0082B13A"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905" w:type="dxa"/>
            <w:tcBorders>
              <w:top w:val="single" w:sz="4" w:space="0" w:color="auto"/>
              <w:left w:val="single" w:sz="12" w:space="0" w:color="auto"/>
              <w:bottom w:val="single" w:sz="4" w:space="0" w:color="auto"/>
              <w:right w:val="nil"/>
            </w:tcBorders>
            <w:shd w:val="clear" w:color="auto" w:fill="FFFFFF"/>
            <w:tcMar>
              <w:top w:w="100" w:type="dxa"/>
              <w:left w:w="60" w:type="dxa"/>
              <w:bottom w:w="100" w:type="dxa"/>
              <w:right w:w="60" w:type="dxa"/>
            </w:tcMar>
          </w:tcPr>
          <w:p w14:paraId="30D5B884"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761"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12146D82"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996" w:type="dxa"/>
            <w:tcBorders>
              <w:top w:val="single" w:sz="4" w:space="0" w:color="auto"/>
              <w:left w:val="single" w:sz="4" w:space="0" w:color="auto"/>
              <w:bottom w:val="single" w:sz="4" w:space="0" w:color="auto"/>
              <w:right w:val="single" w:sz="4" w:space="0" w:color="auto"/>
            </w:tcBorders>
            <w:shd w:val="clear" w:color="auto" w:fill="FFFFFF"/>
            <w:tcMar>
              <w:top w:w="100" w:type="dxa"/>
              <w:left w:w="60" w:type="dxa"/>
              <w:bottom w:w="100" w:type="dxa"/>
              <w:right w:w="60" w:type="dxa"/>
            </w:tcMar>
          </w:tcPr>
          <w:p w14:paraId="34B9D321"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r>
      <w:tr w:rsidR="00A54846" w14:paraId="23543256" w14:textId="77777777">
        <w:tc>
          <w:tcPr>
            <w:tcW w:w="2484"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vAlign w:val="bottom"/>
            <w:hideMark/>
          </w:tcPr>
          <w:p w14:paraId="18605188" w14:textId="77777777" w:rsidR="00A54846" w:rsidRDefault="008A2731">
            <w:pPr>
              <w:widowControl w:val="0"/>
              <w:shd w:val="clear" w:color="auto" w:fill="auto"/>
              <w:spacing w:after="0" w:line="200" w:lineRule="exact"/>
              <w:jc w:val="left"/>
              <w:rPr>
                <w:rFonts w:ascii="Helvetica" w:eastAsia="Arial Unicode MS" w:hAnsi="Helvetica" w:cs="Times New Roman"/>
                <w:color w:val="000000"/>
                <w:sz w:val="16"/>
                <w:szCs w:val="16"/>
              </w:rPr>
            </w:pPr>
            <w:r>
              <w:rPr>
                <w:rFonts w:ascii="Helvetica" w:hAnsi="Helvetica"/>
                <w:color w:val="000000"/>
                <w:sz w:val="16"/>
              </w:rPr>
              <w:t>Aktivitet 1</w:t>
            </w:r>
          </w:p>
        </w:tc>
        <w:tc>
          <w:tcPr>
            <w:tcW w:w="528"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42248900"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52"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tcPr>
          <w:p w14:paraId="0EA8A07E"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44" w:type="dxa"/>
            <w:tcBorders>
              <w:top w:val="single" w:sz="4" w:space="0" w:color="auto"/>
              <w:left w:val="single" w:sz="4" w:space="0" w:color="auto"/>
              <w:bottom w:val="single" w:sz="4" w:space="0" w:color="auto"/>
              <w:right w:val="nil"/>
            </w:tcBorders>
            <w:shd w:val="clear" w:color="auto" w:fill="FFFFFF"/>
            <w:tcMar>
              <w:top w:w="100" w:type="dxa"/>
              <w:left w:w="60" w:type="dxa"/>
              <w:bottom w:w="100" w:type="dxa"/>
              <w:right w:w="60" w:type="dxa"/>
            </w:tcMar>
            <w:hideMark/>
          </w:tcPr>
          <w:p w14:paraId="7621ACEE"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w:t>
            </w:r>
          </w:p>
        </w:tc>
        <w:tc>
          <w:tcPr>
            <w:tcW w:w="9996" w:type="dxa"/>
            <w:gridSpan w:val="30"/>
            <w:tcBorders>
              <w:top w:val="single" w:sz="4" w:space="0" w:color="auto"/>
              <w:left w:val="single" w:sz="4" w:space="0" w:color="auto"/>
              <w:bottom w:val="single" w:sz="4" w:space="0" w:color="auto"/>
              <w:right w:val="single" w:sz="4" w:space="0" w:color="auto"/>
            </w:tcBorders>
            <w:shd w:val="clear" w:color="auto" w:fill="000000" w:themeFill="text1"/>
            <w:tcMar>
              <w:top w:w="100" w:type="dxa"/>
              <w:left w:w="10" w:type="dxa"/>
              <w:bottom w:w="100" w:type="dxa"/>
              <w:right w:w="10" w:type="dxa"/>
            </w:tcMar>
          </w:tcPr>
          <w:p w14:paraId="04F41848"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r>
      <w:tr w:rsidR="00A54846" w14:paraId="082364CD" w14:textId="77777777">
        <w:tc>
          <w:tcPr>
            <w:tcW w:w="2484"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701BDF36" w14:textId="77777777" w:rsidR="00A54846" w:rsidRDefault="008A2731">
            <w:pPr>
              <w:widowControl w:val="0"/>
              <w:shd w:val="clear" w:color="auto" w:fill="auto"/>
              <w:spacing w:after="0" w:line="200" w:lineRule="exact"/>
              <w:jc w:val="left"/>
              <w:rPr>
                <w:rFonts w:ascii="Helvetica" w:eastAsia="Arial Unicode MS" w:hAnsi="Helvetica" w:cs="Times New Roman"/>
                <w:color w:val="000000"/>
                <w:sz w:val="16"/>
                <w:szCs w:val="16"/>
              </w:rPr>
            </w:pPr>
            <w:r>
              <w:rPr>
                <w:rFonts w:ascii="Helvetica" w:hAnsi="Helvetica"/>
                <w:color w:val="000000"/>
                <w:sz w:val="16"/>
              </w:rPr>
              <w:t>Aktivitet 3</w:t>
            </w:r>
          </w:p>
        </w:tc>
        <w:tc>
          <w:tcPr>
            <w:tcW w:w="528"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784F0FE0"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52"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0C210EEC"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44"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6B4621AA"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w:t>
            </w:r>
          </w:p>
        </w:tc>
        <w:tc>
          <w:tcPr>
            <w:tcW w:w="300" w:type="dxa"/>
            <w:tcBorders>
              <w:bottom w:val="single" w:sz="4" w:space="0" w:color="auto"/>
            </w:tcBorders>
            <w:shd w:val="clear" w:color="auto" w:fill="000000" w:themeFill="text1"/>
            <w:tcMar>
              <w:top w:w="60" w:type="dxa"/>
              <w:left w:w="60" w:type="dxa"/>
              <w:bottom w:w="60" w:type="dxa"/>
              <w:right w:w="60" w:type="dxa"/>
            </w:tcMar>
          </w:tcPr>
          <w:p w14:paraId="7C865DDB"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56" w:type="dxa"/>
            <w:gridSpan w:val="2"/>
            <w:tcBorders>
              <w:bottom w:val="single" w:sz="4" w:space="0" w:color="auto"/>
            </w:tcBorders>
            <w:shd w:val="clear" w:color="auto" w:fill="000000" w:themeFill="text1"/>
            <w:tcMar>
              <w:top w:w="60" w:type="dxa"/>
              <w:left w:w="60" w:type="dxa"/>
              <w:bottom w:w="60" w:type="dxa"/>
              <w:right w:w="60" w:type="dxa"/>
            </w:tcMar>
          </w:tcPr>
          <w:p w14:paraId="49CB985D"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350" w:type="dxa"/>
            <w:gridSpan w:val="2"/>
            <w:tcBorders>
              <w:bottom w:val="single" w:sz="4" w:space="0" w:color="auto"/>
            </w:tcBorders>
            <w:shd w:val="clear" w:color="auto" w:fill="000000" w:themeFill="text1"/>
            <w:tcMar>
              <w:top w:w="60" w:type="dxa"/>
              <w:left w:w="60" w:type="dxa"/>
              <w:bottom w:w="60" w:type="dxa"/>
              <w:right w:w="60" w:type="dxa"/>
            </w:tcMar>
          </w:tcPr>
          <w:p w14:paraId="22A100BA"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38" w:type="dxa"/>
            <w:gridSpan w:val="2"/>
            <w:tcBorders>
              <w:bottom w:val="single" w:sz="4" w:space="0" w:color="auto"/>
            </w:tcBorders>
            <w:shd w:val="clear" w:color="auto" w:fill="000000" w:themeFill="text1"/>
            <w:tcMar>
              <w:top w:w="60" w:type="dxa"/>
              <w:left w:w="60" w:type="dxa"/>
              <w:bottom w:w="60" w:type="dxa"/>
              <w:right w:w="60" w:type="dxa"/>
            </w:tcMar>
          </w:tcPr>
          <w:p w14:paraId="15A5AA5A"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16" w:type="dxa"/>
            <w:gridSpan w:val="2"/>
            <w:tcBorders>
              <w:bottom w:val="single" w:sz="4" w:space="0" w:color="auto"/>
            </w:tcBorders>
            <w:shd w:val="clear" w:color="auto" w:fill="000000" w:themeFill="text1"/>
            <w:tcMar>
              <w:top w:w="60" w:type="dxa"/>
              <w:left w:w="60" w:type="dxa"/>
              <w:bottom w:w="60" w:type="dxa"/>
              <w:right w:w="60" w:type="dxa"/>
            </w:tcMar>
          </w:tcPr>
          <w:p w14:paraId="0F84FCD0"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66" w:type="dxa"/>
            <w:gridSpan w:val="2"/>
            <w:tcBorders>
              <w:bottom w:val="single" w:sz="4" w:space="0" w:color="auto"/>
            </w:tcBorders>
            <w:shd w:val="clear" w:color="auto" w:fill="000000" w:themeFill="text1"/>
            <w:tcMar>
              <w:top w:w="60" w:type="dxa"/>
              <w:left w:w="60" w:type="dxa"/>
              <w:bottom w:w="60" w:type="dxa"/>
              <w:right w:w="60" w:type="dxa"/>
            </w:tcMar>
          </w:tcPr>
          <w:p w14:paraId="7BE3814A"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26" w:type="dxa"/>
            <w:gridSpan w:val="2"/>
            <w:tcBorders>
              <w:bottom w:val="single" w:sz="4" w:space="0" w:color="auto"/>
            </w:tcBorders>
            <w:shd w:val="clear" w:color="auto" w:fill="000000" w:themeFill="text1"/>
            <w:tcMar>
              <w:top w:w="60" w:type="dxa"/>
              <w:left w:w="60" w:type="dxa"/>
              <w:bottom w:w="60" w:type="dxa"/>
              <w:right w:w="60" w:type="dxa"/>
            </w:tcMar>
          </w:tcPr>
          <w:p w14:paraId="61E3E9E5"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26" w:type="dxa"/>
            <w:gridSpan w:val="2"/>
            <w:tcBorders>
              <w:bottom w:val="single" w:sz="4" w:space="0" w:color="auto"/>
            </w:tcBorders>
            <w:shd w:val="clear" w:color="auto" w:fill="000000" w:themeFill="text1"/>
            <w:tcMar>
              <w:top w:w="60" w:type="dxa"/>
              <w:left w:w="60" w:type="dxa"/>
              <w:bottom w:w="60" w:type="dxa"/>
              <w:right w:w="60" w:type="dxa"/>
            </w:tcMar>
          </w:tcPr>
          <w:p w14:paraId="7F90D353"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27" w:type="dxa"/>
            <w:gridSpan w:val="2"/>
            <w:tcBorders>
              <w:bottom w:val="single" w:sz="4" w:space="0" w:color="auto"/>
            </w:tcBorders>
            <w:shd w:val="clear" w:color="auto" w:fill="000000" w:themeFill="text1"/>
            <w:tcMar>
              <w:top w:w="60" w:type="dxa"/>
              <w:left w:w="60" w:type="dxa"/>
              <w:bottom w:w="60" w:type="dxa"/>
              <w:right w:w="60" w:type="dxa"/>
            </w:tcMar>
          </w:tcPr>
          <w:p w14:paraId="72080EE3"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26" w:type="dxa"/>
            <w:gridSpan w:val="2"/>
            <w:tcBorders>
              <w:bottom w:val="single" w:sz="4" w:space="0" w:color="auto"/>
            </w:tcBorders>
            <w:shd w:val="clear" w:color="auto" w:fill="000000" w:themeFill="text1"/>
            <w:tcMar>
              <w:top w:w="60" w:type="dxa"/>
              <w:left w:w="60" w:type="dxa"/>
              <w:bottom w:w="60" w:type="dxa"/>
              <w:right w:w="60" w:type="dxa"/>
            </w:tcMar>
          </w:tcPr>
          <w:p w14:paraId="3A2FFE7F"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26" w:type="dxa"/>
            <w:gridSpan w:val="2"/>
            <w:tcBorders>
              <w:bottom w:val="single" w:sz="4" w:space="0" w:color="auto"/>
            </w:tcBorders>
            <w:shd w:val="clear" w:color="auto" w:fill="000000" w:themeFill="text1"/>
            <w:tcMar>
              <w:top w:w="60" w:type="dxa"/>
              <w:left w:w="60" w:type="dxa"/>
              <w:bottom w:w="60" w:type="dxa"/>
              <w:right w:w="60" w:type="dxa"/>
            </w:tcMar>
          </w:tcPr>
          <w:p w14:paraId="5E43147E"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73" w:type="dxa"/>
            <w:gridSpan w:val="2"/>
            <w:tcBorders>
              <w:bottom w:val="single" w:sz="4" w:space="0" w:color="auto"/>
            </w:tcBorders>
            <w:shd w:val="clear" w:color="auto" w:fill="000000" w:themeFill="text1"/>
            <w:tcMar>
              <w:top w:w="60" w:type="dxa"/>
              <w:left w:w="60" w:type="dxa"/>
              <w:bottom w:w="60" w:type="dxa"/>
              <w:right w:w="60" w:type="dxa"/>
            </w:tcMar>
          </w:tcPr>
          <w:p w14:paraId="4E76151E"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44" w:type="dxa"/>
            <w:gridSpan w:val="3"/>
            <w:tcBorders>
              <w:top w:val="nil"/>
              <w:left w:val="nil"/>
              <w:bottom w:val="single" w:sz="4" w:space="0" w:color="auto"/>
              <w:right w:val="single" w:sz="12" w:space="0" w:color="auto"/>
            </w:tcBorders>
            <w:shd w:val="clear" w:color="auto" w:fill="000000" w:themeFill="text1"/>
            <w:tcMar>
              <w:top w:w="60" w:type="dxa"/>
              <w:left w:w="60" w:type="dxa"/>
              <w:bottom w:w="60" w:type="dxa"/>
              <w:right w:w="60" w:type="dxa"/>
            </w:tcMar>
          </w:tcPr>
          <w:p w14:paraId="2314F698"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60" w:type="dxa"/>
            <w:tcBorders>
              <w:top w:val="single" w:sz="12" w:space="0" w:color="auto"/>
              <w:left w:val="single" w:sz="12" w:space="0" w:color="auto"/>
              <w:bottom w:val="single" w:sz="4" w:space="0" w:color="auto"/>
              <w:right w:val="single" w:sz="12" w:space="0" w:color="auto"/>
            </w:tcBorders>
            <w:shd w:val="clear" w:color="auto" w:fill="000000" w:themeFill="text1"/>
            <w:tcMar>
              <w:top w:w="60" w:type="dxa"/>
              <w:left w:w="60" w:type="dxa"/>
              <w:bottom w:w="60" w:type="dxa"/>
              <w:right w:w="60" w:type="dxa"/>
            </w:tcMar>
          </w:tcPr>
          <w:p w14:paraId="7644DEC3"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905" w:type="dxa"/>
            <w:tcBorders>
              <w:top w:val="nil"/>
              <w:left w:val="single" w:sz="12" w:space="0" w:color="auto"/>
              <w:bottom w:val="single" w:sz="4" w:space="0" w:color="auto"/>
              <w:right w:val="nil"/>
            </w:tcBorders>
            <w:shd w:val="clear" w:color="auto" w:fill="000000" w:themeFill="text1"/>
            <w:tcMar>
              <w:top w:w="60" w:type="dxa"/>
              <w:left w:w="60" w:type="dxa"/>
              <w:bottom w:w="60" w:type="dxa"/>
              <w:right w:w="60" w:type="dxa"/>
            </w:tcMar>
          </w:tcPr>
          <w:p w14:paraId="4B22CBDC"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761" w:type="dxa"/>
            <w:tcBorders>
              <w:bottom w:val="single" w:sz="4" w:space="0" w:color="auto"/>
            </w:tcBorders>
            <w:shd w:val="clear" w:color="auto" w:fill="000000" w:themeFill="text1"/>
            <w:tcMar>
              <w:top w:w="60" w:type="dxa"/>
              <w:left w:w="60" w:type="dxa"/>
              <w:bottom w:w="60" w:type="dxa"/>
              <w:right w:w="60" w:type="dxa"/>
            </w:tcMar>
          </w:tcPr>
          <w:p w14:paraId="10F39BDA"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996" w:type="dxa"/>
            <w:tcBorders>
              <w:top w:val="nil"/>
              <w:left w:val="nil"/>
              <w:bottom w:val="single" w:sz="4" w:space="0" w:color="auto"/>
              <w:right w:val="single" w:sz="4" w:space="0" w:color="auto"/>
            </w:tcBorders>
            <w:shd w:val="clear" w:color="auto" w:fill="000000" w:themeFill="text1"/>
            <w:tcMar>
              <w:top w:w="60" w:type="dxa"/>
              <w:left w:w="60" w:type="dxa"/>
              <w:bottom w:w="60" w:type="dxa"/>
              <w:right w:w="60" w:type="dxa"/>
            </w:tcMar>
          </w:tcPr>
          <w:p w14:paraId="6CAEC75E"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r>
      <w:tr w:rsidR="00A54846" w14:paraId="45AF21BA" w14:textId="77777777">
        <w:tc>
          <w:tcPr>
            <w:tcW w:w="248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50DEC57E" w14:textId="77777777" w:rsidR="00A54846" w:rsidRDefault="008A2731">
            <w:pPr>
              <w:pageBreakBefore/>
              <w:widowControl w:val="0"/>
              <w:shd w:val="clear" w:color="auto" w:fill="auto"/>
              <w:spacing w:after="0" w:line="200" w:lineRule="exact"/>
              <w:jc w:val="left"/>
              <w:rPr>
                <w:rFonts w:ascii="Helvetica" w:eastAsia="Arial Unicode MS" w:hAnsi="Helvetica" w:cs="Times New Roman"/>
                <w:b/>
                <w:color w:val="000000"/>
                <w:sz w:val="16"/>
                <w:szCs w:val="16"/>
              </w:rPr>
            </w:pPr>
            <w:r>
              <w:rPr>
                <w:rFonts w:ascii="Helvetica" w:hAnsi="Helvetica"/>
                <w:b/>
                <w:color w:val="000000"/>
                <w:sz w:val="16"/>
              </w:rPr>
              <w:lastRenderedPageBreak/>
              <w:t>Investeringsutgifter for aktiviteter som er omfattet av taksonomien, men som ikke er miljømessig bærekraftige (ikke taksonomiforenlige aktiviteter) (A.2)</w:t>
            </w: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0D4B5562" w14:textId="77777777" w:rsidR="00A54846" w:rsidRPr="006A792F"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852"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1E174594" w14:textId="77777777" w:rsidR="00A54846" w:rsidRPr="006A792F"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4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7DD50259" w14:textId="77777777" w:rsidR="00A54846" w:rsidRDefault="008A2731">
            <w:pPr>
              <w:pageBreakBefore/>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w:t>
            </w:r>
          </w:p>
        </w:tc>
        <w:tc>
          <w:tcPr>
            <w:tcW w:w="494" w:type="dxa"/>
            <w:gridSpan w:val="2"/>
            <w:tcBorders>
              <w:top w:val="single" w:sz="4" w:space="0" w:color="auto"/>
            </w:tcBorders>
            <w:shd w:val="clear" w:color="auto" w:fill="000000" w:themeFill="text1"/>
            <w:tcMar>
              <w:top w:w="60" w:type="dxa"/>
              <w:left w:w="60" w:type="dxa"/>
              <w:bottom w:w="60" w:type="dxa"/>
              <w:right w:w="60" w:type="dxa"/>
            </w:tcMar>
          </w:tcPr>
          <w:p w14:paraId="6FC80A63"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tcBorders>
              <w:top w:val="single" w:sz="4" w:space="0" w:color="auto"/>
            </w:tcBorders>
            <w:shd w:val="clear" w:color="auto" w:fill="000000" w:themeFill="text1"/>
            <w:tcMar>
              <w:top w:w="60" w:type="dxa"/>
              <w:left w:w="60" w:type="dxa"/>
              <w:bottom w:w="60" w:type="dxa"/>
              <w:right w:w="60" w:type="dxa"/>
            </w:tcMar>
          </w:tcPr>
          <w:p w14:paraId="6843741E"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tcBorders>
              <w:top w:val="single" w:sz="4" w:space="0" w:color="auto"/>
            </w:tcBorders>
            <w:shd w:val="clear" w:color="auto" w:fill="000000" w:themeFill="text1"/>
            <w:tcMar>
              <w:top w:w="60" w:type="dxa"/>
              <w:left w:w="60" w:type="dxa"/>
              <w:bottom w:w="60" w:type="dxa"/>
              <w:right w:w="60" w:type="dxa"/>
            </w:tcMar>
          </w:tcPr>
          <w:p w14:paraId="7ECAA259"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tcBorders>
              <w:top w:val="single" w:sz="4" w:space="0" w:color="auto"/>
            </w:tcBorders>
            <w:shd w:val="clear" w:color="auto" w:fill="000000" w:themeFill="text1"/>
            <w:tcMar>
              <w:top w:w="60" w:type="dxa"/>
              <w:left w:w="60" w:type="dxa"/>
              <w:bottom w:w="60" w:type="dxa"/>
              <w:right w:w="60" w:type="dxa"/>
            </w:tcMar>
          </w:tcPr>
          <w:p w14:paraId="3EC32F69"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tcBorders>
              <w:top w:val="single" w:sz="4" w:space="0" w:color="auto"/>
            </w:tcBorders>
            <w:shd w:val="clear" w:color="auto" w:fill="000000" w:themeFill="text1"/>
            <w:tcMar>
              <w:top w:w="60" w:type="dxa"/>
              <w:left w:w="60" w:type="dxa"/>
              <w:bottom w:w="60" w:type="dxa"/>
              <w:right w:w="60" w:type="dxa"/>
            </w:tcMar>
          </w:tcPr>
          <w:p w14:paraId="60FEAB61"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tcBorders>
              <w:top w:val="single" w:sz="4" w:space="0" w:color="auto"/>
            </w:tcBorders>
            <w:shd w:val="clear" w:color="auto" w:fill="000000" w:themeFill="text1"/>
            <w:tcMar>
              <w:top w:w="60" w:type="dxa"/>
              <w:left w:w="60" w:type="dxa"/>
              <w:bottom w:w="60" w:type="dxa"/>
              <w:right w:w="60" w:type="dxa"/>
            </w:tcMar>
          </w:tcPr>
          <w:p w14:paraId="25019915"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gridSpan w:val="2"/>
            <w:tcBorders>
              <w:top w:val="single" w:sz="4" w:space="0" w:color="auto"/>
            </w:tcBorders>
            <w:shd w:val="clear" w:color="auto" w:fill="000000" w:themeFill="text1"/>
            <w:tcMar>
              <w:top w:w="60" w:type="dxa"/>
              <w:left w:w="60" w:type="dxa"/>
              <w:bottom w:w="60" w:type="dxa"/>
              <w:right w:w="60" w:type="dxa"/>
            </w:tcMar>
          </w:tcPr>
          <w:p w14:paraId="495A833C"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gridSpan w:val="2"/>
            <w:tcBorders>
              <w:top w:val="single" w:sz="4" w:space="0" w:color="auto"/>
            </w:tcBorders>
            <w:shd w:val="clear" w:color="auto" w:fill="000000" w:themeFill="text1"/>
            <w:tcMar>
              <w:top w:w="60" w:type="dxa"/>
              <w:left w:w="60" w:type="dxa"/>
              <w:bottom w:w="60" w:type="dxa"/>
              <w:right w:w="60" w:type="dxa"/>
            </w:tcMar>
          </w:tcPr>
          <w:p w14:paraId="30696F03"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tcBorders>
              <w:top w:val="single" w:sz="4" w:space="0" w:color="auto"/>
            </w:tcBorders>
            <w:shd w:val="clear" w:color="auto" w:fill="000000" w:themeFill="text1"/>
            <w:tcMar>
              <w:top w:w="60" w:type="dxa"/>
              <w:left w:w="60" w:type="dxa"/>
              <w:bottom w:w="60" w:type="dxa"/>
              <w:right w:w="60" w:type="dxa"/>
            </w:tcMar>
          </w:tcPr>
          <w:p w14:paraId="57D4943D"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tcBorders>
              <w:top w:val="single" w:sz="4" w:space="0" w:color="auto"/>
            </w:tcBorders>
            <w:shd w:val="clear" w:color="auto" w:fill="000000" w:themeFill="text1"/>
            <w:tcMar>
              <w:top w:w="60" w:type="dxa"/>
              <w:left w:w="60" w:type="dxa"/>
              <w:bottom w:w="60" w:type="dxa"/>
              <w:right w:w="60" w:type="dxa"/>
            </w:tcMar>
          </w:tcPr>
          <w:p w14:paraId="1147D350"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tcBorders>
              <w:top w:val="single" w:sz="4" w:space="0" w:color="auto"/>
            </w:tcBorders>
            <w:shd w:val="clear" w:color="auto" w:fill="000000" w:themeFill="text1"/>
            <w:tcMar>
              <w:top w:w="60" w:type="dxa"/>
              <w:left w:w="60" w:type="dxa"/>
              <w:bottom w:w="60" w:type="dxa"/>
              <w:right w:w="60" w:type="dxa"/>
            </w:tcMar>
          </w:tcPr>
          <w:p w14:paraId="0B824DCD"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tcBorders>
              <w:top w:val="single" w:sz="4" w:space="0" w:color="auto"/>
            </w:tcBorders>
            <w:shd w:val="clear" w:color="auto" w:fill="000000" w:themeFill="text1"/>
            <w:tcMar>
              <w:top w:w="60" w:type="dxa"/>
              <w:left w:w="60" w:type="dxa"/>
              <w:bottom w:w="60" w:type="dxa"/>
              <w:right w:w="60" w:type="dxa"/>
            </w:tcMar>
          </w:tcPr>
          <w:p w14:paraId="20EF6B9F"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44" w:type="dxa"/>
            <w:gridSpan w:val="3"/>
            <w:tcBorders>
              <w:top w:val="single" w:sz="4" w:space="0" w:color="auto"/>
              <w:left w:val="nil"/>
              <w:bottom w:val="nil"/>
              <w:right w:val="single" w:sz="12" w:space="0" w:color="auto"/>
            </w:tcBorders>
            <w:shd w:val="clear" w:color="auto" w:fill="000000" w:themeFill="text1"/>
            <w:tcMar>
              <w:top w:w="60" w:type="dxa"/>
              <w:left w:w="60" w:type="dxa"/>
              <w:bottom w:w="60" w:type="dxa"/>
              <w:right w:w="60" w:type="dxa"/>
            </w:tcMar>
          </w:tcPr>
          <w:p w14:paraId="1C006471"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60" w:type="dxa"/>
            <w:tcBorders>
              <w:top w:val="single" w:sz="4" w:space="0" w:color="auto"/>
              <w:left w:val="single" w:sz="12" w:space="0" w:color="auto"/>
              <w:bottom w:val="single" w:sz="4" w:space="0" w:color="auto"/>
              <w:right w:val="single" w:sz="12" w:space="0" w:color="auto"/>
            </w:tcBorders>
            <w:shd w:val="clear" w:color="auto" w:fill="FFFFFF"/>
            <w:tcMar>
              <w:top w:w="60" w:type="dxa"/>
              <w:left w:w="60" w:type="dxa"/>
              <w:bottom w:w="60" w:type="dxa"/>
              <w:right w:w="60" w:type="dxa"/>
            </w:tcMar>
          </w:tcPr>
          <w:p w14:paraId="561A06EF"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tcPr>
          <w:p w14:paraId="3F88EE65"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032E5DEE"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996"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tcPr>
          <w:p w14:paraId="24D620A5" w14:textId="77777777" w:rsidR="00A54846" w:rsidRDefault="00A54846">
            <w:pPr>
              <w:pageBreakBefore/>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r>
      <w:tr w:rsidR="00A54846" w14:paraId="27CCDBE5" w14:textId="77777777">
        <w:tc>
          <w:tcPr>
            <w:tcW w:w="248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6AADA77F" w14:textId="77777777" w:rsidR="00A54846" w:rsidRDefault="008A2731">
            <w:pPr>
              <w:widowControl w:val="0"/>
              <w:shd w:val="clear" w:color="auto" w:fill="auto"/>
              <w:spacing w:after="0" w:line="200" w:lineRule="exact"/>
              <w:jc w:val="left"/>
              <w:rPr>
                <w:rFonts w:ascii="Helvetica" w:eastAsia="Arial Unicode MS" w:hAnsi="Helvetica" w:cs="Times New Roman"/>
                <w:b/>
                <w:color w:val="000000"/>
                <w:sz w:val="16"/>
                <w:szCs w:val="16"/>
              </w:rPr>
            </w:pPr>
            <w:r>
              <w:rPr>
                <w:rFonts w:ascii="Helvetica" w:hAnsi="Helvetica"/>
                <w:b/>
                <w:color w:val="000000"/>
                <w:sz w:val="16"/>
              </w:rPr>
              <w:t xml:space="preserve">Sum (A.1 </w:t>
            </w:r>
            <w:r>
              <w:rPr>
                <w:rFonts w:ascii="Helvetica" w:hAnsi="Helvetica"/>
                <w:b/>
                <w:color w:val="000000"/>
                <w:sz w:val="16"/>
                <w:highlight w:val="lightGray"/>
              </w:rPr>
              <w:t>+</w:t>
            </w:r>
            <w:r>
              <w:rPr>
                <w:rFonts w:ascii="Helvetica" w:hAnsi="Helvetica"/>
                <w:b/>
                <w:color w:val="000000"/>
                <w:sz w:val="16"/>
              </w:rPr>
              <w:t xml:space="preserve"> A.2)</w:t>
            </w: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22FFA58E"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52"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447EFA13"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4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564C7B4D" w14:textId="77777777"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w:t>
            </w:r>
          </w:p>
        </w:tc>
        <w:tc>
          <w:tcPr>
            <w:tcW w:w="494" w:type="dxa"/>
            <w:gridSpan w:val="2"/>
            <w:shd w:val="clear" w:color="auto" w:fill="000000" w:themeFill="text1"/>
            <w:tcMar>
              <w:top w:w="60" w:type="dxa"/>
              <w:left w:w="60" w:type="dxa"/>
              <w:bottom w:w="60" w:type="dxa"/>
              <w:right w:w="60" w:type="dxa"/>
            </w:tcMar>
          </w:tcPr>
          <w:p w14:paraId="4F230EFD"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000000" w:themeFill="text1"/>
            <w:tcMar>
              <w:top w:w="60" w:type="dxa"/>
              <w:left w:w="60" w:type="dxa"/>
              <w:bottom w:w="60" w:type="dxa"/>
              <w:right w:w="60" w:type="dxa"/>
            </w:tcMar>
          </w:tcPr>
          <w:p w14:paraId="0F02EDD5"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000000" w:themeFill="text1"/>
            <w:tcMar>
              <w:top w:w="60" w:type="dxa"/>
              <w:left w:w="60" w:type="dxa"/>
              <w:bottom w:w="60" w:type="dxa"/>
              <w:right w:w="60" w:type="dxa"/>
            </w:tcMar>
          </w:tcPr>
          <w:p w14:paraId="7E6AC9C2"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000000" w:themeFill="text1"/>
            <w:tcMar>
              <w:top w:w="60" w:type="dxa"/>
              <w:left w:w="60" w:type="dxa"/>
              <w:bottom w:w="60" w:type="dxa"/>
              <w:right w:w="60" w:type="dxa"/>
            </w:tcMar>
          </w:tcPr>
          <w:p w14:paraId="61CB1F52"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000000" w:themeFill="text1"/>
            <w:tcMar>
              <w:top w:w="60" w:type="dxa"/>
              <w:left w:w="60" w:type="dxa"/>
              <w:bottom w:w="60" w:type="dxa"/>
              <w:right w:w="60" w:type="dxa"/>
            </w:tcMar>
          </w:tcPr>
          <w:p w14:paraId="487D72C4"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000000" w:themeFill="text1"/>
            <w:tcMar>
              <w:top w:w="60" w:type="dxa"/>
              <w:left w:w="60" w:type="dxa"/>
              <w:bottom w:w="60" w:type="dxa"/>
              <w:right w:w="60" w:type="dxa"/>
            </w:tcMar>
          </w:tcPr>
          <w:p w14:paraId="0FA8AB36"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gridSpan w:val="2"/>
            <w:shd w:val="clear" w:color="auto" w:fill="000000" w:themeFill="text1"/>
            <w:tcMar>
              <w:top w:w="60" w:type="dxa"/>
              <w:left w:w="60" w:type="dxa"/>
              <w:bottom w:w="60" w:type="dxa"/>
              <w:right w:w="60" w:type="dxa"/>
            </w:tcMar>
          </w:tcPr>
          <w:p w14:paraId="54BD0092"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gridSpan w:val="2"/>
            <w:shd w:val="clear" w:color="auto" w:fill="000000" w:themeFill="text1"/>
            <w:tcMar>
              <w:top w:w="60" w:type="dxa"/>
              <w:left w:w="60" w:type="dxa"/>
              <w:bottom w:w="60" w:type="dxa"/>
              <w:right w:w="60" w:type="dxa"/>
            </w:tcMar>
          </w:tcPr>
          <w:p w14:paraId="71CBC597"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000000" w:themeFill="text1"/>
            <w:tcMar>
              <w:top w:w="60" w:type="dxa"/>
              <w:left w:w="60" w:type="dxa"/>
              <w:bottom w:w="60" w:type="dxa"/>
              <w:right w:w="60" w:type="dxa"/>
            </w:tcMar>
          </w:tcPr>
          <w:p w14:paraId="316828EB"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000000" w:themeFill="text1"/>
            <w:tcMar>
              <w:top w:w="60" w:type="dxa"/>
              <w:left w:w="60" w:type="dxa"/>
              <w:bottom w:w="60" w:type="dxa"/>
              <w:right w:w="60" w:type="dxa"/>
            </w:tcMar>
          </w:tcPr>
          <w:p w14:paraId="03F68AFA"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000000" w:themeFill="text1"/>
            <w:tcMar>
              <w:top w:w="60" w:type="dxa"/>
              <w:left w:w="60" w:type="dxa"/>
              <w:bottom w:w="60" w:type="dxa"/>
              <w:right w:w="60" w:type="dxa"/>
            </w:tcMar>
          </w:tcPr>
          <w:p w14:paraId="243E56DD"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06971F0D"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44" w:type="dxa"/>
            <w:gridSpan w:val="3"/>
            <w:tcBorders>
              <w:top w:val="nil"/>
              <w:left w:val="nil"/>
              <w:bottom w:val="nil"/>
              <w:right w:val="single" w:sz="12" w:space="0" w:color="auto"/>
            </w:tcBorders>
            <w:shd w:val="clear" w:color="auto" w:fill="000000" w:themeFill="text1"/>
            <w:tcMar>
              <w:top w:w="60" w:type="dxa"/>
              <w:left w:w="60" w:type="dxa"/>
              <w:bottom w:w="60" w:type="dxa"/>
              <w:right w:w="60" w:type="dxa"/>
            </w:tcMar>
          </w:tcPr>
          <w:p w14:paraId="6E8EE320"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60" w:type="dxa"/>
            <w:tcBorders>
              <w:top w:val="single" w:sz="4" w:space="0" w:color="auto"/>
              <w:left w:val="single" w:sz="12" w:space="0" w:color="auto"/>
              <w:bottom w:val="single" w:sz="12" w:space="0" w:color="auto"/>
              <w:right w:val="single" w:sz="12" w:space="0" w:color="auto"/>
            </w:tcBorders>
            <w:shd w:val="clear" w:color="auto" w:fill="FFFFFF"/>
            <w:tcMar>
              <w:top w:w="60" w:type="dxa"/>
              <w:left w:w="60" w:type="dxa"/>
              <w:bottom w:w="60" w:type="dxa"/>
              <w:right w:w="60" w:type="dxa"/>
            </w:tcMar>
            <w:vAlign w:val="center"/>
            <w:hideMark/>
          </w:tcPr>
          <w:p w14:paraId="7AAC45AC"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w:t>
            </w: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tcPr>
          <w:p w14:paraId="3DF9CBD9"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330E211E"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w:t>
            </w:r>
          </w:p>
        </w:tc>
        <w:tc>
          <w:tcPr>
            <w:tcW w:w="996"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tcPr>
          <w:p w14:paraId="40195B35"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r>
      <w:tr w:rsidR="00A54846" w14:paraId="32939AB2" w14:textId="77777777">
        <w:tc>
          <w:tcPr>
            <w:tcW w:w="248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791C9949" w14:textId="77777777" w:rsidR="00A54846" w:rsidRDefault="008A2731">
            <w:pPr>
              <w:widowControl w:val="0"/>
              <w:shd w:val="clear" w:color="auto" w:fill="auto"/>
              <w:spacing w:after="0" w:line="200" w:lineRule="exact"/>
              <w:jc w:val="left"/>
              <w:rPr>
                <w:rFonts w:ascii="Helvetica" w:eastAsia="Arial Unicode MS" w:hAnsi="Helvetica" w:cs="Times New Roman"/>
                <w:b/>
                <w:color w:val="000000"/>
                <w:sz w:val="16"/>
                <w:szCs w:val="16"/>
              </w:rPr>
            </w:pPr>
            <w:r>
              <w:rPr>
                <w:rFonts w:ascii="Helvetica" w:hAnsi="Helvetica"/>
                <w:b/>
                <w:color w:val="000000"/>
                <w:sz w:val="16"/>
              </w:rPr>
              <w:t>B. AKTIVITETER SOM IKKE ER OMFATTET AV TAKSONOMIEN</w:t>
            </w:r>
          </w:p>
        </w:tc>
        <w:tc>
          <w:tcPr>
            <w:tcW w:w="528" w:type="dxa"/>
            <w:tcBorders>
              <w:top w:val="single" w:sz="4" w:space="0" w:color="auto"/>
              <w:left w:val="nil"/>
              <w:bottom w:val="nil"/>
              <w:right w:val="nil"/>
            </w:tcBorders>
            <w:shd w:val="clear" w:color="auto" w:fill="FFFFFF"/>
            <w:tcMar>
              <w:top w:w="60" w:type="dxa"/>
              <w:left w:w="60" w:type="dxa"/>
              <w:bottom w:w="60" w:type="dxa"/>
              <w:right w:w="60" w:type="dxa"/>
            </w:tcMar>
          </w:tcPr>
          <w:p w14:paraId="59316F18"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852" w:type="dxa"/>
            <w:tcBorders>
              <w:top w:val="single" w:sz="4" w:space="0" w:color="auto"/>
              <w:left w:val="nil"/>
              <w:bottom w:val="nil"/>
              <w:right w:val="nil"/>
            </w:tcBorders>
            <w:shd w:val="clear" w:color="auto" w:fill="FFFFFF"/>
            <w:tcMar>
              <w:top w:w="60" w:type="dxa"/>
              <w:left w:w="60" w:type="dxa"/>
              <w:bottom w:w="60" w:type="dxa"/>
              <w:right w:w="60" w:type="dxa"/>
            </w:tcMar>
          </w:tcPr>
          <w:p w14:paraId="587FC302"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44" w:type="dxa"/>
            <w:tcBorders>
              <w:top w:val="single" w:sz="4" w:space="0" w:color="auto"/>
              <w:left w:val="nil"/>
              <w:bottom w:val="nil"/>
              <w:right w:val="nil"/>
            </w:tcBorders>
            <w:shd w:val="clear" w:color="auto" w:fill="FFFFFF"/>
            <w:tcMar>
              <w:top w:w="60" w:type="dxa"/>
              <w:left w:w="60" w:type="dxa"/>
              <w:bottom w:w="60" w:type="dxa"/>
              <w:right w:w="60" w:type="dxa"/>
            </w:tcMar>
          </w:tcPr>
          <w:p w14:paraId="38691505"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94" w:type="dxa"/>
            <w:gridSpan w:val="2"/>
            <w:shd w:val="clear" w:color="auto" w:fill="FFFFFF"/>
            <w:tcMar>
              <w:top w:w="60" w:type="dxa"/>
              <w:left w:w="60" w:type="dxa"/>
              <w:bottom w:w="60" w:type="dxa"/>
              <w:right w:w="60" w:type="dxa"/>
            </w:tcMar>
          </w:tcPr>
          <w:p w14:paraId="32582CDF"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gridSpan w:val="2"/>
            <w:shd w:val="clear" w:color="auto" w:fill="FFFFFF"/>
            <w:tcMar>
              <w:top w:w="60" w:type="dxa"/>
              <w:left w:w="60" w:type="dxa"/>
              <w:bottom w:w="60" w:type="dxa"/>
              <w:right w:w="60" w:type="dxa"/>
            </w:tcMar>
          </w:tcPr>
          <w:p w14:paraId="7BBE287F"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gridSpan w:val="2"/>
            <w:shd w:val="clear" w:color="auto" w:fill="FFFFFF"/>
            <w:tcMar>
              <w:top w:w="60" w:type="dxa"/>
              <w:left w:w="60" w:type="dxa"/>
              <w:bottom w:w="60" w:type="dxa"/>
              <w:right w:w="60" w:type="dxa"/>
            </w:tcMar>
          </w:tcPr>
          <w:p w14:paraId="492486E6"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gridSpan w:val="2"/>
            <w:shd w:val="clear" w:color="auto" w:fill="FFFFFF"/>
            <w:tcMar>
              <w:top w:w="60" w:type="dxa"/>
              <w:left w:w="60" w:type="dxa"/>
              <w:bottom w:w="60" w:type="dxa"/>
              <w:right w:w="60" w:type="dxa"/>
            </w:tcMar>
          </w:tcPr>
          <w:p w14:paraId="1957FBA6"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gridSpan w:val="2"/>
            <w:shd w:val="clear" w:color="auto" w:fill="FFFFFF"/>
            <w:tcMar>
              <w:top w:w="60" w:type="dxa"/>
              <w:left w:w="60" w:type="dxa"/>
              <w:bottom w:w="60" w:type="dxa"/>
              <w:right w:w="60" w:type="dxa"/>
            </w:tcMar>
          </w:tcPr>
          <w:p w14:paraId="5F5DDDD4"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gridSpan w:val="2"/>
            <w:shd w:val="clear" w:color="auto" w:fill="FFFFFF"/>
            <w:tcMar>
              <w:top w:w="60" w:type="dxa"/>
              <w:left w:w="60" w:type="dxa"/>
              <w:bottom w:w="60" w:type="dxa"/>
              <w:right w:w="60" w:type="dxa"/>
            </w:tcMar>
          </w:tcPr>
          <w:p w14:paraId="2F13F5A5"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5" w:type="dxa"/>
            <w:gridSpan w:val="2"/>
            <w:shd w:val="clear" w:color="auto" w:fill="FFFFFF"/>
            <w:tcMar>
              <w:top w:w="60" w:type="dxa"/>
              <w:left w:w="60" w:type="dxa"/>
              <w:bottom w:w="60" w:type="dxa"/>
              <w:right w:w="60" w:type="dxa"/>
            </w:tcMar>
          </w:tcPr>
          <w:p w14:paraId="2BC37670"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5" w:type="dxa"/>
            <w:gridSpan w:val="2"/>
            <w:shd w:val="clear" w:color="auto" w:fill="FFFFFF"/>
            <w:tcMar>
              <w:top w:w="60" w:type="dxa"/>
              <w:left w:w="60" w:type="dxa"/>
              <w:bottom w:w="60" w:type="dxa"/>
              <w:right w:w="60" w:type="dxa"/>
            </w:tcMar>
          </w:tcPr>
          <w:p w14:paraId="04A362B6"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gridSpan w:val="2"/>
            <w:shd w:val="clear" w:color="auto" w:fill="FFFFFF"/>
            <w:tcMar>
              <w:top w:w="60" w:type="dxa"/>
              <w:left w:w="60" w:type="dxa"/>
              <w:bottom w:w="60" w:type="dxa"/>
              <w:right w:w="60" w:type="dxa"/>
            </w:tcMar>
          </w:tcPr>
          <w:p w14:paraId="0B0E8031"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gridSpan w:val="2"/>
            <w:shd w:val="clear" w:color="auto" w:fill="FFFFFF"/>
            <w:tcMar>
              <w:top w:w="60" w:type="dxa"/>
              <w:left w:w="60" w:type="dxa"/>
              <w:bottom w:w="60" w:type="dxa"/>
              <w:right w:w="60" w:type="dxa"/>
            </w:tcMar>
          </w:tcPr>
          <w:p w14:paraId="46588163"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gridSpan w:val="2"/>
            <w:shd w:val="clear" w:color="auto" w:fill="FFFFFF"/>
            <w:tcMar>
              <w:top w:w="60" w:type="dxa"/>
              <w:left w:w="60" w:type="dxa"/>
              <w:bottom w:w="60" w:type="dxa"/>
              <w:right w:w="60" w:type="dxa"/>
            </w:tcMar>
          </w:tcPr>
          <w:p w14:paraId="4C688589"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shd w:val="clear" w:color="auto" w:fill="FFFFFF"/>
            <w:tcMar>
              <w:top w:w="60" w:type="dxa"/>
              <w:left w:w="60" w:type="dxa"/>
              <w:bottom w:w="60" w:type="dxa"/>
              <w:right w:w="60" w:type="dxa"/>
            </w:tcMar>
          </w:tcPr>
          <w:p w14:paraId="60D7B90D"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544" w:type="dxa"/>
            <w:gridSpan w:val="3"/>
            <w:shd w:val="clear" w:color="auto" w:fill="FFFFFF"/>
            <w:tcMar>
              <w:top w:w="60" w:type="dxa"/>
              <w:left w:w="60" w:type="dxa"/>
              <w:bottom w:w="60" w:type="dxa"/>
              <w:right w:w="60" w:type="dxa"/>
            </w:tcMar>
          </w:tcPr>
          <w:p w14:paraId="4EE31139"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860" w:type="dxa"/>
            <w:tcBorders>
              <w:top w:val="single" w:sz="12" w:space="0" w:color="auto"/>
              <w:left w:val="nil"/>
              <w:bottom w:val="nil"/>
              <w:right w:val="nil"/>
            </w:tcBorders>
            <w:shd w:val="clear" w:color="auto" w:fill="FFFFFF"/>
            <w:tcMar>
              <w:top w:w="60" w:type="dxa"/>
              <w:left w:w="60" w:type="dxa"/>
              <w:bottom w:w="60" w:type="dxa"/>
              <w:right w:w="60" w:type="dxa"/>
            </w:tcMar>
          </w:tcPr>
          <w:p w14:paraId="781887F4"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905" w:type="dxa"/>
            <w:tcBorders>
              <w:top w:val="single" w:sz="4" w:space="0" w:color="auto"/>
              <w:left w:val="nil"/>
              <w:bottom w:val="nil"/>
              <w:right w:val="nil"/>
            </w:tcBorders>
            <w:shd w:val="clear" w:color="auto" w:fill="FFFFFF"/>
            <w:tcMar>
              <w:top w:w="60" w:type="dxa"/>
              <w:left w:w="60" w:type="dxa"/>
              <w:bottom w:w="60" w:type="dxa"/>
              <w:right w:w="60" w:type="dxa"/>
            </w:tcMar>
          </w:tcPr>
          <w:p w14:paraId="60248A15"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761" w:type="dxa"/>
            <w:tcBorders>
              <w:top w:val="single" w:sz="4" w:space="0" w:color="auto"/>
              <w:left w:val="nil"/>
              <w:bottom w:val="nil"/>
              <w:right w:val="nil"/>
            </w:tcBorders>
            <w:shd w:val="clear" w:color="auto" w:fill="FFFFFF"/>
            <w:tcMar>
              <w:top w:w="60" w:type="dxa"/>
              <w:left w:w="60" w:type="dxa"/>
              <w:bottom w:w="60" w:type="dxa"/>
              <w:right w:w="60" w:type="dxa"/>
            </w:tcMar>
          </w:tcPr>
          <w:p w14:paraId="74D23DF0"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996" w:type="dxa"/>
            <w:tcBorders>
              <w:top w:val="single" w:sz="4" w:space="0" w:color="auto"/>
              <w:left w:val="nil"/>
              <w:bottom w:val="nil"/>
              <w:right w:val="nil"/>
            </w:tcBorders>
            <w:shd w:val="clear" w:color="auto" w:fill="FFFFFF"/>
            <w:tcMar>
              <w:top w:w="60" w:type="dxa"/>
              <w:left w:w="60" w:type="dxa"/>
              <w:bottom w:w="60" w:type="dxa"/>
              <w:right w:w="60" w:type="dxa"/>
            </w:tcMar>
          </w:tcPr>
          <w:p w14:paraId="409F191F"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r>
      <w:tr w:rsidR="00A54846" w14:paraId="0D26F4DA" w14:textId="77777777">
        <w:tc>
          <w:tcPr>
            <w:tcW w:w="2484"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63A26FBC" w14:textId="77777777" w:rsidR="00A54846" w:rsidRDefault="008A2731">
            <w:pPr>
              <w:widowControl w:val="0"/>
              <w:shd w:val="clear" w:color="auto" w:fill="auto"/>
              <w:spacing w:after="0" w:line="200" w:lineRule="exact"/>
              <w:jc w:val="left"/>
              <w:rPr>
                <w:rFonts w:ascii="Helvetica" w:eastAsia="Arial Unicode MS" w:hAnsi="Helvetica" w:cs="Times New Roman"/>
                <w:b/>
                <w:color w:val="000000"/>
                <w:sz w:val="16"/>
                <w:szCs w:val="16"/>
              </w:rPr>
            </w:pPr>
            <w:r>
              <w:rPr>
                <w:rFonts w:ascii="Helvetica" w:hAnsi="Helvetica"/>
                <w:b/>
                <w:color w:val="000000"/>
                <w:sz w:val="16"/>
              </w:rPr>
              <w:t>Omsetning for aktiviteter som ikke er omfattet av taksonomien (B)</w:t>
            </w:r>
          </w:p>
        </w:tc>
        <w:tc>
          <w:tcPr>
            <w:tcW w:w="528"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69A56DAA"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852"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0A6D01F4"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44"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center"/>
            <w:hideMark/>
          </w:tcPr>
          <w:p w14:paraId="12F0B666" w14:textId="77777777"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w:t>
            </w:r>
          </w:p>
        </w:tc>
        <w:tc>
          <w:tcPr>
            <w:tcW w:w="494" w:type="dxa"/>
            <w:gridSpan w:val="2"/>
            <w:tcBorders>
              <w:top w:val="nil"/>
              <w:left w:val="single" w:sz="4" w:space="0" w:color="auto"/>
              <w:bottom w:val="nil"/>
              <w:right w:val="nil"/>
            </w:tcBorders>
            <w:shd w:val="clear" w:color="auto" w:fill="FFFFFF"/>
            <w:tcMar>
              <w:top w:w="60" w:type="dxa"/>
              <w:left w:w="60" w:type="dxa"/>
              <w:bottom w:w="60" w:type="dxa"/>
              <w:right w:w="60" w:type="dxa"/>
            </w:tcMar>
          </w:tcPr>
          <w:p w14:paraId="379228D8"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7D35AC60"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0F22CAC6"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44C9D6FC"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0E495F36"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2FD6500B"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gridSpan w:val="2"/>
            <w:shd w:val="clear" w:color="auto" w:fill="FFFFFF"/>
            <w:tcMar>
              <w:top w:w="60" w:type="dxa"/>
              <w:left w:w="60" w:type="dxa"/>
              <w:bottom w:w="60" w:type="dxa"/>
              <w:right w:w="60" w:type="dxa"/>
            </w:tcMar>
          </w:tcPr>
          <w:p w14:paraId="4BC97D07"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gridSpan w:val="2"/>
            <w:shd w:val="clear" w:color="auto" w:fill="FFFFFF"/>
            <w:tcMar>
              <w:top w:w="60" w:type="dxa"/>
              <w:left w:w="60" w:type="dxa"/>
              <w:bottom w:w="60" w:type="dxa"/>
              <w:right w:w="60" w:type="dxa"/>
            </w:tcMar>
          </w:tcPr>
          <w:p w14:paraId="0BCE56E1"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05E7A758"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230B97E3"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0ECEACCB"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29C7AC9B"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44" w:type="dxa"/>
            <w:gridSpan w:val="3"/>
            <w:shd w:val="clear" w:color="auto" w:fill="FFFFFF"/>
            <w:tcMar>
              <w:top w:w="60" w:type="dxa"/>
              <w:left w:w="60" w:type="dxa"/>
              <w:bottom w:w="60" w:type="dxa"/>
              <w:right w:w="60" w:type="dxa"/>
            </w:tcMar>
          </w:tcPr>
          <w:p w14:paraId="6C358D5F"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60" w:type="dxa"/>
            <w:shd w:val="clear" w:color="auto" w:fill="FFFFFF"/>
            <w:tcMar>
              <w:top w:w="60" w:type="dxa"/>
              <w:left w:w="60" w:type="dxa"/>
              <w:bottom w:w="60" w:type="dxa"/>
              <w:right w:w="60" w:type="dxa"/>
            </w:tcMar>
          </w:tcPr>
          <w:p w14:paraId="5D7D7843"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905" w:type="dxa"/>
            <w:shd w:val="clear" w:color="auto" w:fill="FFFFFF"/>
            <w:tcMar>
              <w:top w:w="60" w:type="dxa"/>
              <w:left w:w="60" w:type="dxa"/>
              <w:bottom w:w="60" w:type="dxa"/>
              <w:right w:w="60" w:type="dxa"/>
            </w:tcMar>
          </w:tcPr>
          <w:p w14:paraId="317B7AD5"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761" w:type="dxa"/>
            <w:shd w:val="clear" w:color="auto" w:fill="FFFFFF"/>
            <w:tcMar>
              <w:top w:w="60" w:type="dxa"/>
              <w:left w:w="60" w:type="dxa"/>
              <w:bottom w:w="60" w:type="dxa"/>
              <w:right w:w="60" w:type="dxa"/>
            </w:tcMar>
          </w:tcPr>
          <w:p w14:paraId="692404B5"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996" w:type="dxa"/>
            <w:shd w:val="clear" w:color="auto" w:fill="FFFFFF"/>
            <w:tcMar>
              <w:top w:w="60" w:type="dxa"/>
              <w:left w:w="60" w:type="dxa"/>
              <w:bottom w:w="60" w:type="dxa"/>
              <w:right w:w="60" w:type="dxa"/>
            </w:tcMar>
          </w:tcPr>
          <w:p w14:paraId="25D590F6"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r>
      <w:tr w:rsidR="00A54846" w14:paraId="20C4C33C" w14:textId="77777777">
        <w:tc>
          <w:tcPr>
            <w:tcW w:w="2484"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2A8C0D9D" w14:textId="77777777" w:rsidR="00A54846" w:rsidRDefault="008A2731">
            <w:pPr>
              <w:widowControl w:val="0"/>
              <w:shd w:val="clear" w:color="auto" w:fill="auto"/>
              <w:spacing w:after="0" w:line="200" w:lineRule="exact"/>
              <w:jc w:val="left"/>
              <w:rPr>
                <w:rFonts w:ascii="Helvetica" w:eastAsia="Arial Unicode MS" w:hAnsi="Helvetica" w:cs="Times New Roman"/>
                <w:b/>
                <w:color w:val="000000"/>
                <w:sz w:val="16"/>
                <w:szCs w:val="16"/>
              </w:rPr>
            </w:pPr>
            <w:r>
              <w:rPr>
                <w:rFonts w:ascii="Helvetica" w:hAnsi="Helvetica"/>
                <w:b/>
                <w:color w:val="000000"/>
                <w:sz w:val="16"/>
              </w:rPr>
              <w:t xml:space="preserve">Sum (A </w:t>
            </w:r>
            <w:r>
              <w:rPr>
                <w:rFonts w:ascii="Helvetica" w:hAnsi="Helvetica"/>
                <w:b/>
                <w:color w:val="000000"/>
                <w:sz w:val="16"/>
                <w:highlight w:val="lightGray"/>
              </w:rPr>
              <w:t>+</w:t>
            </w:r>
            <w:r>
              <w:rPr>
                <w:rFonts w:ascii="Helvetica" w:hAnsi="Helvetica"/>
                <w:b/>
                <w:color w:val="000000"/>
                <w:sz w:val="16"/>
              </w:rPr>
              <w:t xml:space="preserve"> B)</w:t>
            </w:r>
          </w:p>
        </w:tc>
        <w:tc>
          <w:tcPr>
            <w:tcW w:w="528"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59F2FF46"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52"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5A3805F5"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44"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32496691" w14:textId="77777777"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w:t>
            </w:r>
          </w:p>
        </w:tc>
        <w:tc>
          <w:tcPr>
            <w:tcW w:w="494" w:type="dxa"/>
            <w:gridSpan w:val="2"/>
            <w:tcBorders>
              <w:top w:val="nil"/>
              <w:left w:val="single" w:sz="4" w:space="0" w:color="auto"/>
              <w:bottom w:val="nil"/>
              <w:right w:val="nil"/>
            </w:tcBorders>
            <w:shd w:val="clear" w:color="auto" w:fill="FFFFFF"/>
            <w:tcMar>
              <w:top w:w="60" w:type="dxa"/>
              <w:left w:w="60" w:type="dxa"/>
              <w:bottom w:w="60" w:type="dxa"/>
              <w:right w:w="60" w:type="dxa"/>
            </w:tcMar>
          </w:tcPr>
          <w:p w14:paraId="44F084FE"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5A2AE694"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3ADCA198"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3D30184A"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7920A113"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73D06011"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gridSpan w:val="2"/>
            <w:shd w:val="clear" w:color="auto" w:fill="FFFFFF"/>
            <w:tcMar>
              <w:top w:w="60" w:type="dxa"/>
              <w:left w:w="60" w:type="dxa"/>
              <w:bottom w:w="60" w:type="dxa"/>
              <w:right w:w="60" w:type="dxa"/>
            </w:tcMar>
          </w:tcPr>
          <w:p w14:paraId="1C026A48"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gridSpan w:val="2"/>
            <w:shd w:val="clear" w:color="auto" w:fill="FFFFFF"/>
            <w:tcMar>
              <w:top w:w="60" w:type="dxa"/>
              <w:left w:w="60" w:type="dxa"/>
              <w:bottom w:w="60" w:type="dxa"/>
              <w:right w:w="60" w:type="dxa"/>
            </w:tcMar>
          </w:tcPr>
          <w:p w14:paraId="23B41A9C"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4F6D8CF7"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38C5C5B5"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gridSpan w:val="2"/>
            <w:shd w:val="clear" w:color="auto" w:fill="FFFFFF"/>
            <w:tcMar>
              <w:top w:w="60" w:type="dxa"/>
              <w:left w:w="60" w:type="dxa"/>
              <w:bottom w:w="60" w:type="dxa"/>
              <w:right w:w="60" w:type="dxa"/>
            </w:tcMar>
          </w:tcPr>
          <w:p w14:paraId="163E92C3"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79910CCA"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44" w:type="dxa"/>
            <w:gridSpan w:val="3"/>
            <w:shd w:val="clear" w:color="auto" w:fill="FFFFFF"/>
            <w:tcMar>
              <w:top w:w="60" w:type="dxa"/>
              <w:left w:w="60" w:type="dxa"/>
              <w:bottom w:w="60" w:type="dxa"/>
              <w:right w:w="60" w:type="dxa"/>
            </w:tcMar>
          </w:tcPr>
          <w:p w14:paraId="4CA4AC4D"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60" w:type="dxa"/>
            <w:shd w:val="clear" w:color="auto" w:fill="FFFFFF"/>
            <w:tcMar>
              <w:top w:w="60" w:type="dxa"/>
              <w:left w:w="60" w:type="dxa"/>
              <w:bottom w:w="60" w:type="dxa"/>
              <w:right w:w="60" w:type="dxa"/>
            </w:tcMar>
          </w:tcPr>
          <w:p w14:paraId="6472D6D2"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905" w:type="dxa"/>
            <w:shd w:val="clear" w:color="auto" w:fill="FFFFFF"/>
            <w:tcMar>
              <w:top w:w="60" w:type="dxa"/>
              <w:left w:w="60" w:type="dxa"/>
              <w:bottom w:w="60" w:type="dxa"/>
              <w:right w:w="60" w:type="dxa"/>
            </w:tcMar>
          </w:tcPr>
          <w:p w14:paraId="24A80FC1"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761" w:type="dxa"/>
            <w:shd w:val="clear" w:color="auto" w:fill="FFFFFF"/>
            <w:tcMar>
              <w:top w:w="60" w:type="dxa"/>
              <w:left w:w="60" w:type="dxa"/>
              <w:bottom w:w="60" w:type="dxa"/>
              <w:right w:w="60" w:type="dxa"/>
            </w:tcMar>
          </w:tcPr>
          <w:p w14:paraId="5E71344E"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996" w:type="dxa"/>
            <w:shd w:val="clear" w:color="auto" w:fill="FFFFFF"/>
            <w:tcMar>
              <w:top w:w="60" w:type="dxa"/>
              <w:left w:w="60" w:type="dxa"/>
              <w:bottom w:w="60" w:type="dxa"/>
              <w:right w:w="60" w:type="dxa"/>
            </w:tcMar>
          </w:tcPr>
          <w:p w14:paraId="37F08255"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r>
      <w:tr w:rsidR="00A54846" w14:paraId="2639D106" w14:textId="77777777">
        <w:tc>
          <w:tcPr>
            <w:tcW w:w="14304" w:type="dxa"/>
            <w:gridSpan w:val="34"/>
            <w:shd w:val="clear" w:color="auto" w:fill="FFFFFF"/>
            <w:tcMar>
              <w:top w:w="60" w:type="dxa"/>
              <w:left w:w="60" w:type="dxa"/>
              <w:bottom w:w="60" w:type="dxa"/>
              <w:right w:w="60" w:type="dxa"/>
            </w:tcMar>
            <w:vAlign w:val="bottom"/>
            <w:hideMark/>
          </w:tcPr>
          <w:p w14:paraId="37828BCC" w14:textId="77777777" w:rsidR="00A54846" w:rsidRDefault="008A2731">
            <w:pPr>
              <w:widowControl w:val="0"/>
              <w:shd w:val="clear" w:color="auto" w:fill="auto"/>
              <w:spacing w:after="0" w:line="200" w:lineRule="exact"/>
              <w:ind w:left="360" w:hanging="360"/>
              <w:jc w:val="left"/>
              <w:rPr>
                <w:rFonts w:eastAsia="Arial Unicode MS" w:cs="Times New Roman"/>
                <w:color w:val="000000"/>
                <w:sz w:val="16"/>
                <w:szCs w:val="16"/>
              </w:rPr>
            </w:pPr>
            <w:r>
              <w:rPr>
                <w:color w:val="000000"/>
                <w:sz w:val="16"/>
              </w:rPr>
              <w:t xml:space="preserve">(1) </w:t>
            </w:r>
            <w:r>
              <w:rPr>
                <w:color w:val="000000"/>
                <w:sz w:val="16"/>
              </w:rPr>
              <w:tab/>
              <w:t>Aktivitet 1 er i sin helhet omfattet av taksonomien. Imidlertid er bare en del av den taksonomiforenlig. Derfor kan aktivitet 1 rapporteres under både A1 og A2. Imidlertid er det bare den andelen som rapporteres under A1, som kan regnes som taksonomiforenlig i det ikke-finansielle foretakets KPI for investeringsutgifter.</w:t>
            </w:r>
          </w:p>
        </w:tc>
      </w:tr>
    </w:tbl>
    <w:p w14:paraId="1314AAB3" w14:textId="77777777" w:rsidR="00A54846" w:rsidRDefault="008A2731">
      <w:pPr>
        <w:pStyle w:val="AnnexNormal"/>
        <w:spacing w:before="200"/>
      </w:pPr>
      <w:r>
        <w:t>For aktiviteter oppført under A2, er det frivillig for ikke-finansielle foretak å fylle ut kolonne 5–17.</w:t>
      </w:r>
      <w:r>
        <w:br w:type="page"/>
      </w:r>
    </w:p>
    <w:p w14:paraId="1AE54E80" w14:textId="77777777" w:rsidR="00A54846" w:rsidRDefault="008A2731">
      <w:pPr>
        <w:pStyle w:val="AnnexGrSeq1"/>
        <w:spacing w:line="240" w:lineRule="exact"/>
        <w:jc w:val="both"/>
        <w:rPr>
          <w:sz w:val="18"/>
        </w:rPr>
      </w:pPr>
      <w:r>
        <w:rPr>
          <w:i/>
          <w:sz w:val="18"/>
        </w:rPr>
        <w:lastRenderedPageBreak/>
        <w:t>Mal: Andel av driftsutgiftene for produkter eller tjenester som er forbundet med taksonomiforenlige økonomiske aktiviteter – opplysninger for år N</w:t>
      </w:r>
    </w:p>
    <w:tbl>
      <w:tblPr>
        <w:tblOverlap w:val="never"/>
        <w:tblW w:w="0" w:type="auto"/>
        <w:tblInd w:w="72" w:type="dxa"/>
        <w:tblLayout w:type="fixed"/>
        <w:tblCellMar>
          <w:left w:w="10" w:type="dxa"/>
          <w:right w:w="10" w:type="dxa"/>
        </w:tblCellMar>
        <w:tblLook w:val="04A0" w:firstRow="1" w:lastRow="0" w:firstColumn="1" w:lastColumn="0" w:noHBand="0" w:noVBand="1"/>
      </w:tblPr>
      <w:tblGrid>
        <w:gridCol w:w="2005"/>
        <w:gridCol w:w="7"/>
        <w:gridCol w:w="520"/>
        <w:gridCol w:w="782"/>
        <w:gridCol w:w="6"/>
        <w:gridCol w:w="533"/>
        <w:gridCol w:w="527"/>
        <w:gridCol w:w="528"/>
        <w:gridCol w:w="513"/>
        <w:gridCol w:w="531"/>
        <w:gridCol w:w="516"/>
        <w:gridCol w:w="566"/>
        <w:gridCol w:w="526"/>
        <w:gridCol w:w="526"/>
        <w:gridCol w:w="526"/>
        <w:gridCol w:w="526"/>
        <w:gridCol w:w="526"/>
        <w:gridCol w:w="524"/>
        <w:gridCol w:w="528"/>
        <w:gridCol w:w="876"/>
        <w:gridCol w:w="905"/>
        <w:gridCol w:w="761"/>
        <w:gridCol w:w="1059"/>
      </w:tblGrid>
      <w:tr w:rsidR="00A54846" w14:paraId="04A0F934" w14:textId="77777777">
        <w:trPr>
          <w:trHeight w:val="370"/>
          <w:tblHeader/>
        </w:trPr>
        <w:tc>
          <w:tcPr>
            <w:tcW w:w="3853" w:type="dxa"/>
            <w:gridSpan w:val="6"/>
            <w:shd w:val="clear" w:color="auto" w:fill="FFFFFF"/>
            <w:tcMar>
              <w:top w:w="60" w:type="dxa"/>
              <w:left w:w="60" w:type="dxa"/>
              <w:bottom w:w="60" w:type="dxa"/>
              <w:right w:w="60" w:type="dxa"/>
            </w:tcMar>
          </w:tcPr>
          <w:p w14:paraId="6A014430"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3181" w:type="dxa"/>
            <w:gridSpan w:val="6"/>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4DA1CE69"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Kriterier for vesentlig bidrag</w:t>
            </w:r>
          </w:p>
        </w:tc>
        <w:tc>
          <w:tcPr>
            <w:tcW w:w="3154" w:type="dxa"/>
            <w:gridSpan w:val="6"/>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53787E57" w14:textId="77777777" w:rsidR="00A54846" w:rsidRDefault="008A2731">
            <w:pPr>
              <w:widowControl w:val="0"/>
              <w:shd w:val="clear" w:color="auto" w:fill="auto"/>
              <w:spacing w:after="120" w:line="240" w:lineRule="auto"/>
              <w:jc w:val="center"/>
              <w:rPr>
                <w:rFonts w:eastAsia="Arial Unicode MS" w:cs="Times New Roman"/>
                <w:color w:val="000000"/>
                <w:sz w:val="16"/>
                <w:szCs w:val="16"/>
              </w:rPr>
            </w:pPr>
            <w:r>
              <w:rPr>
                <w:color w:val="000000"/>
                <w:sz w:val="16"/>
              </w:rPr>
              <w:t>Kriterier mht. at aktiviteten ikke er til betydelig skade</w:t>
            </w:r>
          </w:p>
          <w:p w14:paraId="5093B488"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(DNSH)</w:t>
            </w:r>
          </w:p>
        </w:tc>
        <w:tc>
          <w:tcPr>
            <w:tcW w:w="4129" w:type="dxa"/>
            <w:gridSpan w:val="5"/>
            <w:tcBorders>
              <w:top w:val="nil"/>
              <w:left w:val="single" w:sz="4" w:space="0" w:color="auto"/>
              <w:bottom w:val="nil"/>
              <w:right w:val="nil"/>
            </w:tcBorders>
            <w:shd w:val="clear" w:color="auto" w:fill="FFFFFF"/>
            <w:tcMar>
              <w:top w:w="60" w:type="dxa"/>
              <w:left w:w="60" w:type="dxa"/>
              <w:bottom w:w="60" w:type="dxa"/>
              <w:right w:w="60" w:type="dxa"/>
            </w:tcMar>
          </w:tcPr>
          <w:p w14:paraId="4D81B8F2"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r>
      <w:tr w:rsidR="00A54846" w14:paraId="0F03F39B" w14:textId="77777777">
        <w:trPr>
          <w:trHeight w:val="2854"/>
          <w:tblHeader/>
        </w:trPr>
        <w:tc>
          <w:tcPr>
            <w:tcW w:w="2012"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2E84F8D6" w14:textId="77777777"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Økonomiske aktiviteter (1)</w:t>
            </w:r>
          </w:p>
        </w:tc>
        <w:tc>
          <w:tcPr>
            <w:tcW w:w="520"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3E4B0561"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Kode(r) (2)</w:t>
            </w:r>
          </w:p>
        </w:tc>
        <w:tc>
          <w:tcPr>
            <w:tcW w:w="788"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5F1A39B2" w14:textId="77777777" w:rsidR="00A54846" w:rsidRDefault="008A2731">
            <w:pPr>
              <w:widowControl w:val="0"/>
              <w:shd w:val="clear" w:color="auto" w:fill="auto"/>
              <w:spacing w:line="240" w:lineRule="auto"/>
              <w:jc w:val="center"/>
              <w:rPr>
                <w:rFonts w:eastAsia="Arial Unicode MS" w:cs="Times New Roman"/>
                <w:b/>
                <w:color w:val="000000"/>
                <w:sz w:val="16"/>
                <w:szCs w:val="16"/>
              </w:rPr>
            </w:pPr>
            <w:r>
              <w:rPr>
                <w:b/>
                <w:color w:val="000000"/>
                <w:sz w:val="16"/>
              </w:rPr>
              <w:t>Absolutte driftsutgifter (3)</w:t>
            </w:r>
          </w:p>
        </w:tc>
        <w:tc>
          <w:tcPr>
            <w:tcW w:w="53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0C244B3E"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Andel av driftsutgiftene (4)</w:t>
            </w:r>
          </w:p>
        </w:tc>
        <w:tc>
          <w:tcPr>
            <w:tcW w:w="527"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67673A60"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Begrensning av klimaendringer (5)</w:t>
            </w: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7E375F32"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Tilpasning til klimaendringer (6)</w:t>
            </w:r>
          </w:p>
        </w:tc>
        <w:tc>
          <w:tcPr>
            <w:tcW w:w="51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2D4BF7B4"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Vann- og havressurser (7)</w:t>
            </w:r>
          </w:p>
        </w:tc>
        <w:tc>
          <w:tcPr>
            <w:tcW w:w="53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566A75A7"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Sirkulær økonomi (8)</w:t>
            </w:r>
          </w:p>
        </w:tc>
        <w:tc>
          <w:tcPr>
            <w:tcW w:w="51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4D306986"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Forurensning (9)</w:t>
            </w:r>
          </w:p>
        </w:tc>
        <w:tc>
          <w:tcPr>
            <w:tcW w:w="56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554D1C0F"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Biologisk mangfold og økosystemer (10)</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0A3A5840"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Begrensning av klimaendringer (11)</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7B5838D5"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Tilpasning til klimaendringer (12)</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02893C51"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Vann- og havressurser (13)</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65DBA97E"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Sirkulær økonomi (14)</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37023E36"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Forurensning (15)</w:t>
            </w:r>
          </w:p>
        </w:tc>
        <w:tc>
          <w:tcPr>
            <w:tcW w:w="52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6C197CA0"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Biologisk mangfold og økosystemer (16)</w:t>
            </w:r>
          </w:p>
        </w:tc>
        <w:tc>
          <w:tcPr>
            <w:tcW w:w="528" w:type="dxa"/>
            <w:tcBorders>
              <w:top w:val="single" w:sz="4" w:space="0" w:color="auto"/>
              <w:left w:val="single" w:sz="4" w:space="0" w:color="auto"/>
              <w:bottom w:val="nil"/>
              <w:right w:val="single" w:sz="12" w:space="0" w:color="auto"/>
            </w:tcBorders>
            <w:shd w:val="clear" w:color="auto" w:fill="FFFFFF"/>
            <w:tcMar>
              <w:top w:w="60" w:type="dxa"/>
              <w:left w:w="60" w:type="dxa"/>
              <w:bottom w:w="60" w:type="dxa"/>
              <w:right w:w="60" w:type="dxa"/>
            </w:tcMar>
            <w:textDirection w:val="tbRl"/>
            <w:vAlign w:val="bottom"/>
            <w:hideMark/>
          </w:tcPr>
          <w:p w14:paraId="28CEEC41"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Minstegarantier (17)</w:t>
            </w:r>
          </w:p>
        </w:tc>
        <w:tc>
          <w:tcPr>
            <w:tcW w:w="876" w:type="dxa"/>
            <w:tcBorders>
              <w:top w:val="single" w:sz="12" w:space="0" w:color="auto"/>
              <w:left w:val="single" w:sz="12" w:space="0" w:color="auto"/>
              <w:bottom w:val="nil"/>
              <w:right w:val="single" w:sz="12" w:space="0" w:color="auto"/>
            </w:tcBorders>
            <w:shd w:val="clear" w:color="auto" w:fill="FFFFFF"/>
            <w:tcMar>
              <w:top w:w="60" w:type="dxa"/>
              <w:left w:w="60" w:type="dxa"/>
              <w:bottom w:w="60" w:type="dxa"/>
              <w:right w:w="60" w:type="dxa"/>
            </w:tcMar>
            <w:vAlign w:val="center"/>
            <w:hideMark/>
          </w:tcPr>
          <w:p w14:paraId="254A4345" w14:textId="252B9FB1"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Taksono</w:t>
            </w:r>
            <w:r w:rsidR="00A216F4">
              <w:rPr>
                <w:b/>
                <w:color w:val="000000"/>
                <w:sz w:val="16"/>
              </w:rPr>
              <w:softHyphen/>
            </w:r>
            <w:r>
              <w:rPr>
                <w:b/>
                <w:color w:val="000000"/>
                <w:sz w:val="16"/>
              </w:rPr>
              <w:t>miforenlig andel av driftsutgif</w:t>
            </w:r>
            <w:r w:rsidR="00A216F4">
              <w:rPr>
                <w:b/>
                <w:color w:val="000000"/>
                <w:sz w:val="16"/>
              </w:rPr>
              <w:softHyphen/>
            </w:r>
            <w:r>
              <w:rPr>
                <w:b/>
                <w:color w:val="000000"/>
                <w:sz w:val="16"/>
              </w:rPr>
              <w:t>tene, år N (18)</w:t>
            </w: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vAlign w:val="center"/>
            <w:hideMark/>
          </w:tcPr>
          <w:p w14:paraId="2D0376C0" w14:textId="4FDC4BF4"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Taksono</w:t>
            </w:r>
            <w:r w:rsidR="00A216F4">
              <w:rPr>
                <w:b/>
                <w:color w:val="000000"/>
                <w:sz w:val="16"/>
              </w:rPr>
              <w:softHyphen/>
            </w:r>
            <w:r>
              <w:rPr>
                <w:b/>
                <w:color w:val="000000"/>
                <w:sz w:val="16"/>
              </w:rPr>
              <w:t>miforenlig andel av driftsutgif</w:t>
            </w:r>
            <w:r w:rsidR="00A216F4">
              <w:rPr>
                <w:b/>
                <w:color w:val="000000"/>
                <w:sz w:val="16"/>
              </w:rPr>
              <w:softHyphen/>
            </w:r>
            <w:r>
              <w:rPr>
                <w:b/>
                <w:color w:val="000000"/>
                <w:sz w:val="16"/>
              </w:rPr>
              <w:t>tene, år N-1 (19)</w:t>
            </w: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78EF5E91" w14:textId="515AC2BB"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Kategori (mulig</w:t>
            </w:r>
            <w:r w:rsidR="00A216F4">
              <w:rPr>
                <w:b/>
                <w:color w:val="000000"/>
                <w:sz w:val="16"/>
              </w:rPr>
              <w:softHyphen/>
            </w:r>
            <w:r>
              <w:rPr>
                <w:b/>
                <w:color w:val="000000"/>
                <w:sz w:val="16"/>
              </w:rPr>
              <w:t>gjørende aktivitet) (20)</w:t>
            </w:r>
          </w:p>
        </w:tc>
        <w:tc>
          <w:tcPr>
            <w:tcW w:w="1059"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vAlign w:val="center"/>
            <w:hideMark/>
          </w:tcPr>
          <w:p w14:paraId="120BD112" w14:textId="21ED59C6"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Kategori (omstillings</w:t>
            </w:r>
            <w:r w:rsidR="00A216F4">
              <w:rPr>
                <w:b/>
                <w:color w:val="000000"/>
                <w:sz w:val="16"/>
              </w:rPr>
              <w:softHyphen/>
            </w:r>
            <w:r>
              <w:rPr>
                <w:b/>
                <w:color w:val="000000"/>
                <w:sz w:val="16"/>
              </w:rPr>
              <w:t>aktivitet)</w:t>
            </w:r>
          </w:p>
          <w:p w14:paraId="6A6064B2" w14:textId="77777777"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(21)</w:t>
            </w:r>
          </w:p>
        </w:tc>
      </w:tr>
      <w:tr w:rsidR="00A54846" w14:paraId="70DAE037" w14:textId="77777777">
        <w:trPr>
          <w:cantSplit/>
          <w:tblHeader/>
        </w:trPr>
        <w:tc>
          <w:tcPr>
            <w:tcW w:w="2012" w:type="dxa"/>
            <w:gridSpan w:val="2"/>
            <w:tcBorders>
              <w:top w:val="nil"/>
              <w:left w:val="single" w:sz="4" w:space="0" w:color="auto"/>
              <w:bottom w:val="nil"/>
              <w:right w:val="nil"/>
            </w:tcBorders>
            <w:shd w:val="clear" w:color="auto" w:fill="FFFFFF"/>
            <w:tcMar>
              <w:top w:w="60" w:type="dxa"/>
              <w:left w:w="60" w:type="dxa"/>
              <w:bottom w:w="60" w:type="dxa"/>
              <w:right w:w="60" w:type="dxa"/>
            </w:tcMar>
            <w:vAlign w:val="center"/>
          </w:tcPr>
          <w:p w14:paraId="25A54D36"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0" w:type="dxa"/>
            <w:tcBorders>
              <w:top w:val="nil"/>
              <w:left w:val="single" w:sz="4" w:space="0" w:color="auto"/>
              <w:bottom w:val="nil"/>
              <w:right w:val="nil"/>
            </w:tcBorders>
            <w:shd w:val="clear" w:color="auto" w:fill="FFFFFF"/>
            <w:tcMar>
              <w:top w:w="60" w:type="dxa"/>
              <w:left w:w="60" w:type="dxa"/>
              <w:bottom w:w="60" w:type="dxa"/>
              <w:right w:w="60" w:type="dxa"/>
            </w:tcMar>
            <w:textDirection w:val="tbRl"/>
            <w:vAlign w:val="center"/>
          </w:tcPr>
          <w:p w14:paraId="518FEA88"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788" w:type="dxa"/>
            <w:gridSpan w:val="2"/>
            <w:tcBorders>
              <w:top w:val="nil"/>
              <w:left w:val="single" w:sz="4" w:space="0" w:color="auto"/>
              <w:bottom w:val="nil"/>
              <w:right w:val="nil"/>
            </w:tcBorders>
            <w:tcMar>
              <w:top w:w="60" w:type="dxa"/>
              <w:left w:w="60" w:type="dxa"/>
              <w:bottom w:w="60" w:type="dxa"/>
              <w:right w:w="60" w:type="dxa"/>
            </w:tcMar>
            <w:vAlign w:val="center"/>
            <w:hideMark/>
          </w:tcPr>
          <w:p w14:paraId="19253C0D"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Valuta</w:t>
            </w:r>
          </w:p>
        </w:tc>
        <w:tc>
          <w:tcPr>
            <w:tcW w:w="533" w:type="dxa"/>
            <w:tcBorders>
              <w:top w:val="nil"/>
              <w:left w:val="single" w:sz="4" w:space="0" w:color="auto"/>
              <w:bottom w:val="nil"/>
              <w:right w:val="nil"/>
            </w:tcBorders>
            <w:tcMar>
              <w:top w:w="60" w:type="dxa"/>
              <w:left w:w="60" w:type="dxa"/>
              <w:bottom w:w="60" w:type="dxa"/>
              <w:right w:w="60" w:type="dxa"/>
            </w:tcMar>
            <w:vAlign w:val="center"/>
            <w:hideMark/>
          </w:tcPr>
          <w:p w14:paraId="447D6DA1" w14:textId="77777777" w:rsidR="00A54846" w:rsidRDefault="008A2731">
            <w:pPr>
              <w:widowControl w:val="0"/>
              <w:shd w:val="clear" w:color="auto" w:fill="auto"/>
              <w:spacing w:after="0" w:line="360" w:lineRule="auto"/>
              <w:jc w:val="center"/>
              <w:rPr>
                <w:rFonts w:eastAsia="Arial Unicode MS" w:cs="Times New Roman"/>
                <w:b/>
                <w:color w:val="939393"/>
                <w:sz w:val="16"/>
                <w:szCs w:val="16"/>
              </w:rPr>
            </w:pPr>
            <w:r>
              <w:rPr>
                <w:b/>
                <w:color w:val="939393"/>
                <w:sz w:val="16"/>
              </w:rPr>
              <w:t>%</w:t>
            </w:r>
          </w:p>
        </w:tc>
        <w:tc>
          <w:tcPr>
            <w:tcW w:w="527" w:type="dxa"/>
            <w:tcBorders>
              <w:top w:val="nil"/>
              <w:left w:val="single" w:sz="4" w:space="0" w:color="auto"/>
              <w:bottom w:val="nil"/>
              <w:right w:val="nil"/>
            </w:tcBorders>
            <w:tcMar>
              <w:top w:w="60" w:type="dxa"/>
              <w:left w:w="60" w:type="dxa"/>
              <w:bottom w:w="60" w:type="dxa"/>
              <w:right w:w="60" w:type="dxa"/>
            </w:tcMar>
            <w:vAlign w:val="center"/>
            <w:hideMark/>
          </w:tcPr>
          <w:p w14:paraId="1AE38817"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w:t>
            </w:r>
          </w:p>
        </w:tc>
        <w:tc>
          <w:tcPr>
            <w:tcW w:w="528" w:type="dxa"/>
            <w:tcBorders>
              <w:top w:val="nil"/>
              <w:left w:val="single" w:sz="4" w:space="0" w:color="auto"/>
              <w:bottom w:val="nil"/>
              <w:right w:val="nil"/>
            </w:tcBorders>
            <w:tcMar>
              <w:top w:w="60" w:type="dxa"/>
              <w:left w:w="60" w:type="dxa"/>
              <w:bottom w:w="60" w:type="dxa"/>
              <w:right w:w="60" w:type="dxa"/>
            </w:tcMar>
            <w:vAlign w:val="center"/>
            <w:hideMark/>
          </w:tcPr>
          <w:p w14:paraId="25E8A297"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w:t>
            </w:r>
          </w:p>
        </w:tc>
        <w:tc>
          <w:tcPr>
            <w:tcW w:w="513" w:type="dxa"/>
            <w:tcBorders>
              <w:top w:val="nil"/>
              <w:left w:val="single" w:sz="4" w:space="0" w:color="auto"/>
              <w:bottom w:val="nil"/>
              <w:right w:val="nil"/>
            </w:tcBorders>
            <w:tcMar>
              <w:top w:w="60" w:type="dxa"/>
              <w:left w:w="60" w:type="dxa"/>
              <w:bottom w:w="60" w:type="dxa"/>
              <w:right w:w="60" w:type="dxa"/>
            </w:tcMar>
            <w:vAlign w:val="center"/>
            <w:hideMark/>
          </w:tcPr>
          <w:p w14:paraId="68B2323A"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w:t>
            </w:r>
          </w:p>
        </w:tc>
        <w:tc>
          <w:tcPr>
            <w:tcW w:w="531" w:type="dxa"/>
            <w:tcBorders>
              <w:top w:val="nil"/>
              <w:left w:val="single" w:sz="4" w:space="0" w:color="auto"/>
              <w:bottom w:val="nil"/>
              <w:right w:val="nil"/>
            </w:tcBorders>
            <w:tcMar>
              <w:top w:w="60" w:type="dxa"/>
              <w:left w:w="60" w:type="dxa"/>
              <w:bottom w:w="60" w:type="dxa"/>
              <w:right w:w="60" w:type="dxa"/>
            </w:tcMar>
            <w:vAlign w:val="center"/>
            <w:hideMark/>
          </w:tcPr>
          <w:p w14:paraId="173DBDD4"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w:t>
            </w:r>
          </w:p>
        </w:tc>
        <w:tc>
          <w:tcPr>
            <w:tcW w:w="516" w:type="dxa"/>
            <w:tcBorders>
              <w:top w:val="nil"/>
              <w:left w:val="single" w:sz="4" w:space="0" w:color="auto"/>
              <w:bottom w:val="nil"/>
              <w:right w:val="nil"/>
            </w:tcBorders>
            <w:tcMar>
              <w:top w:w="60" w:type="dxa"/>
              <w:left w:w="60" w:type="dxa"/>
              <w:bottom w:w="60" w:type="dxa"/>
              <w:right w:w="60" w:type="dxa"/>
            </w:tcMar>
            <w:vAlign w:val="center"/>
            <w:hideMark/>
          </w:tcPr>
          <w:p w14:paraId="36A830ED"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w:t>
            </w:r>
          </w:p>
        </w:tc>
        <w:tc>
          <w:tcPr>
            <w:tcW w:w="566" w:type="dxa"/>
            <w:tcBorders>
              <w:top w:val="nil"/>
              <w:left w:val="single" w:sz="4" w:space="0" w:color="auto"/>
              <w:bottom w:val="nil"/>
              <w:right w:val="nil"/>
            </w:tcBorders>
            <w:tcMar>
              <w:top w:w="60" w:type="dxa"/>
              <w:left w:w="60" w:type="dxa"/>
              <w:bottom w:w="60" w:type="dxa"/>
              <w:right w:w="60" w:type="dxa"/>
            </w:tcMar>
            <w:vAlign w:val="center"/>
            <w:hideMark/>
          </w:tcPr>
          <w:p w14:paraId="6D69D5CD"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103C1449"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6BE2DCE7"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79418672"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61CFBF6B"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79EF5D62"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Ja/Nei</w:t>
            </w:r>
          </w:p>
        </w:tc>
        <w:tc>
          <w:tcPr>
            <w:tcW w:w="524" w:type="dxa"/>
            <w:tcBorders>
              <w:top w:val="nil"/>
              <w:left w:val="single" w:sz="4" w:space="0" w:color="auto"/>
              <w:bottom w:val="nil"/>
              <w:right w:val="nil"/>
            </w:tcBorders>
            <w:tcMar>
              <w:top w:w="60" w:type="dxa"/>
              <w:left w:w="60" w:type="dxa"/>
              <w:bottom w:w="60" w:type="dxa"/>
              <w:right w:w="60" w:type="dxa"/>
            </w:tcMar>
            <w:vAlign w:val="center"/>
            <w:hideMark/>
          </w:tcPr>
          <w:p w14:paraId="6EDE7FEB"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Ja/Nei</w:t>
            </w:r>
          </w:p>
        </w:tc>
        <w:tc>
          <w:tcPr>
            <w:tcW w:w="528" w:type="dxa"/>
            <w:tcBorders>
              <w:top w:val="nil"/>
              <w:left w:val="single" w:sz="4" w:space="0" w:color="auto"/>
              <w:bottom w:val="nil"/>
              <w:right w:val="single" w:sz="12" w:space="0" w:color="auto"/>
            </w:tcBorders>
            <w:tcMar>
              <w:top w:w="60" w:type="dxa"/>
              <w:left w:w="60" w:type="dxa"/>
              <w:bottom w:w="60" w:type="dxa"/>
              <w:right w:w="60" w:type="dxa"/>
            </w:tcMar>
            <w:vAlign w:val="center"/>
            <w:hideMark/>
          </w:tcPr>
          <w:p w14:paraId="68DE5C5F"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Ja/Nei</w:t>
            </w:r>
          </w:p>
        </w:tc>
        <w:tc>
          <w:tcPr>
            <w:tcW w:w="876" w:type="dxa"/>
            <w:tcBorders>
              <w:top w:val="nil"/>
              <w:left w:val="single" w:sz="12" w:space="0" w:color="auto"/>
              <w:bottom w:val="single" w:sz="4" w:space="0" w:color="auto"/>
              <w:right w:val="single" w:sz="12" w:space="0" w:color="auto"/>
            </w:tcBorders>
            <w:tcMar>
              <w:top w:w="60" w:type="dxa"/>
              <w:left w:w="60" w:type="dxa"/>
              <w:bottom w:w="60" w:type="dxa"/>
              <w:right w:w="60" w:type="dxa"/>
            </w:tcMar>
            <w:vAlign w:val="center"/>
            <w:hideMark/>
          </w:tcPr>
          <w:p w14:paraId="358A880C"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Prosent</w:t>
            </w:r>
          </w:p>
        </w:tc>
        <w:tc>
          <w:tcPr>
            <w:tcW w:w="905" w:type="dxa"/>
            <w:tcBorders>
              <w:top w:val="nil"/>
              <w:left w:val="single" w:sz="12" w:space="0" w:color="auto"/>
              <w:bottom w:val="nil"/>
              <w:right w:val="nil"/>
            </w:tcBorders>
            <w:tcMar>
              <w:top w:w="60" w:type="dxa"/>
              <w:left w:w="60" w:type="dxa"/>
              <w:bottom w:w="60" w:type="dxa"/>
              <w:right w:w="60" w:type="dxa"/>
            </w:tcMar>
            <w:vAlign w:val="center"/>
            <w:hideMark/>
          </w:tcPr>
          <w:p w14:paraId="1E91FE8A"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Prosent</w:t>
            </w:r>
          </w:p>
        </w:tc>
        <w:tc>
          <w:tcPr>
            <w:tcW w:w="761" w:type="dxa"/>
            <w:tcBorders>
              <w:top w:val="nil"/>
              <w:left w:val="single" w:sz="4" w:space="0" w:color="auto"/>
              <w:bottom w:val="nil"/>
              <w:right w:val="nil"/>
            </w:tcBorders>
            <w:tcMar>
              <w:top w:w="60" w:type="dxa"/>
              <w:left w:w="60" w:type="dxa"/>
              <w:bottom w:w="60" w:type="dxa"/>
              <w:right w:w="60" w:type="dxa"/>
            </w:tcMar>
            <w:vAlign w:val="center"/>
            <w:hideMark/>
          </w:tcPr>
          <w:p w14:paraId="61DEC73A" w14:textId="2999D29A"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Mulig</w:t>
            </w:r>
            <w:r w:rsidR="00A216F4">
              <w:rPr>
                <w:b/>
                <w:color w:val="939393"/>
                <w:sz w:val="16"/>
              </w:rPr>
              <w:softHyphen/>
            </w:r>
            <w:r>
              <w:rPr>
                <w:b/>
                <w:color w:val="939393"/>
                <w:sz w:val="16"/>
              </w:rPr>
              <w:t>gjørende</w:t>
            </w:r>
          </w:p>
        </w:tc>
        <w:tc>
          <w:tcPr>
            <w:tcW w:w="1059" w:type="dxa"/>
            <w:tcBorders>
              <w:top w:val="nil"/>
              <w:left w:val="single" w:sz="4" w:space="0" w:color="auto"/>
              <w:bottom w:val="nil"/>
              <w:right w:val="single" w:sz="4" w:space="0" w:color="auto"/>
            </w:tcBorders>
            <w:tcMar>
              <w:top w:w="60" w:type="dxa"/>
              <w:left w:w="60" w:type="dxa"/>
              <w:bottom w:w="60" w:type="dxa"/>
              <w:right w:w="60" w:type="dxa"/>
            </w:tcMar>
            <w:vAlign w:val="center"/>
            <w:hideMark/>
          </w:tcPr>
          <w:p w14:paraId="3A8DE6C5"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Omstilling</w:t>
            </w:r>
          </w:p>
        </w:tc>
      </w:tr>
      <w:tr w:rsidR="00A54846" w14:paraId="03C702B1" w14:textId="77777777">
        <w:trPr>
          <w:trHeight w:val="370"/>
        </w:trPr>
        <w:tc>
          <w:tcPr>
            <w:tcW w:w="2005"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17D89738" w14:textId="77777777" w:rsidR="00A54846" w:rsidRDefault="008A2731">
            <w:pPr>
              <w:widowControl w:val="0"/>
              <w:shd w:val="clear" w:color="auto" w:fill="auto"/>
              <w:spacing w:after="0" w:line="240" w:lineRule="auto"/>
              <w:jc w:val="left"/>
              <w:rPr>
                <w:rFonts w:eastAsia="Arial Unicode MS" w:cs="Times New Roman"/>
                <w:b/>
                <w:color w:val="000000"/>
                <w:sz w:val="16"/>
                <w:szCs w:val="16"/>
              </w:rPr>
            </w:pPr>
            <w:r>
              <w:rPr>
                <w:b/>
                <w:color w:val="000000"/>
                <w:sz w:val="16"/>
              </w:rPr>
              <w:t>A. AKTIVITETER SOM ER OMFATTET AV TAKSONOMIEN</w:t>
            </w:r>
          </w:p>
        </w:tc>
        <w:tc>
          <w:tcPr>
            <w:tcW w:w="1309" w:type="dxa"/>
            <w:gridSpan w:val="3"/>
            <w:tcBorders>
              <w:top w:val="single" w:sz="4" w:space="0" w:color="auto"/>
              <w:left w:val="nil"/>
              <w:bottom w:val="nil"/>
              <w:right w:val="nil"/>
            </w:tcBorders>
            <w:shd w:val="clear" w:color="auto" w:fill="FFFFFF"/>
            <w:vAlign w:val="center"/>
          </w:tcPr>
          <w:p w14:paraId="6B2DEEEC" w14:textId="77777777" w:rsidR="00A54846" w:rsidRPr="006A792F" w:rsidRDefault="00A54846">
            <w:pPr>
              <w:widowControl w:val="0"/>
              <w:shd w:val="clear" w:color="auto" w:fill="auto"/>
              <w:spacing w:after="0" w:line="240" w:lineRule="auto"/>
              <w:jc w:val="left"/>
              <w:rPr>
                <w:rFonts w:eastAsia="Arial Unicode MS" w:cs="Times New Roman"/>
                <w:b/>
                <w:color w:val="000000"/>
                <w:sz w:val="16"/>
                <w:szCs w:val="16"/>
                <w:lang w:bidi="en-US"/>
              </w:rPr>
            </w:pPr>
          </w:p>
        </w:tc>
        <w:tc>
          <w:tcPr>
            <w:tcW w:w="539" w:type="dxa"/>
            <w:gridSpan w:val="2"/>
            <w:tcBorders>
              <w:top w:val="single" w:sz="4" w:space="0" w:color="auto"/>
              <w:left w:val="nil"/>
              <w:bottom w:val="nil"/>
              <w:right w:val="nil"/>
            </w:tcBorders>
            <w:shd w:val="clear" w:color="auto" w:fill="FFFFFF"/>
            <w:tcMar>
              <w:top w:w="60" w:type="dxa"/>
              <w:left w:w="60" w:type="dxa"/>
              <w:bottom w:w="60" w:type="dxa"/>
              <w:right w:w="60" w:type="dxa"/>
            </w:tcMar>
            <w:vAlign w:val="center"/>
            <w:hideMark/>
          </w:tcPr>
          <w:p w14:paraId="5C33BAAF"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6863" w:type="dxa"/>
            <w:gridSpan w:val="13"/>
            <w:tcBorders>
              <w:top w:val="single" w:sz="4" w:space="0" w:color="auto"/>
              <w:left w:val="nil"/>
              <w:bottom w:val="nil"/>
              <w:right w:val="single" w:sz="12" w:space="0" w:color="auto"/>
            </w:tcBorders>
            <w:shd w:val="clear" w:color="auto" w:fill="FFFFFF"/>
            <w:tcMar>
              <w:top w:w="60" w:type="dxa"/>
              <w:left w:w="60" w:type="dxa"/>
              <w:bottom w:w="60" w:type="dxa"/>
              <w:right w:w="60" w:type="dxa"/>
            </w:tcMar>
          </w:tcPr>
          <w:p w14:paraId="478DBB98" w14:textId="77777777" w:rsidR="00A54846" w:rsidRPr="006A792F" w:rsidRDefault="00A54846">
            <w:pPr>
              <w:widowControl w:val="0"/>
              <w:shd w:val="clear" w:color="auto" w:fill="auto"/>
              <w:spacing w:after="0" w:line="240" w:lineRule="auto"/>
              <w:jc w:val="left"/>
              <w:rPr>
                <w:rFonts w:eastAsia="Arial Unicode MS" w:cs="Times New Roman"/>
                <w:color w:val="000000"/>
                <w:sz w:val="16"/>
                <w:szCs w:val="16"/>
                <w:lang w:bidi="en-US"/>
              </w:rPr>
            </w:pPr>
          </w:p>
        </w:tc>
        <w:tc>
          <w:tcPr>
            <w:tcW w:w="876" w:type="dxa"/>
            <w:tcBorders>
              <w:top w:val="single" w:sz="4" w:space="0" w:color="auto"/>
              <w:left w:val="single" w:sz="12" w:space="0" w:color="auto"/>
              <w:bottom w:val="nil"/>
              <w:right w:val="single" w:sz="12" w:space="0" w:color="auto"/>
            </w:tcBorders>
            <w:shd w:val="clear" w:color="auto" w:fill="FFFFFF"/>
          </w:tcPr>
          <w:p w14:paraId="23627EE7" w14:textId="77777777" w:rsidR="00A54846" w:rsidRPr="006A792F" w:rsidRDefault="00A54846">
            <w:pPr>
              <w:widowControl w:val="0"/>
              <w:shd w:val="clear" w:color="auto" w:fill="auto"/>
              <w:spacing w:after="0" w:line="240" w:lineRule="auto"/>
              <w:jc w:val="left"/>
              <w:rPr>
                <w:rFonts w:eastAsia="Arial Unicode MS" w:cs="Times New Roman"/>
                <w:color w:val="000000"/>
                <w:sz w:val="16"/>
                <w:szCs w:val="16"/>
                <w:lang w:bidi="en-US"/>
              </w:rPr>
            </w:pPr>
          </w:p>
        </w:tc>
        <w:tc>
          <w:tcPr>
            <w:tcW w:w="2725" w:type="dxa"/>
            <w:gridSpan w:val="3"/>
            <w:tcBorders>
              <w:top w:val="single" w:sz="4" w:space="0" w:color="auto"/>
              <w:left w:val="single" w:sz="12" w:space="0" w:color="auto"/>
              <w:bottom w:val="nil"/>
              <w:right w:val="nil"/>
            </w:tcBorders>
            <w:shd w:val="clear" w:color="auto" w:fill="FFFFFF"/>
          </w:tcPr>
          <w:p w14:paraId="14AB1EBD" w14:textId="77777777" w:rsidR="00A54846" w:rsidRPr="006A792F" w:rsidRDefault="00A54846">
            <w:pPr>
              <w:widowControl w:val="0"/>
              <w:shd w:val="clear" w:color="auto" w:fill="auto"/>
              <w:spacing w:after="0" w:line="240" w:lineRule="auto"/>
              <w:jc w:val="left"/>
              <w:rPr>
                <w:rFonts w:eastAsia="Arial Unicode MS" w:cs="Times New Roman"/>
                <w:color w:val="000000"/>
                <w:sz w:val="16"/>
                <w:szCs w:val="16"/>
                <w:lang w:bidi="en-US"/>
              </w:rPr>
            </w:pPr>
          </w:p>
        </w:tc>
      </w:tr>
      <w:tr w:rsidR="00A54846" w14:paraId="159C9A2A" w14:textId="77777777">
        <w:trPr>
          <w:trHeight w:val="550"/>
        </w:trPr>
        <w:tc>
          <w:tcPr>
            <w:tcW w:w="2012"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04BF0577" w14:textId="77777777" w:rsidR="00A54846" w:rsidRDefault="008A2731">
            <w:pPr>
              <w:widowControl w:val="0"/>
              <w:shd w:val="clear" w:color="auto" w:fill="auto"/>
              <w:spacing w:after="0" w:line="240" w:lineRule="auto"/>
              <w:jc w:val="left"/>
              <w:rPr>
                <w:rFonts w:eastAsia="Arial Unicode MS" w:cs="Times New Roman"/>
                <w:b/>
                <w:color w:val="000000"/>
                <w:sz w:val="16"/>
                <w:szCs w:val="16"/>
              </w:rPr>
            </w:pPr>
            <w:r>
              <w:rPr>
                <w:b/>
                <w:color w:val="000000"/>
                <w:sz w:val="16"/>
              </w:rPr>
              <w:t>A.1. Miljømessig bærekraftige (taksonomiforenlige) aktiviteter</w:t>
            </w:r>
          </w:p>
        </w:tc>
        <w:tc>
          <w:tcPr>
            <w:tcW w:w="520"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2F414C72"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788"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71E7D50"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3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67BA6656"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7"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4F4F03E"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3B17627"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1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A0EAB47"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3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1FCDBF67"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1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33348898"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6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0168EF36"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31ADA2BD"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6D49085F"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25D31671"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2E10BAE7"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52DEFF31"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4FF0DB62"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8" w:type="dxa"/>
            <w:tcBorders>
              <w:top w:val="single" w:sz="4" w:space="0" w:color="auto"/>
              <w:left w:val="single" w:sz="4" w:space="0" w:color="auto"/>
              <w:bottom w:val="nil"/>
              <w:right w:val="single" w:sz="12" w:space="0" w:color="auto"/>
            </w:tcBorders>
            <w:shd w:val="clear" w:color="auto" w:fill="FFFFFF"/>
            <w:tcMar>
              <w:top w:w="60" w:type="dxa"/>
              <w:left w:w="60" w:type="dxa"/>
              <w:bottom w:w="60" w:type="dxa"/>
              <w:right w:w="60" w:type="dxa"/>
            </w:tcMar>
          </w:tcPr>
          <w:p w14:paraId="661D1D9C"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876" w:type="dxa"/>
            <w:tcBorders>
              <w:top w:val="single" w:sz="4" w:space="0" w:color="auto"/>
              <w:left w:val="single" w:sz="12" w:space="0" w:color="auto"/>
              <w:bottom w:val="nil"/>
              <w:right w:val="single" w:sz="12" w:space="0" w:color="auto"/>
            </w:tcBorders>
            <w:shd w:val="clear" w:color="auto" w:fill="FFFFFF"/>
            <w:tcMar>
              <w:top w:w="60" w:type="dxa"/>
              <w:left w:w="60" w:type="dxa"/>
              <w:bottom w:w="60" w:type="dxa"/>
              <w:right w:w="60" w:type="dxa"/>
            </w:tcMar>
          </w:tcPr>
          <w:p w14:paraId="0605CFCE"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tcPr>
          <w:p w14:paraId="2801B50E"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648B9BCC"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1059"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tcPr>
          <w:p w14:paraId="5AE4C669"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r>
      <w:tr w:rsidR="00A54846" w14:paraId="118CE1D5" w14:textId="77777777">
        <w:trPr>
          <w:trHeight w:val="180"/>
        </w:trPr>
        <w:tc>
          <w:tcPr>
            <w:tcW w:w="2012"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33D305F0" w14:textId="77777777" w:rsidR="00A54846" w:rsidRDefault="008A2731">
            <w:pPr>
              <w:widowControl w:val="0"/>
              <w:shd w:val="clear" w:color="auto" w:fill="auto"/>
              <w:spacing w:after="0" w:line="240" w:lineRule="auto"/>
              <w:jc w:val="left"/>
              <w:rPr>
                <w:rFonts w:eastAsia="Arial Unicode MS" w:cs="Times New Roman"/>
                <w:color w:val="000000"/>
                <w:sz w:val="16"/>
                <w:szCs w:val="16"/>
              </w:rPr>
            </w:pPr>
            <w:r>
              <w:rPr>
                <w:color w:val="000000"/>
                <w:sz w:val="16"/>
              </w:rPr>
              <w:t>Aktivitet 1</w:t>
            </w:r>
            <w:r>
              <w:rPr>
                <w:color w:val="000000"/>
                <w:sz w:val="16"/>
                <w:vertAlign w:val="superscript"/>
              </w:rPr>
              <w:t>(1)</w:t>
            </w:r>
          </w:p>
        </w:tc>
        <w:tc>
          <w:tcPr>
            <w:tcW w:w="520"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4197A95F"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788" w:type="dxa"/>
            <w:gridSpan w:val="2"/>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2496B8A"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3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hideMark/>
          </w:tcPr>
          <w:p w14:paraId="05AF78A9"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27"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37B491AF"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2545B972"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1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7EE82034"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3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2A286A45"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1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6B81AAD0"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6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6882CDEB"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hideMark/>
          </w:tcPr>
          <w:p w14:paraId="7D22A0FC"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Ja</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3486E3FA"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Ja</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35E4AE2F"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Ja</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20FB1C0A"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Ja</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5C6F72BD"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Ja</w:t>
            </w:r>
          </w:p>
        </w:tc>
        <w:tc>
          <w:tcPr>
            <w:tcW w:w="52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3A91A4F6"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Ja</w:t>
            </w:r>
          </w:p>
        </w:tc>
        <w:tc>
          <w:tcPr>
            <w:tcW w:w="528" w:type="dxa"/>
            <w:tcBorders>
              <w:top w:val="single" w:sz="4" w:space="0" w:color="auto"/>
              <w:left w:val="single" w:sz="4" w:space="0" w:color="auto"/>
              <w:bottom w:val="nil"/>
              <w:right w:val="single" w:sz="12" w:space="0" w:color="auto"/>
            </w:tcBorders>
            <w:shd w:val="clear" w:color="auto" w:fill="FFFFFF"/>
            <w:tcMar>
              <w:top w:w="60" w:type="dxa"/>
              <w:left w:w="60" w:type="dxa"/>
              <w:bottom w:w="60" w:type="dxa"/>
              <w:right w:w="60" w:type="dxa"/>
            </w:tcMar>
            <w:vAlign w:val="bottom"/>
            <w:hideMark/>
          </w:tcPr>
          <w:p w14:paraId="00724537" w14:textId="77777777"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Ja</w:t>
            </w:r>
          </w:p>
        </w:tc>
        <w:tc>
          <w:tcPr>
            <w:tcW w:w="876" w:type="dxa"/>
            <w:tcBorders>
              <w:top w:val="single" w:sz="4" w:space="0" w:color="auto"/>
              <w:left w:val="single" w:sz="12" w:space="0" w:color="auto"/>
              <w:bottom w:val="nil"/>
              <w:right w:val="single" w:sz="12" w:space="0" w:color="auto"/>
            </w:tcBorders>
            <w:shd w:val="clear" w:color="auto" w:fill="FFFFFF"/>
            <w:tcMar>
              <w:top w:w="60" w:type="dxa"/>
              <w:left w:w="60" w:type="dxa"/>
              <w:bottom w:w="60" w:type="dxa"/>
              <w:right w:w="60" w:type="dxa"/>
            </w:tcMar>
            <w:vAlign w:val="bottom"/>
            <w:hideMark/>
          </w:tcPr>
          <w:p w14:paraId="3AD60C46" w14:textId="77777777"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w:t>
            </w: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tcPr>
          <w:p w14:paraId="40A1A33C"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140016E2" w14:textId="0D31375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Mulig</w:t>
            </w:r>
            <w:r w:rsidR="00A216F4">
              <w:rPr>
                <w:color w:val="000000"/>
                <w:sz w:val="16"/>
              </w:rPr>
              <w:softHyphen/>
            </w:r>
            <w:r>
              <w:rPr>
                <w:color w:val="000000"/>
                <w:sz w:val="16"/>
              </w:rPr>
              <w:t>gjørende</w:t>
            </w:r>
          </w:p>
        </w:tc>
        <w:tc>
          <w:tcPr>
            <w:tcW w:w="1059"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tcPr>
          <w:p w14:paraId="627A86A9"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r>
      <w:tr w:rsidR="00A54846" w14:paraId="266A37BE" w14:textId="77777777">
        <w:trPr>
          <w:trHeight w:val="190"/>
        </w:trPr>
        <w:tc>
          <w:tcPr>
            <w:tcW w:w="2012" w:type="dxa"/>
            <w:gridSpan w:val="2"/>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64C05316" w14:textId="77777777" w:rsidR="00A54846" w:rsidRDefault="008A2731">
            <w:pPr>
              <w:widowControl w:val="0"/>
              <w:shd w:val="clear" w:color="auto" w:fill="auto"/>
              <w:spacing w:after="0" w:line="240" w:lineRule="auto"/>
              <w:jc w:val="left"/>
              <w:rPr>
                <w:rFonts w:eastAsia="Arial Unicode MS" w:cs="Times New Roman"/>
                <w:color w:val="000000"/>
                <w:sz w:val="16"/>
                <w:szCs w:val="16"/>
              </w:rPr>
            </w:pPr>
            <w:r>
              <w:rPr>
                <w:color w:val="000000"/>
                <w:sz w:val="16"/>
              </w:rPr>
              <w:t>Aktivitet 2</w:t>
            </w:r>
          </w:p>
        </w:tc>
        <w:tc>
          <w:tcPr>
            <w:tcW w:w="520"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4140615D"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788" w:type="dxa"/>
            <w:gridSpan w:val="2"/>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5DE3F59D"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33"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0D527728"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27"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2FB1FB52"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28"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5A033EB2"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13"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49891E8F"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31"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2C66435E"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1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6A334ACE"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6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4CC9C2FC"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734A2AF0"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Ja</w:t>
            </w: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7F5E40E1"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Ja</w:t>
            </w: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5DEBF624"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Ja</w:t>
            </w: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404EAD67"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Ja</w:t>
            </w:r>
          </w:p>
        </w:tc>
        <w:tc>
          <w:tcPr>
            <w:tcW w:w="526"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255F1898"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Ja</w:t>
            </w:r>
          </w:p>
        </w:tc>
        <w:tc>
          <w:tcPr>
            <w:tcW w:w="524"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4C3F4055"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Ja</w:t>
            </w:r>
          </w:p>
        </w:tc>
        <w:tc>
          <w:tcPr>
            <w:tcW w:w="528" w:type="dxa"/>
            <w:tcBorders>
              <w:top w:val="single" w:sz="4" w:space="0" w:color="auto"/>
              <w:left w:val="single" w:sz="4" w:space="0" w:color="auto"/>
              <w:bottom w:val="single" w:sz="4" w:space="0" w:color="auto"/>
              <w:right w:val="single" w:sz="12" w:space="0" w:color="auto"/>
            </w:tcBorders>
            <w:shd w:val="clear" w:color="auto" w:fill="FFFFFF"/>
            <w:tcMar>
              <w:top w:w="60" w:type="dxa"/>
              <w:left w:w="60" w:type="dxa"/>
              <w:bottom w:w="60" w:type="dxa"/>
              <w:right w:w="60" w:type="dxa"/>
            </w:tcMar>
            <w:vAlign w:val="bottom"/>
            <w:hideMark/>
          </w:tcPr>
          <w:p w14:paraId="3193D0CD"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Ja</w:t>
            </w:r>
          </w:p>
        </w:tc>
        <w:tc>
          <w:tcPr>
            <w:tcW w:w="876" w:type="dxa"/>
            <w:tcBorders>
              <w:top w:val="single" w:sz="4" w:space="0" w:color="auto"/>
              <w:left w:val="single" w:sz="12" w:space="0" w:color="auto"/>
              <w:bottom w:val="single" w:sz="4" w:space="0" w:color="auto"/>
              <w:right w:val="single" w:sz="12" w:space="0" w:color="auto"/>
            </w:tcBorders>
            <w:shd w:val="clear" w:color="auto" w:fill="FFFFFF"/>
            <w:tcMar>
              <w:top w:w="60" w:type="dxa"/>
              <w:left w:w="60" w:type="dxa"/>
              <w:bottom w:w="60" w:type="dxa"/>
              <w:right w:w="60" w:type="dxa"/>
            </w:tcMar>
            <w:vAlign w:val="bottom"/>
            <w:hideMark/>
          </w:tcPr>
          <w:p w14:paraId="0EBE0CBC" w14:textId="77777777"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w:t>
            </w:r>
          </w:p>
        </w:tc>
        <w:tc>
          <w:tcPr>
            <w:tcW w:w="905" w:type="dxa"/>
            <w:tcBorders>
              <w:top w:val="single" w:sz="4" w:space="0" w:color="auto"/>
              <w:left w:val="single" w:sz="12" w:space="0" w:color="auto"/>
              <w:bottom w:val="single" w:sz="4" w:space="0" w:color="auto"/>
              <w:right w:val="nil"/>
            </w:tcBorders>
            <w:shd w:val="clear" w:color="auto" w:fill="FFFFFF"/>
            <w:tcMar>
              <w:top w:w="60" w:type="dxa"/>
              <w:left w:w="60" w:type="dxa"/>
              <w:bottom w:w="60" w:type="dxa"/>
              <w:right w:w="60" w:type="dxa"/>
            </w:tcMar>
          </w:tcPr>
          <w:p w14:paraId="2BFB4DFB"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761"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62EB6D2C"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1059" w:type="dxa"/>
            <w:tcBorders>
              <w:top w:val="single" w:sz="4" w:space="0" w:color="auto"/>
              <w:left w:val="single" w:sz="4" w:space="0" w:color="auto"/>
              <w:bottom w:val="single" w:sz="4" w:space="0" w:color="auto"/>
              <w:right w:val="single" w:sz="4" w:space="0" w:color="auto"/>
            </w:tcBorders>
            <w:shd w:val="clear" w:color="auto" w:fill="FFFFFF"/>
            <w:tcMar>
              <w:top w:w="60" w:type="dxa"/>
              <w:left w:w="60" w:type="dxa"/>
              <w:bottom w:w="60" w:type="dxa"/>
              <w:right w:w="60" w:type="dxa"/>
            </w:tcMar>
          </w:tcPr>
          <w:p w14:paraId="7CC82CC3"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r>
    </w:tbl>
    <w:p w14:paraId="53E93416" w14:textId="77777777" w:rsidR="00A54846" w:rsidRDefault="00A54846">
      <w:pPr>
        <w:pStyle w:val="Para"/>
        <w:spacing w:line="240" w:lineRule="auto"/>
        <w:jc w:val="left"/>
        <w:rPr>
          <w:noProof/>
          <w:lang w:val="en-US"/>
        </w:rPr>
      </w:pPr>
    </w:p>
    <w:p w14:paraId="34801572" w14:textId="77777777" w:rsidR="00A54846" w:rsidRDefault="008A2731">
      <w:pPr>
        <w:pStyle w:val="Para"/>
        <w:spacing w:line="240" w:lineRule="auto"/>
        <w:jc w:val="left"/>
      </w:pPr>
      <w:r>
        <w:br w:type="page"/>
      </w:r>
    </w:p>
    <w:tbl>
      <w:tblPr>
        <w:tblOverlap w:val="never"/>
        <w:tblW w:w="0" w:type="auto"/>
        <w:tblInd w:w="72" w:type="dxa"/>
        <w:tblLayout w:type="fixed"/>
        <w:tblCellMar>
          <w:left w:w="10" w:type="dxa"/>
          <w:right w:w="10" w:type="dxa"/>
        </w:tblCellMar>
        <w:tblLook w:val="04A0" w:firstRow="1" w:lastRow="0" w:firstColumn="1" w:lastColumn="0" w:noHBand="0" w:noVBand="1"/>
      </w:tblPr>
      <w:tblGrid>
        <w:gridCol w:w="2012"/>
        <w:gridCol w:w="520"/>
        <w:gridCol w:w="788"/>
        <w:gridCol w:w="533"/>
        <w:gridCol w:w="527"/>
        <w:gridCol w:w="528"/>
        <w:gridCol w:w="513"/>
        <w:gridCol w:w="531"/>
        <w:gridCol w:w="516"/>
        <w:gridCol w:w="566"/>
        <w:gridCol w:w="526"/>
        <w:gridCol w:w="526"/>
        <w:gridCol w:w="526"/>
        <w:gridCol w:w="526"/>
        <w:gridCol w:w="526"/>
        <w:gridCol w:w="524"/>
        <w:gridCol w:w="528"/>
        <w:gridCol w:w="876"/>
        <w:gridCol w:w="905"/>
        <w:gridCol w:w="761"/>
        <w:gridCol w:w="1059"/>
      </w:tblGrid>
      <w:tr w:rsidR="00A54846" w14:paraId="319025BB" w14:textId="77777777">
        <w:trPr>
          <w:trHeight w:val="370"/>
          <w:tblHeader/>
        </w:trPr>
        <w:tc>
          <w:tcPr>
            <w:tcW w:w="3853" w:type="dxa"/>
            <w:gridSpan w:val="4"/>
            <w:shd w:val="clear" w:color="auto" w:fill="FFFFFF"/>
            <w:tcMar>
              <w:top w:w="60" w:type="dxa"/>
              <w:left w:w="60" w:type="dxa"/>
              <w:bottom w:w="60" w:type="dxa"/>
              <w:right w:w="60" w:type="dxa"/>
            </w:tcMar>
          </w:tcPr>
          <w:p w14:paraId="30C38E02"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3181" w:type="dxa"/>
            <w:gridSpan w:val="6"/>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592BA32A"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Kriterier for vesentlig bidrag</w:t>
            </w:r>
          </w:p>
        </w:tc>
        <w:tc>
          <w:tcPr>
            <w:tcW w:w="3154" w:type="dxa"/>
            <w:gridSpan w:val="6"/>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7A1F6430" w14:textId="77777777" w:rsidR="00A54846" w:rsidRDefault="008A2731">
            <w:pPr>
              <w:widowControl w:val="0"/>
              <w:shd w:val="clear" w:color="auto" w:fill="auto"/>
              <w:spacing w:after="120" w:line="240" w:lineRule="auto"/>
              <w:jc w:val="center"/>
              <w:rPr>
                <w:rFonts w:eastAsia="Arial Unicode MS" w:cs="Times New Roman"/>
                <w:color w:val="000000"/>
                <w:sz w:val="16"/>
                <w:szCs w:val="16"/>
              </w:rPr>
            </w:pPr>
            <w:r>
              <w:rPr>
                <w:color w:val="000000"/>
                <w:sz w:val="16"/>
              </w:rPr>
              <w:t>Kriterier mht. at aktiviteten ikke er til betydelig skade</w:t>
            </w:r>
          </w:p>
          <w:p w14:paraId="21536ECA"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(DNSH)</w:t>
            </w:r>
          </w:p>
        </w:tc>
        <w:tc>
          <w:tcPr>
            <w:tcW w:w="4129" w:type="dxa"/>
            <w:gridSpan w:val="5"/>
            <w:tcBorders>
              <w:top w:val="nil"/>
              <w:left w:val="single" w:sz="4" w:space="0" w:color="auto"/>
              <w:bottom w:val="nil"/>
              <w:right w:val="nil"/>
            </w:tcBorders>
            <w:shd w:val="clear" w:color="auto" w:fill="FFFFFF"/>
            <w:tcMar>
              <w:top w:w="60" w:type="dxa"/>
              <w:left w:w="60" w:type="dxa"/>
              <w:bottom w:w="60" w:type="dxa"/>
              <w:right w:w="60" w:type="dxa"/>
            </w:tcMar>
          </w:tcPr>
          <w:p w14:paraId="18CDFDD9"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r>
      <w:tr w:rsidR="00A54846" w14:paraId="10025883" w14:textId="77777777">
        <w:trPr>
          <w:trHeight w:val="2854"/>
          <w:tblHeader/>
        </w:trPr>
        <w:tc>
          <w:tcPr>
            <w:tcW w:w="2012"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02043DBF" w14:textId="77777777"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Økonomiske aktiviteter (1)</w:t>
            </w:r>
          </w:p>
        </w:tc>
        <w:tc>
          <w:tcPr>
            <w:tcW w:w="520"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77C16E72"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Kode(r) (2)</w:t>
            </w:r>
          </w:p>
        </w:tc>
        <w:tc>
          <w:tcPr>
            <w:tcW w:w="78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52B7161C" w14:textId="77777777" w:rsidR="00A54846" w:rsidRDefault="008A2731">
            <w:pPr>
              <w:widowControl w:val="0"/>
              <w:shd w:val="clear" w:color="auto" w:fill="auto"/>
              <w:spacing w:line="240" w:lineRule="auto"/>
              <w:jc w:val="center"/>
              <w:rPr>
                <w:rFonts w:eastAsia="Arial Unicode MS" w:cs="Times New Roman"/>
                <w:b/>
                <w:color w:val="000000"/>
                <w:sz w:val="16"/>
                <w:szCs w:val="16"/>
              </w:rPr>
            </w:pPr>
            <w:r>
              <w:rPr>
                <w:b/>
                <w:color w:val="000000"/>
                <w:sz w:val="16"/>
              </w:rPr>
              <w:t>Absolutte driftsutgifter (3)</w:t>
            </w:r>
          </w:p>
        </w:tc>
        <w:tc>
          <w:tcPr>
            <w:tcW w:w="53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54D802F7"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Andel av driftsutgiftene (4)</w:t>
            </w:r>
          </w:p>
        </w:tc>
        <w:tc>
          <w:tcPr>
            <w:tcW w:w="527"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7DF6B2EA"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Begrensning av klimaendringer (5)</w:t>
            </w: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7C3ABE81"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Tilpasning til klimaendringer (6)</w:t>
            </w:r>
          </w:p>
        </w:tc>
        <w:tc>
          <w:tcPr>
            <w:tcW w:w="51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74AB52AC"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Vann- og havressurser (7)</w:t>
            </w:r>
          </w:p>
        </w:tc>
        <w:tc>
          <w:tcPr>
            <w:tcW w:w="53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6B8F7B68"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Sirkulær økonomi (8)</w:t>
            </w:r>
          </w:p>
        </w:tc>
        <w:tc>
          <w:tcPr>
            <w:tcW w:w="51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7A7E2669"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Forurensning (9)</w:t>
            </w:r>
          </w:p>
        </w:tc>
        <w:tc>
          <w:tcPr>
            <w:tcW w:w="56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54947E0F"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Biologisk mangfold og økosystemer (10)</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5FB4DF49"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Begrensning av klimaendringer (11)</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38E6EB8E"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Tilpasning til klimaendringer (12)</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0DE77FFB"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Vann- og havressurser (13)</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0525680D"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Sirkulær økonomi (14)</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0715601E"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Forurensning (15)</w:t>
            </w:r>
          </w:p>
        </w:tc>
        <w:tc>
          <w:tcPr>
            <w:tcW w:w="52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5A150483"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Biologisk mangfold og økosystemer (16)</w:t>
            </w:r>
          </w:p>
        </w:tc>
        <w:tc>
          <w:tcPr>
            <w:tcW w:w="528" w:type="dxa"/>
            <w:tcBorders>
              <w:top w:val="single" w:sz="4" w:space="0" w:color="auto"/>
              <w:left w:val="single" w:sz="4" w:space="0" w:color="auto"/>
              <w:bottom w:val="nil"/>
              <w:right w:val="single" w:sz="12" w:space="0" w:color="auto"/>
            </w:tcBorders>
            <w:shd w:val="clear" w:color="auto" w:fill="FFFFFF"/>
            <w:tcMar>
              <w:top w:w="60" w:type="dxa"/>
              <w:left w:w="60" w:type="dxa"/>
              <w:bottom w:w="60" w:type="dxa"/>
              <w:right w:w="60" w:type="dxa"/>
            </w:tcMar>
            <w:textDirection w:val="tbRl"/>
            <w:vAlign w:val="bottom"/>
            <w:hideMark/>
          </w:tcPr>
          <w:p w14:paraId="735AF678" w14:textId="77777777" w:rsidR="00A54846" w:rsidRDefault="008A2731">
            <w:pPr>
              <w:widowControl w:val="0"/>
              <w:shd w:val="clear" w:color="auto" w:fill="auto"/>
              <w:spacing w:after="60" w:line="240" w:lineRule="auto"/>
              <w:jc w:val="center"/>
              <w:rPr>
                <w:rFonts w:eastAsia="Arial Unicode MS" w:cs="Times New Roman"/>
                <w:b/>
                <w:color w:val="000000"/>
                <w:sz w:val="16"/>
                <w:szCs w:val="16"/>
              </w:rPr>
            </w:pPr>
            <w:r>
              <w:rPr>
                <w:b/>
                <w:color w:val="000000"/>
                <w:sz w:val="16"/>
              </w:rPr>
              <w:t>Minstegarantier (17)</w:t>
            </w:r>
          </w:p>
        </w:tc>
        <w:tc>
          <w:tcPr>
            <w:tcW w:w="876" w:type="dxa"/>
            <w:tcBorders>
              <w:top w:val="single" w:sz="12" w:space="0" w:color="auto"/>
              <w:left w:val="single" w:sz="12" w:space="0" w:color="auto"/>
              <w:bottom w:val="nil"/>
              <w:right w:val="single" w:sz="12" w:space="0" w:color="auto"/>
            </w:tcBorders>
            <w:shd w:val="clear" w:color="auto" w:fill="FFFFFF"/>
            <w:tcMar>
              <w:top w:w="60" w:type="dxa"/>
              <w:left w:w="60" w:type="dxa"/>
              <w:bottom w:w="60" w:type="dxa"/>
              <w:right w:w="60" w:type="dxa"/>
            </w:tcMar>
            <w:vAlign w:val="center"/>
            <w:hideMark/>
          </w:tcPr>
          <w:p w14:paraId="03AE547B" w14:textId="5E99794F"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Taksono</w:t>
            </w:r>
            <w:r w:rsidR="00A216F4">
              <w:rPr>
                <w:b/>
                <w:color w:val="000000"/>
                <w:sz w:val="16"/>
              </w:rPr>
              <w:softHyphen/>
            </w:r>
            <w:r>
              <w:rPr>
                <w:b/>
                <w:color w:val="000000"/>
                <w:sz w:val="16"/>
              </w:rPr>
              <w:t>miforenlig andel av driftsutgif</w:t>
            </w:r>
            <w:r w:rsidR="00A216F4">
              <w:rPr>
                <w:b/>
                <w:color w:val="000000"/>
                <w:sz w:val="16"/>
              </w:rPr>
              <w:softHyphen/>
            </w:r>
            <w:r>
              <w:rPr>
                <w:b/>
                <w:color w:val="000000"/>
                <w:sz w:val="16"/>
              </w:rPr>
              <w:t>tene, år N (18)</w:t>
            </w: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vAlign w:val="center"/>
            <w:hideMark/>
          </w:tcPr>
          <w:p w14:paraId="51EBA1F6" w14:textId="7A226463"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Taksono</w:t>
            </w:r>
            <w:r w:rsidR="00A216F4">
              <w:rPr>
                <w:b/>
                <w:color w:val="000000"/>
                <w:sz w:val="16"/>
              </w:rPr>
              <w:softHyphen/>
            </w:r>
            <w:r>
              <w:rPr>
                <w:b/>
                <w:color w:val="000000"/>
                <w:sz w:val="16"/>
              </w:rPr>
              <w:t>miforenlig andel av driftsutgif</w:t>
            </w:r>
            <w:r w:rsidR="00A216F4">
              <w:rPr>
                <w:b/>
                <w:color w:val="000000"/>
                <w:sz w:val="16"/>
              </w:rPr>
              <w:softHyphen/>
            </w:r>
            <w:r>
              <w:rPr>
                <w:b/>
                <w:color w:val="000000"/>
                <w:sz w:val="16"/>
              </w:rPr>
              <w:t>tene, år N-1 (19)</w:t>
            </w: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57B14BCF" w14:textId="14721DBB"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Kategori (mulig</w:t>
            </w:r>
            <w:r w:rsidR="00A216F4">
              <w:rPr>
                <w:b/>
                <w:color w:val="000000"/>
                <w:sz w:val="16"/>
              </w:rPr>
              <w:softHyphen/>
            </w:r>
            <w:r>
              <w:rPr>
                <w:b/>
                <w:color w:val="000000"/>
                <w:sz w:val="16"/>
              </w:rPr>
              <w:t>gjørende aktivitet) (20)</w:t>
            </w:r>
          </w:p>
        </w:tc>
        <w:tc>
          <w:tcPr>
            <w:tcW w:w="1059"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vAlign w:val="center"/>
            <w:hideMark/>
          </w:tcPr>
          <w:p w14:paraId="47B61E30" w14:textId="78EB5AD5"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Kategori (omstillings</w:t>
            </w:r>
            <w:r w:rsidR="00A216F4">
              <w:rPr>
                <w:b/>
                <w:color w:val="000000"/>
                <w:sz w:val="16"/>
              </w:rPr>
              <w:softHyphen/>
            </w:r>
            <w:r>
              <w:rPr>
                <w:b/>
                <w:color w:val="000000"/>
                <w:sz w:val="16"/>
              </w:rPr>
              <w:t>aktivitet)</w:t>
            </w:r>
          </w:p>
          <w:p w14:paraId="30B0F70C" w14:textId="77777777"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(21)</w:t>
            </w:r>
          </w:p>
        </w:tc>
      </w:tr>
      <w:tr w:rsidR="00A54846" w14:paraId="6458E14F" w14:textId="77777777">
        <w:trPr>
          <w:cantSplit/>
          <w:tblHeader/>
        </w:trPr>
        <w:tc>
          <w:tcPr>
            <w:tcW w:w="2012" w:type="dxa"/>
            <w:tcBorders>
              <w:top w:val="nil"/>
              <w:left w:val="single" w:sz="4" w:space="0" w:color="auto"/>
              <w:bottom w:val="nil"/>
              <w:right w:val="nil"/>
            </w:tcBorders>
            <w:shd w:val="clear" w:color="auto" w:fill="FFFFFF"/>
            <w:tcMar>
              <w:top w:w="60" w:type="dxa"/>
              <w:left w:w="60" w:type="dxa"/>
              <w:bottom w:w="60" w:type="dxa"/>
              <w:right w:w="60" w:type="dxa"/>
            </w:tcMar>
            <w:vAlign w:val="center"/>
          </w:tcPr>
          <w:p w14:paraId="450A4233"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0" w:type="dxa"/>
            <w:tcBorders>
              <w:top w:val="nil"/>
              <w:left w:val="single" w:sz="4" w:space="0" w:color="auto"/>
              <w:bottom w:val="nil"/>
              <w:right w:val="nil"/>
            </w:tcBorders>
            <w:shd w:val="clear" w:color="auto" w:fill="FFFFFF"/>
            <w:tcMar>
              <w:top w:w="60" w:type="dxa"/>
              <w:left w:w="60" w:type="dxa"/>
              <w:bottom w:w="60" w:type="dxa"/>
              <w:right w:w="60" w:type="dxa"/>
            </w:tcMar>
            <w:textDirection w:val="tbRl"/>
            <w:vAlign w:val="center"/>
          </w:tcPr>
          <w:p w14:paraId="359A899A"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788" w:type="dxa"/>
            <w:tcBorders>
              <w:top w:val="nil"/>
              <w:left w:val="single" w:sz="4" w:space="0" w:color="auto"/>
              <w:bottom w:val="nil"/>
              <w:right w:val="nil"/>
            </w:tcBorders>
            <w:tcMar>
              <w:top w:w="60" w:type="dxa"/>
              <w:left w:w="60" w:type="dxa"/>
              <w:bottom w:w="60" w:type="dxa"/>
              <w:right w:w="60" w:type="dxa"/>
            </w:tcMar>
            <w:vAlign w:val="center"/>
            <w:hideMark/>
          </w:tcPr>
          <w:p w14:paraId="049DA214"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Valuta</w:t>
            </w:r>
          </w:p>
        </w:tc>
        <w:tc>
          <w:tcPr>
            <w:tcW w:w="533" w:type="dxa"/>
            <w:tcBorders>
              <w:top w:val="nil"/>
              <w:left w:val="single" w:sz="4" w:space="0" w:color="auto"/>
              <w:bottom w:val="nil"/>
              <w:right w:val="nil"/>
            </w:tcBorders>
            <w:tcMar>
              <w:top w:w="60" w:type="dxa"/>
              <w:left w:w="60" w:type="dxa"/>
              <w:bottom w:w="60" w:type="dxa"/>
              <w:right w:w="60" w:type="dxa"/>
            </w:tcMar>
            <w:vAlign w:val="center"/>
            <w:hideMark/>
          </w:tcPr>
          <w:p w14:paraId="2E5F9788" w14:textId="77777777" w:rsidR="00A54846" w:rsidRDefault="008A2731">
            <w:pPr>
              <w:widowControl w:val="0"/>
              <w:shd w:val="clear" w:color="auto" w:fill="auto"/>
              <w:spacing w:after="0" w:line="360" w:lineRule="auto"/>
              <w:jc w:val="center"/>
              <w:rPr>
                <w:rFonts w:eastAsia="Arial Unicode MS" w:cs="Times New Roman"/>
                <w:b/>
                <w:color w:val="939393"/>
                <w:sz w:val="16"/>
                <w:szCs w:val="16"/>
              </w:rPr>
            </w:pPr>
            <w:r>
              <w:rPr>
                <w:b/>
                <w:color w:val="939393"/>
                <w:sz w:val="16"/>
              </w:rPr>
              <w:t>%</w:t>
            </w:r>
          </w:p>
        </w:tc>
        <w:tc>
          <w:tcPr>
            <w:tcW w:w="527" w:type="dxa"/>
            <w:tcBorders>
              <w:top w:val="nil"/>
              <w:left w:val="single" w:sz="4" w:space="0" w:color="auto"/>
              <w:bottom w:val="nil"/>
              <w:right w:val="nil"/>
            </w:tcBorders>
            <w:tcMar>
              <w:top w:w="60" w:type="dxa"/>
              <w:left w:w="60" w:type="dxa"/>
              <w:bottom w:w="60" w:type="dxa"/>
              <w:right w:w="60" w:type="dxa"/>
            </w:tcMar>
            <w:vAlign w:val="center"/>
            <w:hideMark/>
          </w:tcPr>
          <w:p w14:paraId="24451413"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w:t>
            </w:r>
          </w:p>
        </w:tc>
        <w:tc>
          <w:tcPr>
            <w:tcW w:w="528" w:type="dxa"/>
            <w:tcBorders>
              <w:top w:val="nil"/>
              <w:left w:val="single" w:sz="4" w:space="0" w:color="auto"/>
              <w:bottom w:val="nil"/>
              <w:right w:val="nil"/>
            </w:tcBorders>
            <w:tcMar>
              <w:top w:w="60" w:type="dxa"/>
              <w:left w:w="60" w:type="dxa"/>
              <w:bottom w:w="60" w:type="dxa"/>
              <w:right w:w="60" w:type="dxa"/>
            </w:tcMar>
            <w:vAlign w:val="center"/>
            <w:hideMark/>
          </w:tcPr>
          <w:p w14:paraId="091FE450"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w:t>
            </w:r>
          </w:p>
        </w:tc>
        <w:tc>
          <w:tcPr>
            <w:tcW w:w="513" w:type="dxa"/>
            <w:tcBorders>
              <w:top w:val="nil"/>
              <w:left w:val="single" w:sz="4" w:space="0" w:color="auto"/>
              <w:bottom w:val="nil"/>
              <w:right w:val="nil"/>
            </w:tcBorders>
            <w:tcMar>
              <w:top w:w="60" w:type="dxa"/>
              <w:left w:w="60" w:type="dxa"/>
              <w:bottom w:w="60" w:type="dxa"/>
              <w:right w:w="60" w:type="dxa"/>
            </w:tcMar>
            <w:vAlign w:val="center"/>
            <w:hideMark/>
          </w:tcPr>
          <w:p w14:paraId="27868883"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w:t>
            </w:r>
          </w:p>
        </w:tc>
        <w:tc>
          <w:tcPr>
            <w:tcW w:w="531" w:type="dxa"/>
            <w:tcBorders>
              <w:top w:val="nil"/>
              <w:left w:val="single" w:sz="4" w:space="0" w:color="auto"/>
              <w:bottom w:val="nil"/>
              <w:right w:val="nil"/>
            </w:tcBorders>
            <w:tcMar>
              <w:top w:w="60" w:type="dxa"/>
              <w:left w:w="60" w:type="dxa"/>
              <w:bottom w:w="60" w:type="dxa"/>
              <w:right w:w="60" w:type="dxa"/>
            </w:tcMar>
            <w:vAlign w:val="center"/>
            <w:hideMark/>
          </w:tcPr>
          <w:p w14:paraId="6F2FCCF3"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w:t>
            </w:r>
          </w:p>
        </w:tc>
        <w:tc>
          <w:tcPr>
            <w:tcW w:w="516" w:type="dxa"/>
            <w:tcBorders>
              <w:top w:val="nil"/>
              <w:left w:val="single" w:sz="4" w:space="0" w:color="auto"/>
              <w:bottom w:val="nil"/>
              <w:right w:val="nil"/>
            </w:tcBorders>
            <w:tcMar>
              <w:top w:w="60" w:type="dxa"/>
              <w:left w:w="60" w:type="dxa"/>
              <w:bottom w:w="60" w:type="dxa"/>
              <w:right w:w="60" w:type="dxa"/>
            </w:tcMar>
            <w:vAlign w:val="center"/>
            <w:hideMark/>
          </w:tcPr>
          <w:p w14:paraId="17D66B6F"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w:t>
            </w:r>
          </w:p>
        </w:tc>
        <w:tc>
          <w:tcPr>
            <w:tcW w:w="566" w:type="dxa"/>
            <w:tcBorders>
              <w:top w:val="nil"/>
              <w:left w:val="single" w:sz="4" w:space="0" w:color="auto"/>
              <w:bottom w:val="nil"/>
              <w:right w:val="nil"/>
            </w:tcBorders>
            <w:tcMar>
              <w:top w:w="60" w:type="dxa"/>
              <w:left w:w="60" w:type="dxa"/>
              <w:bottom w:w="60" w:type="dxa"/>
              <w:right w:w="60" w:type="dxa"/>
            </w:tcMar>
            <w:vAlign w:val="center"/>
            <w:hideMark/>
          </w:tcPr>
          <w:p w14:paraId="17E43D32"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2A0C5FA9"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37BEAE96"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293C8251"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11601E64"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Ja/Nei</w:t>
            </w:r>
          </w:p>
        </w:tc>
        <w:tc>
          <w:tcPr>
            <w:tcW w:w="526" w:type="dxa"/>
            <w:tcBorders>
              <w:top w:val="nil"/>
              <w:left w:val="single" w:sz="4" w:space="0" w:color="auto"/>
              <w:bottom w:val="nil"/>
              <w:right w:val="nil"/>
            </w:tcBorders>
            <w:tcMar>
              <w:top w:w="60" w:type="dxa"/>
              <w:left w:w="60" w:type="dxa"/>
              <w:bottom w:w="60" w:type="dxa"/>
              <w:right w:w="60" w:type="dxa"/>
            </w:tcMar>
            <w:vAlign w:val="center"/>
            <w:hideMark/>
          </w:tcPr>
          <w:p w14:paraId="2F7AA850"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Ja/Nei</w:t>
            </w:r>
          </w:p>
        </w:tc>
        <w:tc>
          <w:tcPr>
            <w:tcW w:w="524" w:type="dxa"/>
            <w:tcBorders>
              <w:top w:val="nil"/>
              <w:left w:val="single" w:sz="4" w:space="0" w:color="auto"/>
              <w:bottom w:val="nil"/>
              <w:right w:val="nil"/>
            </w:tcBorders>
            <w:tcMar>
              <w:top w:w="60" w:type="dxa"/>
              <w:left w:w="60" w:type="dxa"/>
              <w:bottom w:w="60" w:type="dxa"/>
              <w:right w:w="60" w:type="dxa"/>
            </w:tcMar>
            <w:vAlign w:val="center"/>
            <w:hideMark/>
          </w:tcPr>
          <w:p w14:paraId="0F97D191"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Ja/Nei</w:t>
            </w:r>
          </w:p>
        </w:tc>
        <w:tc>
          <w:tcPr>
            <w:tcW w:w="528" w:type="dxa"/>
            <w:tcBorders>
              <w:top w:val="nil"/>
              <w:left w:val="single" w:sz="4" w:space="0" w:color="auto"/>
              <w:bottom w:val="nil"/>
              <w:right w:val="single" w:sz="12" w:space="0" w:color="auto"/>
            </w:tcBorders>
            <w:tcMar>
              <w:top w:w="60" w:type="dxa"/>
              <w:left w:w="60" w:type="dxa"/>
              <w:bottom w:w="60" w:type="dxa"/>
              <w:right w:w="60" w:type="dxa"/>
            </w:tcMar>
            <w:vAlign w:val="center"/>
            <w:hideMark/>
          </w:tcPr>
          <w:p w14:paraId="4E4F6C9C"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Ja/Nei</w:t>
            </w:r>
          </w:p>
        </w:tc>
        <w:tc>
          <w:tcPr>
            <w:tcW w:w="876" w:type="dxa"/>
            <w:tcBorders>
              <w:top w:val="nil"/>
              <w:left w:val="single" w:sz="12" w:space="0" w:color="auto"/>
              <w:bottom w:val="single" w:sz="4" w:space="0" w:color="auto"/>
              <w:right w:val="single" w:sz="12" w:space="0" w:color="auto"/>
            </w:tcBorders>
            <w:tcMar>
              <w:top w:w="60" w:type="dxa"/>
              <w:left w:w="60" w:type="dxa"/>
              <w:bottom w:w="60" w:type="dxa"/>
              <w:right w:w="60" w:type="dxa"/>
            </w:tcMar>
            <w:vAlign w:val="center"/>
            <w:hideMark/>
          </w:tcPr>
          <w:p w14:paraId="58067AB5"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Prosent</w:t>
            </w:r>
          </w:p>
        </w:tc>
        <w:tc>
          <w:tcPr>
            <w:tcW w:w="905" w:type="dxa"/>
            <w:tcBorders>
              <w:top w:val="nil"/>
              <w:left w:val="single" w:sz="12" w:space="0" w:color="auto"/>
              <w:bottom w:val="nil"/>
              <w:right w:val="nil"/>
            </w:tcBorders>
            <w:tcMar>
              <w:top w:w="60" w:type="dxa"/>
              <w:left w:w="60" w:type="dxa"/>
              <w:bottom w:w="60" w:type="dxa"/>
              <w:right w:w="60" w:type="dxa"/>
            </w:tcMar>
            <w:vAlign w:val="center"/>
            <w:hideMark/>
          </w:tcPr>
          <w:p w14:paraId="0B9E4A06"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Prosent</w:t>
            </w:r>
          </w:p>
        </w:tc>
        <w:tc>
          <w:tcPr>
            <w:tcW w:w="761" w:type="dxa"/>
            <w:tcBorders>
              <w:top w:val="nil"/>
              <w:left w:val="single" w:sz="4" w:space="0" w:color="auto"/>
              <w:bottom w:val="nil"/>
              <w:right w:val="nil"/>
            </w:tcBorders>
            <w:tcMar>
              <w:top w:w="60" w:type="dxa"/>
              <w:left w:w="60" w:type="dxa"/>
              <w:bottom w:w="60" w:type="dxa"/>
              <w:right w:w="60" w:type="dxa"/>
            </w:tcMar>
            <w:vAlign w:val="center"/>
            <w:hideMark/>
          </w:tcPr>
          <w:p w14:paraId="528A7A9B" w14:textId="3424AC78"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Mulig</w:t>
            </w:r>
            <w:r w:rsidR="00A216F4">
              <w:rPr>
                <w:b/>
                <w:color w:val="939393"/>
                <w:sz w:val="16"/>
              </w:rPr>
              <w:softHyphen/>
            </w:r>
            <w:r>
              <w:rPr>
                <w:b/>
                <w:color w:val="939393"/>
                <w:sz w:val="16"/>
              </w:rPr>
              <w:t>gjørende</w:t>
            </w:r>
          </w:p>
        </w:tc>
        <w:tc>
          <w:tcPr>
            <w:tcW w:w="1059" w:type="dxa"/>
            <w:tcBorders>
              <w:top w:val="nil"/>
              <w:left w:val="single" w:sz="4" w:space="0" w:color="auto"/>
              <w:bottom w:val="nil"/>
              <w:right w:val="single" w:sz="4" w:space="0" w:color="auto"/>
            </w:tcBorders>
            <w:tcMar>
              <w:top w:w="60" w:type="dxa"/>
              <w:left w:w="60" w:type="dxa"/>
              <w:bottom w:w="60" w:type="dxa"/>
              <w:right w:w="60" w:type="dxa"/>
            </w:tcMar>
            <w:vAlign w:val="center"/>
            <w:hideMark/>
          </w:tcPr>
          <w:p w14:paraId="258E6F84" w14:textId="77777777" w:rsidR="00A54846" w:rsidRDefault="008A2731">
            <w:pPr>
              <w:widowControl w:val="0"/>
              <w:shd w:val="clear" w:color="auto" w:fill="auto"/>
              <w:spacing w:after="0" w:line="240" w:lineRule="auto"/>
              <w:jc w:val="center"/>
              <w:rPr>
                <w:rFonts w:eastAsia="Arial Unicode MS" w:cs="Times New Roman"/>
                <w:b/>
                <w:color w:val="939393"/>
                <w:sz w:val="16"/>
                <w:szCs w:val="16"/>
              </w:rPr>
            </w:pPr>
            <w:r>
              <w:rPr>
                <w:b/>
                <w:color w:val="939393"/>
                <w:sz w:val="16"/>
              </w:rPr>
              <w:t>Omstilling</w:t>
            </w:r>
          </w:p>
        </w:tc>
      </w:tr>
      <w:tr w:rsidR="00A54846" w14:paraId="23925EAA" w14:textId="77777777">
        <w:trPr>
          <w:trHeight w:val="550"/>
        </w:trPr>
        <w:tc>
          <w:tcPr>
            <w:tcW w:w="2012"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40C8830B" w14:textId="77777777" w:rsidR="00A54846" w:rsidRDefault="008A2731">
            <w:pPr>
              <w:widowControl w:val="0"/>
              <w:shd w:val="clear" w:color="auto" w:fill="auto"/>
              <w:spacing w:after="0" w:line="240" w:lineRule="auto"/>
              <w:jc w:val="left"/>
              <w:rPr>
                <w:rFonts w:eastAsia="Arial Unicode MS" w:cs="Times New Roman"/>
                <w:b/>
                <w:color w:val="000000"/>
                <w:sz w:val="16"/>
                <w:szCs w:val="16"/>
              </w:rPr>
            </w:pPr>
            <w:r>
              <w:rPr>
                <w:b/>
                <w:color w:val="000000"/>
                <w:sz w:val="16"/>
              </w:rPr>
              <w:t>Driftsutgifter for miljømessig bærekraftige (taksonomiforenlige) aktiviteter</w:t>
            </w:r>
          </w:p>
        </w:tc>
        <w:tc>
          <w:tcPr>
            <w:tcW w:w="520"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675813B0"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78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38F826D9"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3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hideMark/>
          </w:tcPr>
          <w:p w14:paraId="22F7197E"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27" w:type="dxa"/>
            <w:tcBorders>
              <w:top w:val="single" w:sz="4" w:space="0" w:color="auto"/>
              <w:left w:val="single" w:sz="4" w:space="0" w:color="auto"/>
              <w:bottom w:val="nil"/>
              <w:right w:val="nil"/>
            </w:tcBorders>
            <w:shd w:val="clear" w:color="auto" w:fill="FFFFFF"/>
            <w:tcMar>
              <w:top w:w="60" w:type="dxa"/>
              <w:left w:w="60" w:type="dxa"/>
              <w:bottom w:w="60" w:type="dxa"/>
              <w:right w:w="60" w:type="dxa"/>
            </w:tcMar>
            <w:hideMark/>
          </w:tcPr>
          <w:p w14:paraId="7C99B543"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hideMark/>
          </w:tcPr>
          <w:p w14:paraId="2FCBB7EA"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1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hideMark/>
          </w:tcPr>
          <w:p w14:paraId="355B4721"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3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hideMark/>
          </w:tcPr>
          <w:p w14:paraId="09C47C88"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1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hideMark/>
          </w:tcPr>
          <w:p w14:paraId="51EA2214"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6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hideMark/>
          </w:tcPr>
          <w:p w14:paraId="1E2A4DB5"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57F3D692"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407B7342"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5B018B1C"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65428CBB"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451DE0CA"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26456CB7"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8" w:type="dxa"/>
            <w:tcBorders>
              <w:top w:val="single" w:sz="4" w:space="0" w:color="auto"/>
              <w:left w:val="single" w:sz="4" w:space="0" w:color="auto"/>
              <w:bottom w:val="nil"/>
              <w:right w:val="single" w:sz="12" w:space="0" w:color="auto"/>
            </w:tcBorders>
            <w:shd w:val="clear" w:color="auto" w:fill="FFFFFF"/>
            <w:tcMar>
              <w:top w:w="60" w:type="dxa"/>
              <w:left w:w="60" w:type="dxa"/>
              <w:bottom w:w="60" w:type="dxa"/>
              <w:right w:w="60" w:type="dxa"/>
            </w:tcMar>
          </w:tcPr>
          <w:p w14:paraId="50687F52"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876" w:type="dxa"/>
            <w:tcBorders>
              <w:top w:val="single" w:sz="4" w:space="0" w:color="auto"/>
              <w:left w:val="single" w:sz="12" w:space="0" w:color="auto"/>
              <w:bottom w:val="nil"/>
              <w:right w:val="single" w:sz="12" w:space="0" w:color="auto"/>
            </w:tcBorders>
            <w:shd w:val="clear" w:color="auto" w:fill="FFFFFF"/>
            <w:tcMar>
              <w:top w:w="60" w:type="dxa"/>
              <w:left w:w="60" w:type="dxa"/>
              <w:bottom w:w="60" w:type="dxa"/>
              <w:right w:w="60" w:type="dxa"/>
            </w:tcMar>
            <w:vAlign w:val="center"/>
            <w:hideMark/>
          </w:tcPr>
          <w:p w14:paraId="53E95AA2" w14:textId="77777777" w:rsidR="00A54846" w:rsidRDefault="008A2731">
            <w:pPr>
              <w:widowControl w:val="0"/>
              <w:shd w:val="clear" w:color="auto" w:fill="auto"/>
              <w:spacing w:after="0" w:line="240" w:lineRule="auto"/>
              <w:jc w:val="center"/>
              <w:rPr>
                <w:rFonts w:eastAsia="Arial Unicode MS" w:cs="Times New Roman"/>
                <w:b/>
                <w:color w:val="000000"/>
                <w:sz w:val="16"/>
                <w:szCs w:val="16"/>
              </w:rPr>
            </w:pPr>
            <w:r>
              <w:rPr>
                <w:b/>
                <w:color w:val="000000"/>
                <w:sz w:val="16"/>
              </w:rPr>
              <w:t>%</w:t>
            </w: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tcPr>
          <w:p w14:paraId="3A46DDA1"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4BB14F17"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1059"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tcPr>
          <w:p w14:paraId="6C340AE2"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r>
      <w:tr w:rsidR="00A54846" w14:paraId="7C486916" w14:textId="77777777">
        <w:trPr>
          <w:trHeight w:val="550"/>
        </w:trPr>
        <w:tc>
          <w:tcPr>
            <w:tcW w:w="2012"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41465C3A" w14:textId="77777777" w:rsidR="00A54846" w:rsidRDefault="008A2731">
            <w:pPr>
              <w:widowControl w:val="0"/>
              <w:shd w:val="clear" w:color="auto" w:fill="auto"/>
              <w:spacing w:after="0" w:line="240" w:lineRule="auto"/>
              <w:jc w:val="left"/>
              <w:rPr>
                <w:rFonts w:eastAsia="Arial Unicode MS" w:cs="Times New Roman"/>
                <w:b/>
                <w:color w:val="000000"/>
                <w:sz w:val="16"/>
                <w:szCs w:val="16"/>
              </w:rPr>
            </w:pPr>
            <w:r>
              <w:rPr>
                <w:b/>
                <w:color w:val="000000"/>
                <w:sz w:val="16"/>
              </w:rPr>
              <w:t>A.2 Aktiviteter som er omfattet av taksonomien, men som ikke er miljømessig bærekraftige (ikke taksonomiforenlige aktiviteter)</w:t>
            </w:r>
          </w:p>
        </w:tc>
        <w:tc>
          <w:tcPr>
            <w:tcW w:w="520"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434CE6F3"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78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844D5DC"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3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03CD541C"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7"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7205AF5"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2F4E7053"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1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6F37FBC9"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3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51C353D7"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1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4D7448D4"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6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011AD22C"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CFD9DB3"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2897D351"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63929008"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08AC794C"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6"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5BB60BC9"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71EEFA2E"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528" w:type="dxa"/>
            <w:tcBorders>
              <w:top w:val="single" w:sz="4" w:space="0" w:color="auto"/>
              <w:left w:val="single" w:sz="4" w:space="0" w:color="auto"/>
              <w:bottom w:val="nil"/>
              <w:right w:val="single" w:sz="12" w:space="0" w:color="auto"/>
            </w:tcBorders>
            <w:shd w:val="clear" w:color="auto" w:fill="FFFFFF"/>
            <w:tcMar>
              <w:top w:w="60" w:type="dxa"/>
              <w:left w:w="60" w:type="dxa"/>
              <w:bottom w:w="60" w:type="dxa"/>
              <w:right w:w="60" w:type="dxa"/>
            </w:tcMar>
          </w:tcPr>
          <w:p w14:paraId="7800A095"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876" w:type="dxa"/>
            <w:tcBorders>
              <w:top w:val="single" w:sz="4" w:space="0" w:color="auto"/>
              <w:left w:val="single" w:sz="12" w:space="0" w:color="auto"/>
              <w:bottom w:val="nil"/>
              <w:right w:val="single" w:sz="12" w:space="0" w:color="auto"/>
            </w:tcBorders>
            <w:shd w:val="clear" w:color="auto" w:fill="FFFFFF"/>
            <w:tcMar>
              <w:top w:w="60" w:type="dxa"/>
              <w:left w:w="60" w:type="dxa"/>
              <w:bottom w:w="60" w:type="dxa"/>
              <w:right w:w="60" w:type="dxa"/>
            </w:tcMar>
          </w:tcPr>
          <w:p w14:paraId="4B1D674B"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tcPr>
          <w:p w14:paraId="42108921"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0F698B83"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c>
          <w:tcPr>
            <w:tcW w:w="1059"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tcPr>
          <w:p w14:paraId="5F19CFDE" w14:textId="77777777" w:rsidR="00A54846" w:rsidRPr="006A792F" w:rsidRDefault="00A54846">
            <w:pPr>
              <w:widowControl w:val="0"/>
              <w:shd w:val="clear" w:color="auto" w:fill="auto"/>
              <w:spacing w:after="0" w:line="240" w:lineRule="auto"/>
              <w:jc w:val="center"/>
              <w:rPr>
                <w:rFonts w:eastAsia="Arial Unicode MS" w:cs="Times New Roman"/>
                <w:color w:val="000000"/>
                <w:sz w:val="16"/>
                <w:szCs w:val="16"/>
                <w:lang w:bidi="en-US"/>
              </w:rPr>
            </w:pPr>
          </w:p>
        </w:tc>
      </w:tr>
      <w:tr w:rsidR="00A54846" w14:paraId="1EA0A5B9" w14:textId="77777777">
        <w:trPr>
          <w:trHeight w:val="180"/>
        </w:trPr>
        <w:tc>
          <w:tcPr>
            <w:tcW w:w="2012"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00F47159" w14:textId="77777777" w:rsidR="00A54846" w:rsidRDefault="008A2731">
            <w:pPr>
              <w:widowControl w:val="0"/>
              <w:shd w:val="clear" w:color="auto" w:fill="auto"/>
              <w:spacing w:after="0" w:line="240" w:lineRule="auto"/>
              <w:jc w:val="left"/>
              <w:rPr>
                <w:rFonts w:eastAsia="Arial Unicode MS" w:cs="Times New Roman"/>
                <w:color w:val="000000"/>
                <w:sz w:val="16"/>
                <w:szCs w:val="16"/>
              </w:rPr>
            </w:pPr>
            <w:r>
              <w:rPr>
                <w:color w:val="000000"/>
                <w:sz w:val="16"/>
              </w:rPr>
              <w:t>Aktivitet 1</w:t>
            </w:r>
          </w:p>
        </w:tc>
        <w:tc>
          <w:tcPr>
            <w:tcW w:w="520"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3CAD1CA7"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78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58310AC9"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33" w:type="dxa"/>
            <w:tcBorders>
              <w:top w:val="single" w:sz="4" w:space="0" w:color="auto"/>
              <w:left w:val="single" w:sz="4" w:space="0" w:color="auto"/>
              <w:bottom w:val="nil"/>
              <w:right w:val="nil"/>
            </w:tcBorders>
            <w:shd w:val="clear" w:color="auto" w:fill="FFFFFF"/>
            <w:tcMar>
              <w:top w:w="60" w:type="dxa"/>
              <w:left w:w="60" w:type="dxa"/>
              <w:bottom w:w="60" w:type="dxa"/>
              <w:right w:w="60" w:type="dxa"/>
            </w:tcMar>
            <w:hideMark/>
          </w:tcPr>
          <w:p w14:paraId="6C779756"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27" w:type="dxa"/>
            <w:tcBorders>
              <w:top w:val="single" w:sz="4" w:space="0" w:color="auto"/>
              <w:left w:val="single" w:sz="4" w:space="0" w:color="auto"/>
              <w:bottom w:val="nil"/>
              <w:right w:val="nil"/>
            </w:tcBorders>
            <w:shd w:val="clear" w:color="auto" w:fill="000000" w:themeFill="text1"/>
            <w:tcMar>
              <w:top w:w="60" w:type="dxa"/>
              <w:left w:w="60" w:type="dxa"/>
              <w:bottom w:w="60" w:type="dxa"/>
              <w:right w:w="60" w:type="dxa"/>
            </w:tcMar>
            <w:vAlign w:val="bottom"/>
          </w:tcPr>
          <w:p w14:paraId="42F5A1AC"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8" w:type="dxa"/>
            <w:tcBorders>
              <w:top w:val="single" w:sz="4" w:space="0" w:color="auto"/>
              <w:left w:val="single" w:sz="4" w:space="0" w:color="auto"/>
              <w:bottom w:val="nil"/>
              <w:right w:val="nil"/>
            </w:tcBorders>
            <w:shd w:val="clear" w:color="auto" w:fill="000000" w:themeFill="text1"/>
            <w:tcMar>
              <w:top w:w="60" w:type="dxa"/>
              <w:left w:w="60" w:type="dxa"/>
              <w:bottom w:w="60" w:type="dxa"/>
              <w:right w:w="60" w:type="dxa"/>
            </w:tcMar>
            <w:vAlign w:val="bottom"/>
          </w:tcPr>
          <w:p w14:paraId="64481ED2"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13" w:type="dxa"/>
            <w:tcBorders>
              <w:top w:val="single" w:sz="4" w:space="0" w:color="auto"/>
              <w:left w:val="single" w:sz="4" w:space="0" w:color="auto"/>
              <w:bottom w:val="nil"/>
              <w:right w:val="nil"/>
            </w:tcBorders>
            <w:shd w:val="clear" w:color="auto" w:fill="000000" w:themeFill="text1"/>
            <w:tcMar>
              <w:top w:w="60" w:type="dxa"/>
              <w:left w:w="60" w:type="dxa"/>
              <w:bottom w:w="60" w:type="dxa"/>
              <w:right w:w="60" w:type="dxa"/>
            </w:tcMar>
            <w:vAlign w:val="bottom"/>
          </w:tcPr>
          <w:p w14:paraId="3DD3483D"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31" w:type="dxa"/>
            <w:tcBorders>
              <w:top w:val="single" w:sz="4" w:space="0" w:color="auto"/>
              <w:left w:val="single" w:sz="4" w:space="0" w:color="auto"/>
              <w:bottom w:val="nil"/>
              <w:right w:val="nil"/>
            </w:tcBorders>
            <w:shd w:val="clear" w:color="auto" w:fill="000000" w:themeFill="text1"/>
            <w:tcMar>
              <w:top w:w="60" w:type="dxa"/>
              <w:left w:w="60" w:type="dxa"/>
              <w:bottom w:w="60" w:type="dxa"/>
              <w:right w:w="60" w:type="dxa"/>
            </w:tcMar>
            <w:vAlign w:val="bottom"/>
          </w:tcPr>
          <w:p w14:paraId="6D871FDA"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16" w:type="dxa"/>
            <w:tcBorders>
              <w:top w:val="single" w:sz="4" w:space="0" w:color="auto"/>
              <w:left w:val="single" w:sz="4" w:space="0" w:color="auto"/>
              <w:bottom w:val="nil"/>
              <w:right w:val="nil"/>
            </w:tcBorders>
            <w:shd w:val="clear" w:color="auto" w:fill="000000" w:themeFill="text1"/>
            <w:tcMar>
              <w:top w:w="60" w:type="dxa"/>
              <w:left w:w="60" w:type="dxa"/>
              <w:bottom w:w="60" w:type="dxa"/>
              <w:right w:w="60" w:type="dxa"/>
            </w:tcMar>
            <w:vAlign w:val="bottom"/>
          </w:tcPr>
          <w:p w14:paraId="73DDEA46"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66" w:type="dxa"/>
            <w:tcBorders>
              <w:top w:val="single" w:sz="4" w:space="0" w:color="auto"/>
              <w:left w:val="single" w:sz="4" w:space="0" w:color="auto"/>
              <w:bottom w:val="nil"/>
              <w:right w:val="nil"/>
            </w:tcBorders>
            <w:shd w:val="clear" w:color="auto" w:fill="000000" w:themeFill="text1"/>
            <w:tcMar>
              <w:top w:w="60" w:type="dxa"/>
              <w:left w:w="60" w:type="dxa"/>
              <w:bottom w:w="60" w:type="dxa"/>
              <w:right w:w="60" w:type="dxa"/>
            </w:tcMar>
            <w:vAlign w:val="bottom"/>
          </w:tcPr>
          <w:p w14:paraId="237177D7"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6" w:type="dxa"/>
            <w:tcBorders>
              <w:top w:val="single" w:sz="4" w:space="0" w:color="auto"/>
              <w:left w:val="single" w:sz="4" w:space="0" w:color="auto"/>
              <w:bottom w:val="nil"/>
              <w:right w:val="nil"/>
            </w:tcBorders>
            <w:shd w:val="clear" w:color="auto" w:fill="000000" w:themeFill="text1"/>
            <w:tcMar>
              <w:top w:w="60" w:type="dxa"/>
              <w:left w:w="60" w:type="dxa"/>
              <w:bottom w:w="60" w:type="dxa"/>
              <w:right w:w="60" w:type="dxa"/>
            </w:tcMar>
          </w:tcPr>
          <w:p w14:paraId="530F490C"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6" w:type="dxa"/>
            <w:tcBorders>
              <w:top w:val="single" w:sz="4" w:space="0" w:color="auto"/>
              <w:left w:val="single" w:sz="4" w:space="0" w:color="auto"/>
              <w:bottom w:val="nil"/>
              <w:right w:val="nil"/>
            </w:tcBorders>
            <w:shd w:val="clear" w:color="auto" w:fill="000000" w:themeFill="text1"/>
            <w:tcMar>
              <w:top w:w="60" w:type="dxa"/>
              <w:left w:w="60" w:type="dxa"/>
              <w:bottom w:w="60" w:type="dxa"/>
              <w:right w:w="60" w:type="dxa"/>
            </w:tcMar>
            <w:vAlign w:val="bottom"/>
          </w:tcPr>
          <w:p w14:paraId="0C723850"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6" w:type="dxa"/>
            <w:tcBorders>
              <w:top w:val="single" w:sz="4" w:space="0" w:color="auto"/>
              <w:left w:val="single" w:sz="4" w:space="0" w:color="auto"/>
              <w:bottom w:val="nil"/>
              <w:right w:val="nil"/>
            </w:tcBorders>
            <w:shd w:val="clear" w:color="auto" w:fill="000000" w:themeFill="text1"/>
            <w:tcMar>
              <w:top w:w="60" w:type="dxa"/>
              <w:left w:w="60" w:type="dxa"/>
              <w:bottom w:w="60" w:type="dxa"/>
              <w:right w:w="60" w:type="dxa"/>
            </w:tcMar>
            <w:vAlign w:val="bottom"/>
          </w:tcPr>
          <w:p w14:paraId="14E71E92"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6" w:type="dxa"/>
            <w:tcBorders>
              <w:top w:val="single" w:sz="4" w:space="0" w:color="auto"/>
              <w:left w:val="single" w:sz="4" w:space="0" w:color="auto"/>
              <w:bottom w:val="nil"/>
              <w:right w:val="nil"/>
            </w:tcBorders>
            <w:shd w:val="clear" w:color="auto" w:fill="000000" w:themeFill="text1"/>
            <w:tcMar>
              <w:top w:w="60" w:type="dxa"/>
              <w:left w:w="60" w:type="dxa"/>
              <w:bottom w:w="60" w:type="dxa"/>
              <w:right w:w="60" w:type="dxa"/>
            </w:tcMar>
            <w:vAlign w:val="bottom"/>
          </w:tcPr>
          <w:p w14:paraId="018C81C9"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6" w:type="dxa"/>
            <w:tcBorders>
              <w:top w:val="single" w:sz="4" w:space="0" w:color="auto"/>
              <w:left w:val="single" w:sz="4" w:space="0" w:color="auto"/>
              <w:bottom w:val="nil"/>
              <w:right w:val="nil"/>
            </w:tcBorders>
            <w:shd w:val="clear" w:color="auto" w:fill="000000" w:themeFill="text1"/>
            <w:tcMar>
              <w:top w:w="60" w:type="dxa"/>
              <w:left w:w="60" w:type="dxa"/>
              <w:bottom w:w="60" w:type="dxa"/>
              <w:right w:w="60" w:type="dxa"/>
            </w:tcMar>
            <w:vAlign w:val="bottom"/>
          </w:tcPr>
          <w:p w14:paraId="065BBF16"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4" w:type="dxa"/>
            <w:tcBorders>
              <w:top w:val="single" w:sz="4" w:space="0" w:color="auto"/>
              <w:left w:val="single" w:sz="4" w:space="0" w:color="auto"/>
              <w:bottom w:val="nil"/>
              <w:right w:val="nil"/>
            </w:tcBorders>
            <w:shd w:val="clear" w:color="auto" w:fill="000000" w:themeFill="text1"/>
            <w:tcMar>
              <w:top w:w="60" w:type="dxa"/>
              <w:left w:w="60" w:type="dxa"/>
              <w:bottom w:w="60" w:type="dxa"/>
              <w:right w:w="60" w:type="dxa"/>
            </w:tcMar>
            <w:vAlign w:val="bottom"/>
          </w:tcPr>
          <w:p w14:paraId="08BE51EA"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8" w:type="dxa"/>
            <w:tcBorders>
              <w:top w:val="single" w:sz="4" w:space="0" w:color="auto"/>
              <w:left w:val="single" w:sz="4" w:space="0" w:color="auto"/>
              <w:bottom w:val="nil"/>
              <w:right w:val="single" w:sz="12" w:space="0" w:color="auto"/>
            </w:tcBorders>
            <w:shd w:val="clear" w:color="auto" w:fill="000000" w:themeFill="text1"/>
            <w:tcMar>
              <w:top w:w="60" w:type="dxa"/>
              <w:left w:w="60" w:type="dxa"/>
              <w:bottom w:w="60" w:type="dxa"/>
              <w:right w:w="60" w:type="dxa"/>
            </w:tcMar>
            <w:vAlign w:val="bottom"/>
          </w:tcPr>
          <w:p w14:paraId="08592F59" w14:textId="77777777" w:rsidR="00A54846" w:rsidRDefault="00A54846">
            <w:pPr>
              <w:widowControl w:val="0"/>
              <w:shd w:val="clear" w:color="auto" w:fill="auto"/>
              <w:spacing w:after="0" w:line="240" w:lineRule="auto"/>
              <w:jc w:val="center"/>
              <w:rPr>
                <w:rFonts w:eastAsia="Arial Unicode MS" w:cs="Times New Roman"/>
                <w:b/>
                <w:color w:val="000000"/>
                <w:sz w:val="16"/>
                <w:szCs w:val="16"/>
                <w:lang w:val="en-US" w:bidi="en-US"/>
              </w:rPr>
            </w:pPr>
          </w:p>
        </w:tc>
        <w:tc>
          <w:tcPr>
            <w:tcW w:w="876" w:type="dxa"/>
            <w:tcBorders>
              <w:top w:val="single" w:sz="4" w:space="0" w:color="auto"/>
              <w:left w:val="single" w:sz="12" w:space="0" w:color="auto"/>
              <w:bottom w:val="nil"/>
              <w:right w:val="single" w:sz="12" w:space="0" w:color="auto"/>
            </w:tcBorders>
            <w:shd w:val="clear" w:color="auto" w:fill="000000" w:themeFill="text1"/>
            <w:tcMar>
              <w:top w:w="60" w:type="dxa"/>
              <w:left w:w="60" w:type="dxa"/>
              <w:bottom w:w="60" w:type="dxa"/>
              <w:right w:w="60" w:type="dxa"/>
            </w:tcMar>
            <w:vAlign w:val="bottom"/>
          </w:tcPr>
          <w:p w14:paraId="607A196A" w14:textId="77777777" w:rsidR="00A54846" w:rsidRDefault="00A54846">
            <w:pPr>
              <w:widowControl w:val="0"/>
              <w:shd w:val="clear" w:color="auto" w:fill="auto"/>
              <w:spacing w:after="0" w:line="240" w:lineRule="auto"/>
              <w:jc w:val="center"/>
              <w:rPr>
                <w:rFonts w:eastAsia="Arial Unicode MS" w:cs="Times New Roman"/>
                <w:b/>
                <w:color w:val="000000"/>
                <w:sz w:val="16"/>
                <w:szCs w:val="16"/>
                <w:lang w:val="en-US" w:bidi="en-US"/>
              </w:rPr>
            </w:pPr>
          </w:p>
        </w:tc>
        <w:tc>
          <w:tcPr>
            <w:tcW w:w="905" w:type="dxa"/>
            <w:tcBorders>
              <w:top w:val="single" w:sz="4" w:space="0" w:color="auto"/>
              <w:left w:val="single" w:sz="12" w:space="0" w:color="auto"/>
              <w:bottom w:val="nil"/>
              <w:right w:val="nil"/>
            </w:tcBorders>
            <w:shd w:val="clear" w:color="auto" w:fill="000000" w:themeFill="text1"/>
            <w:tcMar>
              <w:top w:w="60" w:type="dxa"/>
              <w:left w:w="60" w:type="dxa"/>
              <w:bottom w:w="60" w:type="dxa"/>
              <w:right w:w="60" w:type="dxa"/>
            </w:tcMar>
          </w:tcPr>
          <w:p w14:paraId="472DF0B9"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761" w:type="dxa"/>
            <w:tcBorders>
              <w:top w:val="single" w:sz="4" w:space="0" w:color="auto"/>
              <w:left w:val="single" w:sz="4" w:space="0" w:color="auto"/>
              <w:bottom w:val="nil"/>
              <w:right w:val="nil"/>
            </w:tcBorders>
            <w:shd w:val="clear" w:color="auto" w:fill="000000" w:themeFill="text1"/>
            <w:tcMar>
              <w:top w:w="60" w:type="dxa"/>
              <w:left w:w="60" w:type="dxa"/>
              <w:bottom w:w="60" w:type="dxa"/>
              <w:right w:w="60" w:type="dxa"/>
            </w:tcMar>
            <w:vAlign w:val="bottom"/>
          </w:tcPr>
          <w:p w14:paraId="4878C6DE"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1059" w:type="dxa"/>
            <w:tcBorders>
              <w:top w:val="single" w:sz="4" w:space="0" w:color="auto"/>
              <w:left w:val="single" w:sz="4" w:space="0" w:color="auto"/>
              <w:bottom w:val="nil"/>
              <w:right w:val="single" w:sz="4" w:space="0" w:color="auto"/>
            </w:tcBorders>
            <w:shd w:val="clear" w:color="auto" w:fill="000000" w:themeFill="text1"/>
            <w:tcMar>
              <w:top w:w="60" w:type="dxa"/>
              <w:left w:w="60" w:type="dxa"/>
              <w:bottom w:w="60" w:type="dxa"/>
              <w:right w:w="60" w:type="dxa"/>
            </w:tcMar>
          </w:tcPr>
          <w:p w14:paraId="5C720E6F"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r>
      <w:tr w:rsidR="00A54846" w14:paraId="790B88B1" w14:textId="77777777">
        <w:trPr>
          <w:trHeight w:val="190"/>
        </w:trPr>
        <w:tc>
          <w:tcPr>
            <w:tcW w:w="2012"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1402652E" w14:textId="77777777" w:rsidR="00A54846" w:rsidRDefault="008A2731">
            <w:pPr>
              <w:widowControl w:val="0"/>
              <w:shd w:val="clear" w:color="auto" w:fill="auto"/>
              <w:spacing w:after="0" w:line="240" w:lineRule="auto"/>
              <w:jc w:val="left"/>
              <w:rPr>
                <w:rFonts w:eastAsia="Arial Unicode MS" w:cs="Times New Roman"/>
                <w:color w:val="000000"/>
                <w:sz w:val="16"/>
                <w:szCs w:val="16"/>
              </w:rPr>
            </w:pPr>
            <w:r>
              <w:rPr>
                <w:color w:val="000000"/>
                <w:sz w:val="16"/>
              </w:rPr>
              <w:t>Aktivitet 3</w:t>
            </w:r>
          </w:p>
        </w:tc>
        <w:tc>
          <w:tcPr>
            <w:tcW w:w="520"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3AF04750"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788"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2EECAB58"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33"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48761C4B" w14:textId="77777777" w:rsidR="00A54846" w:rsidRDefault="008A2731">
            <w:pPr>
              <w:widowControl w:val="0"/>
              <w:shd w:val="clear" w:color="auto" w:fill="auto"/>
              <w:spacing w:after="0" w:line="240" w:lineRule="auto"/>
              <w:jc w:val="center"/>
              <w:rPr>
                <w:rFonts w:eastAsia="Arial Unicode MS" w:cs="Times New Roman"/>
                <w:color w:val="000000"/>
                <w:sz w:val="16"/>
                <w:szCs w:val="16"/>
              </w:rPr>
            </w:pPr>
            <w:r>
              <w:rPr>
                <w:color w:val="000000"/>
                <w:sz w:val="16"/>
              </w:rPr>
              <w:t>%</w:t>
            </w:r>
          </w:p>
        </w:tc>
        <w:tc>
          <w:tcPr>
            <w:tcW w:w="527" w:type="dxa"/>
            <w:tcBorders>
              <w:top w:val="single" w:sz="4" w:space="0" w:color="auto"/>
              <w:left w:val="single" w:sz="4" w:space="0" w:color="auto"/>
              <w:bottom w:val="single" w:sz="4" w:space="0" w:color="auto"/>
              <w:right w:val="nil"/>
            </w:tcBorders>
            <w:shd w:val="clear" w:color="auto" w:fill="000000" w:themeFill="text1"/>
            <w:tcMar>
              <w:top w:w="60" w:type="dxa"/>
              <w:left w:w="60" w:type="dxa"/>
              <w:bottom w:w="60" w:type="dxa"/>
              <w:right w:w="60" w:type="dxa"/>
            </w:tcMar>
            <w:vAlign w:val="bottom"/>
          </w:tcPr>
          <w:p w14:paraId="76285477"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8" w:type="dxa"/>
            <w:tcBorders>
              <w:top w:val="single" w:sz="4" w:space="0" w:color="auto"/>
              <w:left w:val="single" w:sz="4" w:space="0" w:color="auto"/>
              <w:bottom w:val="single" w:sz="4" w:space="0" w:color="auto"/>
              <w:right w:val="nil"/>
            </w:tcBorders>
            <w:shd w:val="clear" w:color="auto" w:fill="000000" w:themeFill="text1"/>
            <w:tcMar>
              <w:top w:w="60" w:type="dxa"/>
              <w:left w:w="60" w:type="dxa"/>
              <w:bottom w:w="60" w:type="dxa"/>
              <w:right w:w="60" w:type="dxa"/>
            </w:tcMar>
            <w:vAlign w:val="bottom"/>
          </w:tcPr>
          <w:p w14:paraId="043D56AA"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13" w:type="dxa"/>
            <w:tcBorders>
              <w:top w:val="single" w:sz="4" w:space="0" w:color="auto"/>
              <w:left w:val="single" w:sz="4" w:space="0" w:color="auto"/>
              <w:bottom w:val="single" w:sz="4" w:space="0" w:color="auto"/>
              <w:right w:val="nil"/>
            </w:tcBorders>
            <w:shd w:val="clear" w:color="auto" w:fill="000000" w:themeFill="text1"/>
            <w:tcMar>
              <w:top w:w="60" w:type="dxa"/>
              <w:left w:w="60" w:type="dxa"/>
              <w:bottom w:w="60" w:type="dxa"/>
              <w:right w:w="60" w:type="dxa"/>
            </w:tcMar>
            <w:vAlign w:val="bottom"/>
          </w:tcPr>
          <w:p w14:paraId="40326DEE"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31" w:type="dxa"/>
            <w:tcBorders>
              <w:top w:val="single" w:sz="4" w:space="0" w:color="auto"/>
              <w:left w:val="single" w:sz="4" w:space="0" w:color="auto"/>
              <w:bottom w:val="single" w:sz="4" w:space="0" w:color="auto"/>
              <w:right w:val="nil"/>
            </w:tcBorders>
            <w:shd w:val="clear" w:color="auto" w:fill="000000" w:themeFill="text1"/>
            <w:tcMar>
              <w:top w:w="60" w:type="dxa"/>
              <w:left w:w="60" w:type="dxa"/>
              <w:bottom w:w="60" w:type="dxa"/>
              <w:right w:w="60" w:type="dxa"/>
            </w:tcMar>
            <w:vAlign w:val="bottom"/>
          </w:tcPr>
          <w:p w14:paraId="69B029D0"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16" w:type="dxa"/>
            <w:tcBorders>
              <w:top w:val="single" w:sz="4" w:space="0" w:color="auto"/>
              <w:left w:val="single" w:sz="4" w:space="0" w:color="auto"/>
              <w:bottom w:val="single" w:sz="4" w:space="0" w:color="auto"/>
              <w:right w:val="nil"/>
            </w:tcBorders>
            <w:shd w:val="clear" w:color="auto" w:fill="000000" w:themeFill="text1"/>
            <w:tcMar>
              <w:top w:w="60" w:type="dxa"/>
              <w:left w:w="60" w:type="dxa"/>
              <w:bottom w:w="60" w:type="dxa"/>
              <w:right w:w="60" w:type="dxa"/>
            </w:tcMar>
            <w:vAlign w:val="bottom"/>
          </w:tcPr>
          <w:p w14:paraId="2640EF0D"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66" w:type="dxa"/>
            <w:tcBorders>
              <w:top w:val="single" w:sz="4" w:space="0" w:color="auto"/>
              <w:left w:val="single" w:sz="4" w:space="0" w:color="auto"/>
              <w:bottom w:val="single" w:sz="4" w:space="0" w:color="auto"/>
              <w:right w:val="nil"/>
            </w:tcBorders>
            <w:shd w:val="clear" w:color="auto" w:fill="000000" w:themeFill="text1"/>
            <w:tcMar>
              <w:top w:w="60" w:type="dxa"/>
              <w:left w:w="60" w:type="dxa"/>
              <w:bottom w:w="60" w:type="dxa"/>
              <w:right w:w="60" w:type="dxa"/>
            </w:tcMar>
            <w:vAlign w:val="bottom"/>
          </w:tcPr>
          <w:p w14:paraId="241F7B13"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6" w:type="dxa"/>
            <w:tcBorders>
              <w:top w:val="single" w:sz="4" w:space="0" w:color="auto"/>
              <w:left w:val="single" w:sz="4" w:space="0" w:color="auto"/>
              <w:bottom w:val="single" w:sz="4" w:space="0" w:color="auto"/>
              <w:right w:val="nil"/>
            </w:tcBorders>
            <w:shd w:val="clear" w:color="auto" w:fill="000000" w:themeFill="text1"/>
            <w:tcMar>
              <w:top w:w="60" w:type="dxa"/>
              <w:left w:w="60" w:type="dxa"/>
              <w:bottom w:w="60" w:type="dxa"/>
              <w:right w:w="60" w:type="dxa"/>
            </w:tcMar>
            <w:vAlign w:val="bottom"/>
          </w:tcPr>
          <w:p w14:paraId="66C147F7"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6" w:type="dxa"/>
            <w:tcBorders>
              <w:top w:val="single" w:sz="4" w:space="0" w:color="auto"/>
              <w:left w:val="single" w:sz="4" w:space="0" w:color="auto"/>
              <w:bottom w:val="single" w:sz="4" w:space="0" w:color="auto"/>
              <w:right w:val="nil"/>
            </w:tcBorders>
            <w:shd w:val="clear" w:color="auto" w:fill="000000" w:themeFill="text1"/>
            <w:tcMar>
              <w:top w:w="60" w:type="dxa"/>
              <w:left w:w="60" w:type="dxa"/>
              <w:bottom w:w="60" w:type="dxa"/>
              <w:right w:w="60" w:type="dxa"/>
            </w:tcMar>
            <w:vAlign w:val="bottom"/>
          </w:tcPr>
          <w:p w14:paraId="1FF2B430"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6" w:type="dxa"/>
            <w:tcBorders>
              <w:top w:val="single" w:sz="4" w:space="0" w:color="auto"/>
              <w:left w:val="single" w:sz="4" w:space="0" w:color="auto"/>
              <w:bottom w:val="single" w:sz="4" w:space="0" w:color="auto"/>
              <w:right w:val="nil"/>
            </w:tcBorders>
            <w:shd w:val="clear" w:color="auto" w:fill="000000" w:themeFill="text1"/>
            <w:tcMar>
              <w:top w:w="60" w:type="dxa"/>
              <w:left w:w="60" w:type="dxa"/>
              <w:bottom w:w="60" w:type="dxa"/>
              <w:right w:w="60" w:type="dxa"/>
            </w:tcMar>
          </w:tcPr>
          <w:p w14:paraId="3CF746AA"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6" w:type="dxa"/>
            <w:tcBorders>
              <w:top w:val="single" w:sz="4" w:space="0" w:color="auto"/>
              <w:left w:val="single" w:sz="4" w:space="0" w:color="auto"/>
              <w:bottom w:val="single" w:sz="4" w:space="0" w:color="auto"/>
              <w:right w:val="nil"/>
            </w:tcBorders>
            <w:shd w:val="clear" w:color="auto" w:fill="000000" w:themeFill="text1"/>
            <w:tcMar>
              <w:top w:w="60" w:type="dxa"/>
              <w:left w:w="60" w:type="dxa"/>
              <w:bottom w:w="60" w:type="dxa"/>
              <w:right w:w="60" w:type="dxa"/>
            </w:tcMar>
            <w:vAlign w:val="bottom"/>
          </w:tcPr>
          <w:p w14:paraId="755ECE8E"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6" w:type="dxa"/>
            <w:tcBorders>
              <w:top w:val="single" w:sz="4" w:space="0" w:color="auto"/>
              <w:left w:val="single" w:sz="4" w:space="0" w:color="auto"/>
              <w:bottom w:val="single" w:sz="4" w:space="0" w:color="auto"/>
              <w:right w:val="nil"/>
            </w:tcBorders>
            <w:shd w:val="clear" w:color="auto" w:fill="000000" w:themeFill="text1"/>
            <w:tcMar>
              <w:top w:w="60" w:type="dxa"/>
              <w:left w:w="60" w:type="dxa"/>
              <w:bottom w:w="60" w:type="dxa"/>
              <w:right w:w="60" w:type="dxa"/>
            </w:tcMar>
            <w:vAlign w:val="bottom"/>
          </w:tcPr>
          <w:p w14:paraId="512725E1"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4" w:type="dxa"/>
            <w:tcBorders>
              <w:top w:val="single" w:sz="4" w:space="0" w:color="auto"/>
              <w:left w:val="single" w:sz="4" w:space="0" w:color="auto"/>
              <w:bottom w:val="single" w:sz="4" w:space="0" w:color="auto"/>
              <w:right w:val="nil"/>
            </w:tcBorders>
            <w:shd w:val="clear" w:color="auto" w:fill="000000" w:themeFill="text1"/>
            <w:tcMar>
              <w:top w:w="60" w:type="dxa"/>
              <w:left w:w="60" w:type="dxa"/>
              <w:bottom w:w="60" w:type="dxa"/>
              <w:right w:w="60" w:type="dxa"/>
            </w:tcMar>
            <w:vAlign w:val="bottom"/>
          </w:tcPr>
          <w:p w14:paraId="65E51229"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528" w:type="dxa"/>
            <w:tcBorders>
              <w:top w:val="single" w:sz="4" w:space="0" w:color="auto"/>
              <w:left w:val="single" w:sz="4" w:space="0" w:color="auto"/>
              <w:bottom w:val="single" w:sz="4" w:space="0" w:color="auto"/>
              <w:right w:val="single" w:sz="12" w:space="0" w:color="auto"/>
            </w:tcBorders>
            <w:shd w:val="clear" w:color="auto" w:fill="000000" w:themeFill="text1"/>
            <w:tcMar>
              <w:top w:w="60" w:type="dxa"/>
              <w:left w:w="60" w:type="dxa"/>
              <w:bottom w:w="60" w:type="dxa"/>
              <w:right w:w="60" w:type="dxa"/>
            </w:tcMar>
            <w:vAlign w:val="bottom"/>
          </w:tcPr>
          <w:p w14:paraId="1FF69E8A"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876" w:type="dxa"/>
            <w:tcBorders>
              <w:top w:val="single" w:sz="4" w:space="0" w:color="auto"/>
              <w:left w:val="single" w:sz="12" w:space="0" w:color="auto"/>
              <w:bottom w:val="single" w:sz="4" w:space="0" w:color="auto"/>
              <w:right w:val="single" w:sz="12" w:space="0" w:color="auto"/>
            </w:tcBorders>
            <w:shd w:val="clear" w:color="auto" w:fill="000000" w:themeFill="text1"/>
            <w:tcMar>
              <w:top w:w="60" w:type="dxa"/>
              <w:left w:w="60" w:type="dxa"/>
              <w:bottom w:w="60" w:type="dxa"/>
              <w:right w:w="60" w:type="dxa"/>
            </w:tcMar>
            <w:vAlign w:val="bottom"/>
          </w:tcPr>
          <w:p w14:paraId="532CE056" w14:textId="77777777" w:rsidR="00A54846" w:rsidRDefault="00A54846">
            <w:pPr>
              <w:widowControl w:val="0"/>
              <w:shd w:val="clear" w:color="auto" w:fill="auto"/>
              <w:spacing w:after="0" w:line="240" w:lineRule="auto"/>
              <w:jc w:val="center"/>
              <w:rPr>
                <w:rFonts w:eastAsia="Arial Unicode MS" w:cs="Times New Roman"/>
                <w:b/>
                <w:color w:val="000000"/>
                <w:sz w:val="16"/>
                <w:szCs w:val="16"/>
                <w:lang w:val="en-US" w:bidi="en-US"/>
              </w:rPr>
            </w:pPr>
          </w:p>
        </w:tc>
        <w:tc>
          <w:tcPr>
            <w:tcW w:w="905" w:type="dxa"/>
            <w:tcBorders>
              <w:top w:val="single" w:sz="4" w:space="0" w:color="auto"/>
              <w:left w:val="single" w:sz="12" w:space="0" w:color="auto"/>
              <w:bottom w:val="single" w:sz="4" w:space="0" w:color="auto"/>
              <w:right w:val="nil"/>
            </w:tcBorders>
            <w:shd w:val="clear" w:color="auto" w:fill="000000" w:themeFill="text1"/>
            <w:tcMar>
              <w:top w:w="60" w:type="dxa"/>
              <w:left w:w="60" w:type="dxa"/>
              <w:bottom w:w="60" w:type="dxa"/>
              <w:right w:w="60" w:type="dxa"/>
            </w:tcMar>
          </w:tcPr>
          <w:p w14:paraId="7BA712AA"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761" w:type="dxa"/>
            <w:tcBorders>
              <w:top w:val="single" w:sz="4" w:space="0" w:color="auto"/>
              <w:left w:val="single" w:sz="4" w:space="0" w:color="auto"/>
              <w:bottom w:val="single" w:sz="4" w:space="0" w:color="auto"/>
              <w:right w:val="nil"/>
            </w:tcBorders>
            <w:shd w:val="clear" w:color="auto" w:fill="000000" w:themeFill="text1"/>
            <w:tcMar>
              <w:top w:w="60" w:type="dxa"/>
              <w:left w:w="60" w:type="dxa"/>
              <w:bottom w:w="60" w:type="dxa"/>
              <w:right w:w="60" w:type="dxa"/>
            </w:tcMar>
          </w:tcPr>
          <w:p w14:paraId="5383F247"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c>
          <w:tcPr>
            <w:tcW w:w="1059" w:type="dxa"/>
            <w:tcBorders>
              <w:top w:val="single" w:sz="4" w:space="0" w:color="auto"/>
              <w:left w:val="single" w:sz="4" w:space="0" w:color="auto"/>
              <w:bottom w:val="single" w:sz="4" w:space="0" w:color="auto"/>
              <w:right w:val="single" w:sz="4" w:space="0" w:color="auto"/>
            </w:tcBorders>
            <w:shd w:val="clear" w:color="auto" w:fill="000000" w:themeFill="text1"/>
            <w:tcMar>
              <w:top w:w="60" w:type="dxa"/>
              <w:left w:w="60" w:type="dxa"/>
              <w:bottom w:w="60" w:type="dxa"/>
              <w:right w:w="60" w:type="dxa"/>
            </w:tcMar>
          </w:tcPr>
          <w:p w14:paraId="07F264A3" w14:textId="77777777" w:rsidR="00A54846" w:rsidRDefault="00A54846">
            <w:pPr>
              <w:widowControl w:val="0"/>
              <w:shd w:val="clear" w:color="auto" w:fill="auto"/>
              <w:spacing w:after="0" w:line="240" w:lineRule="auto"/>
              <w:jc w:val="center"/>
              <w:rPr>
                <w:rFonts w:eastAsia="Arial Unicode MS" w:cs="Times New Roman"/>
                <w:color w:val="000000"/>
                <w:sz w:val="16"/>
                <w:szCs w:val="16"/>
                <w:lang w:val="en-US" w:bidi="en-US"/>
              </w:rPr>
            </w:pPr>
          </w:p>
        </w:tc>
      </w:tr>
    </w:tbl>
    <w:p w14:paraId="4A87F971" w14:textId="77777777" w:rsidR="00A54846" w:rsidRDefault="00A54846">
      <w:pPr>
        <w:pStyle w:val="Para"/>
        <w:spacing w:line="240" w:lineRule="auto"/>
        <w:jc w:val="left"/>
        <w:rPr>
          <w:noProof/>
          <w:lang w:val="en-US"/>
        </w:rPr>
      </w:pPr>
    </w:p>
    <w:p w14:paraId="5D7949BA" w14:textId="77777777" w:rsidR="00A54846" w:rsidRDefault="008A2731">
      <w:pPr>
        <w:pStyle w:val="Para"/>
        <w:spacing w:line="240" w:lineRule="auto"/>
        <w:jc w:val="left"/>
      </w:pPr>
      <w:r>
        <w:br w:type="page"/>
      </w:r>
    </w:p>
    <w:tbl>
      <w:tblPr>
        <w:tblOverlap w:val="never"/>
        <w:tblW w:w="0" w:type="auto"/>
        <w:tblInd w:w="72" w:type="dxa"/>
        <w:tblLayout w:type="fixed"/>
        <w:tblCellMar>
          <w:left w:w="10" w:type="dxa"/>
          <w:right w:w="10" w:type="dxa"/>
        </w:tblCellMar>
        <w:tblLook w:val="04A0" w:firstRow="1" w:lastRow="0" w:firstColumn="1" w:lastColumn="0" w:noHBand="0" w:noVBand="1"/>
      </w:tblPr>
      <w:tblGrid>
        <w:gridCol w:w="2484"/>
        <w:gridCol w:w="528"/>
        <w:gridCol w:w="852"/>
        <w:gridCol w:w="444"/>
        <w:gridCol w:w="494"/>
        <w:gridCol w:w="494"/>
        <w:gridCol w:w="494"/>
        <w:gridCol w:w="494"/>
        <w:gridCol w:w="494"/>
        <w:gridCol w:w="494"/>
        <w:gridCol w:w="495"/>
        <w:gridCol w:w="495"/>
        <w:gridCol w:w="494"/>
        <w:gridCol w:w="494"/>
        <w:gridCol w:w="494"/>
        <w:gridCol w:w="494"/>
        <w:gridCol w:w="528"/>
        <w:gridCol w:w="16"/>
        <w:gridCol w:w="860"/>
        <w:gridCol w:w="905"/>
        <w:gridCol w:w="761"/>
        <w:gridCol w:w="996"/>
      </w:tblGrid>
      <w:tr w:rsidR="00A54846" w14:paraId="79C2BFB2" w14:textId="77777777">
        <w:trPr>
          <w:trHeight w:val="370"/>
          <w:tblHeader/>
        </w:trPr>
        <w:tc>
          <w:tcPr>
            <w:tcW w:w="4308" w:type="dxa"/>
            <w:gridSpan w:val="4"/>
            <w:shd w:val="clear" w:color="auto" w:fill="FFFFFF"/>
            <w:tcMar>
              <w:top w:w="60" w:type="dxa"/>
              <w:left w:w="60" w:type="dxa"/>
              <w:bottom w:w="60" w:type="dxa"/>
              <w:right w:w="60" w:type="dxa"/>
            </w:tcMar>
          </w:tcPr>
          <w:p w14:paraId="110E5112"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2964" w:type="dxa"/>
            <w:gridSpan w:val="6"/>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6D48D39D"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Kriterier for vesentlig bidrag</w:t>
            </w:r>
          </w:p>
        </w:tc>
        <w:tc>
          <w:tcPr>
            <w:tcW w:w="2966" w:type="dxa"/>
            <w:gridSpan w:val="6"/>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1DEB1118" w14:textId="77777777" w:rsidR="00A54846" w:rsidRDefault="008A2731">
            <w:pPr>
              <w:widowControl w:val="0"/>
              <w:shd w:val="clear" w:color="auto" w:fill="auto"/>
              <w:spacing w:after="120" w:line="200" w:lineRule="exact"/>
              <w:jc w:val="center"/>
              <w:rPr>
                <w:rFonts w:ascii="Helvetica" w:eastAsia="Arial Unicode MS" w:hAnsi="Helvetica" w:cs="Times New Roman"/>
                <w:color w:val="000000"/>
                <w:sz w:val="16"/>
                <w:szCs w:val="16"/>
              </w:rPr>
            </w:pPr>
            <w:r>
              <w:rPr>
                <w:rFonts w:ascii="Helvetica" w:hAnsi="Helvetica"/>
                <w:color w:val="000000"/>
                <w:sz w:val="16"/>
              </w:rPr>
              <w:t>Kriterier mht. at aktiviteten ikke er til betydelig skade</w:t>
            </w:r>
          </w:p>
          <w:p w14:paraId="5DFB7E4A"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(DNSH)</w:t>
            </w:r>
          </w:p>
        </w:tc>
        <w:tc>
          <w:tcPr>
            <w:tcW w:w="4066" w:type="dxa"/>
            <w:gridSpan w:val="6"/>
            <w:tcBorders>
              <w:top w:val="nil"/>
              <w:left w:val="single" w:sz="4" w:space="0" w:color="auto"/>
              <w:bottom w:val="nil"/>
              <w:right w:val="nil"/>
            </w:tcBorders>
            <w:shd w:val="clear" w:color="auto" w:fill="FFFFFF"/>
            <w:tcMar>
              <w:top w:w="60" w:type="dxa"/>
              <w:left w:w="60" w:type="dxa"/>
              <w:bottom w:w="60" w:type="dxa"/>
              <w:right w:w="60" w:type="dxa"/>
            </w:tcMar>
          </w:tcPr>
          <w:p w14:paraId="1428BC0B"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r>
      <w:tr w:rsidR="00A54846" w14:paraId="1C2FEE5C" w14:textId="77777777">
        <w:trPr>
          <w:trHeight w:val="2854"/>
          <w:tblHeader/>
        </w:trPr>
        <w:tc>
          <w:tcPr>
            <w:tcW w:w="248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3F40F75D" w14:textId="77777777" w:rsidR="00A54846" w:rsidRDefault="008A2731">
            <w:pPr>
              <w:widowControl w:val="0"/>
              <w:shd w:val="clear" w:color="auto" w:fill="auto"/>
              <w:spacing w:after="0" w:line="200" w:lineRule="exact"/>
              <w:jc w:val="left"/>
              <w:rPr>
                <w:rFonts w:ascii="Helvetica" w:eastAsia="Arial Unicode MS" w:hAnsi="Helvetica" w:cs="Times New Roman"/>
                <w:b/>
                <w:color w:val="000000"/>
                <w:sz w:val="16"/>
                <w:szCs w:val="16"/>
              </w:rPr>
            </w:pPr>
            <w:r>
              <w:rPr>
                <w:rFonts w:ascii="Helvetica" w:hAnsi="Helvetica"/>
                <w:b/>
                <w:color w:val="000000"/>
                <w:sz w:val="16"/>
              </w:rPr>
              <w:t>Økonomiske aktiviteter (1)</w:t>
            </w: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3A5E939C"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Kode(r) (2)</w:t>
            </w:r>
          </w:p>
        </w:tc>
        <w:tc>
          <w:tcPr>
            <w:tcW w:w="852"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5951A5EE" w14:textId="77777777" w:rsidR="00A54846" w:rsidRDefault="008A2731">
            <w:pPr>
              <w:widowControl w:val="0"/>
              <w:shd w:val="clear" w:color="auto" w:fill="auto"/>
              <w:spacing w:line="200" w:lineRule="exact"/>
              <w:jc w:val="center"/>
              <w:rPr>
                <w:rFonts w:ascii="Helvetica" w:eastAsia="Arial Unicode MS" w:hAnsi="Helvetica" w:cs="Times New Roman"/>
                <w:b/>
                <w:color w:val="000000"/>
                <w:sz w:val="16"/>
                <w:szCs w:val="16"/>
              </w:rPr>
            </w:pPr>
            <w:r>
              <w:rPr>
                <w:rFonts w:ascii="Helvetica" w:hAnsi="Helvetica"/>
                <w:b/>
                <w:color w:val="000000"/>
                <w:sz w:val="16"/>
              </w:rPr>
              <w:t>Absolutte driftsutgifter (3)</w:t>
            </w:r>
          </w:p>
        </w:tc>
        <w:tc>
          <w:tcPr>
            <w:tcW w:w="44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2C5788A2"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Andel av driftsutgiftene (4)</w:t>
            </w:r>
          </w:p>
        </w:tc>
        <w:tc>
          <w:tcPr>
            <w:tcW w:w="49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35217B48"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Begrensning av klimaendringer (5)</w:t>
            </w:r>
          </w:p>
        </w:tc>
        <w:tc>
          <w:tcPr>
            <w:tcW w:w="49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6083371F"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Tilpasning til klimaendringer (6)</w:t>
            </w:r>
          </w:p>
        </w:tc>
        <w:tc>
          <w:tcPr>
            <w:tcW w:w="49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24E6826B"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Vann- og havressurser (7)</w:t>
            </w:r>
          </w:p>
        </w:tc>
        <w:tc>
          <w:tcPr>
            <w:tcW w:w="49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3A261AC3"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Sirkulær økonomi (8)</w:t>
            </w:r>
          </w:p>
        </w:tc>
        <w:tc>
          <w:tcPr>
            <w:tcW w:w="49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62DD8726"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Forurensning (9)</w:t>
            </w:r>
          </w:p>
        </w:tc>
        <w:tc>
          <w:tcPr>
            <w:tcW w:w="49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6796B49D"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Biologisk mangfold og økosystemer (10)</w:t>
            </w:r>
          </w:p>
        </w:tc>
        <w:tc>
          <w:tcPr>
            <w:tcW w:w="495"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1B9BD5E3"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Begrensning av klimaendringer (11)</w:t>
            </w:r>
          </w:p>
        </w:tc>
        <w:tc>
          <w:tcPr>
            <w:tcW w:w="495"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446919B1"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Tilpasning til klimaendringer (12)</w:t>
            </w:r>
          </w:p>
        </w:tc>
        <w:tc>
          <w:tcPr>
            <w:tcW w:w="49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0F0B65EF"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Vann- og havressurser (13)</w:t>
            </w:r>
          </w:p>
        </w:tc>
        <w:tc>
          <w:tcPr>
            <w:tcW w:w="49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43523201"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Sirkulær økonomi (14)</w:t>
            </w:r>
          </w:p>
        </w:tc>
        <w:tc>
          <w:tcPr>
            <w:tcW w:w="49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43552256"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Forurensning (15)</w:t>
            </w:r>
          </w:p>
        </w:tc>
        <w:tc>
          <w:tcPr>
            <w:tcW w:w="49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extDirection w:val="tbRl"/>
            <w:vAlign w:val="bottom"/>
            <w:hideMark/>
          </w:tcPr>
          <w:p w14:paraId="34130C25"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Biologisk mangfold og økosystemer (16)</w:t>
            </w:r>
          </w:p>
        </w:tc>
        <w:tc>
          <w:tcPr>
            <w:tcW w:w="528" w:type="dxa"/>
            <w:tcBorders>
              <w:top w:val="single" w:sz="4" w:space="0" w:color="auto"/>
              <w:left w:val="single" w:sz="4" w:space="0" w:color="auto"/>
              <w:bottom w:val="nil"/>
              <w:right w:val="single" w:sz="12" w:space="0" w:color="auto"/>
            </w:tcBorders>
            <w:shd w:val="clear" w:color="auto" w:fill="FFFFFF"/>
            <w:tcMar>
              <w:top w:w="60" w:type="dxa"/>
              <w:left w:w="60" w:type="dxa"/>
              <w:bottom w:w="60" w:type="dxa"/>
              <w:right w:w="60" w:type="dxa"/>
            </w:tcMar>
            <w:textDirection w:val="tbRl"/>
            <w:vAlign w:val="bottom"/>
            <w:hideMark/>
          </w:tcPr>
          <w:p w14:paraId="59C5A52E" w14:textId="77777777" w:rsidR="00A54846" w:rsidRDefault="008A2731">
            <w:pPr>
              <w:widowControl w:val="0"/>
              <w:shd w:val="clear" w:color="auto" w:fill="auto"/>
              <w:spacing w:after="60" w:line="200" w:lineRule="exact"/>
              <w:jc w:val="center"/>
              <w:rPr>
                <w:rFonts w:ascii="Helvetica" w:eastAsia="Arial Unicode MS" w:hAnsi="Helvetica" w:cs="Times New Roman"/>
                <w:b/>
                <w:color w:val="000000"/>
                <w:sz w:val="16"/>
                <w:szCs w:val="16"/>
              </w:rPr>
            </w:pPr>
            <w:r>
              <w:rPr>
                <w:rFonts w:ascii="Helvetica" w:hAnsi="Helvetica"/>
                <w:b/>
                <w:color w:val="000000"/>
                <w:sz w:val="16"/>
              </w:rPr>
              <w:t>Minstegarantier (17)</w:t>
            </w:r>
          </w:p>
        </w:tc>
        <w:tc>
          <w:tcPr>
            <w:tcW w:w="876" w:type="dxa"/>
            <w:gridSpan w:val="2"/>
            <w:tcBorders>
              <w:top w:val="single" w:sz="12" w:space="0" w:color="auto"/>
              <w:left w:val="single" w:sz="12" w:space="0" w:color="auto"/>
              <w:bottom w:val="nil"/>
              <w:right w:val="single" w:sz="12" w:space="0" w:color="auto"/>
            </w:tcBorders>
            <w:shd w:val="clear" w:color="auto" w:fill="FFFFFF"/>
            <w:tcMar>
              <w:top w:w="60" w:type="dxa"/>
              <w:left w:w="60" w:type="dxa"/>
              <w:bottom w:w="60" w:type="dxa"/>
              <w:right w:w="60" w:type="dxa"/>
            </w:tcMar>
            <w:vAlign w:val="center"/>
            <w:hideMark/>
          </w:tcPr>
          <w:p w14:paraId="0E5EC954" w14:textId="4A92E7A9"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Takson</w:t>
            </w:r>
            <w:r w:rsidR="00A216F4">
              <w:rPr>
                <w:rFonts w:ascii="Helvetica" w:hAnsi="Helvetica"/>
                <w:b/>
                <w:color w:val="000000"/>
                <w:sz w:val="16"/>
              </w:rPr>
              <w:softHyphen/>
            </w:r>
            <w:r>
              <w:rPr>
                <w:rFonts w:ascii="Helvetica" w:hAnsi="Helvetica"/>
                <w:b/>
                <w:color w:val="000000"/>
                <w:sz w:val="16"/>
              </w:rPr>
              <w:t>omiforen</w:t>
            </w:r>
            <w:r w:rsidR="00A216F4">
              <w:rPr>
                <w:rFonts w:ascii="Helvetica" w:hAnsi="Helvetica"/>
                <w:b/>
                <w:color w:val="000000"/>
                <w:sz w:val="16"/>
              </w:rPr>
              <w:softHyphen/>
            </w:r>
            <w:r>
              <w:rPr>
                <w:rFonts w:ascii="Helvetica" w:hAnsi="Helvetica"/>
                <w:b/>
                <w:color w:val="000000"/>
                <w:sz w:val="16"/>
              </w:rPr>
              <w:t>lig andel av driftsut</w:t>
            </w:r>
            <w:r w:rsidR="00A216F4">
              <w:rPr>
                <w:rFonts w:ascii="Helvetica" w:hAnsi="Helvetica"/>
                <w:b/>
                <w:color w:val="000000"/>
                <w:sz w:val="16"/>
              </w:rPr>
              <w:softHyphen/>
            </w:r>
            <w:r>
              <w:rPr>
                <w:rFonts w:ascii="Helvetica" w:hAnsi="Helvetica"/>
                <w:b/>
                <w:color w:val="000000"/>
                <w:sz w:val="16"/>
              </w:rPr>
              <w:t>giftene, år N (18)</w:t>
            </w:r>
          </w:p>
        </w:tc>
        <w:tc>
          <w:tcPr>
            <w:tcW w:w="905" w:type="dxa"/>
            <w:tcBorders>
              <w:top w:val="single" w:sz="4" w:space="0" w:color="auto"/>
              <w:left w:val="single" w:sz="12" w:space="0" w:color="auto"/>
              <w:right w:val="nil"/>
            </w:tcBorders>
            <w:shd w:val="clear" w:color="auto" w:fill="FFFFFF"/>
            <w:tcMar>
              <w:top w:w="60" w:type="dxa"/>
              <w:left w:w="60" w:type="dxa"/>
              <w:bottom w:w="60" w:type="dxa"/>
              <w:right w:w="60" w:type="dxa"/>
            </w:tcMar>
            <w:vAlign w:val="center"/>
            <w:hideMark/>
          </w:tcPr>
          <w:p w14:paraId="655E5968" w14:textId="041E6387"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Takson</w:t>
            </w:r>
            <w:r w:rsidR="00A216F4">
              <w:rPr>
                <w:rFonts w:ascii="Helvetica" w:hAnsi="Helvetica"/>
                <w:b/>
                <w:color w:val="000000"/>
                <w:sz w:val="16"/>
              </w:rPr>
              <w:softHyphen/>
            </w:r>
            <w:r>
              <w:rPr>
                <w:rFonts w:ascii="Helvetica" w:hAnsi="Helvetica"/>
                <w:b/>
                <w:color w:val="000000"/>
                <w:sz w:val="16"/>
              </w:rPr>
              <w:t>omiforen</w:t>
            </w:r>
            <w:r w:rsidR="00A216F4">
              <w:rPr>
                <w:rFonts w:ascii="Helvetica" w:hAnsi="Helvetica"/>
                <w:b/>
                <w:color w:val="000000"/>
                <w:sz w:val="16"/>
              </w:rPr>
              <w:softHyphen/>
            </w:r>
            <w:r>
              <w:rPr>
                <w:rFonts w:ascii="Helvetica" w:hAnsi="Helvetica"/>
                <w:b/>
                <w:color w:val="000000"/>
                <w:sz w:val="16"/>
              </w:rPr>
              <w:t>lig andel av driftsut</w:t>
            </w:r>
            <w:r w:rsidR="00A216F4">
              <w:rPr>
                <w:rFonts w:ascii="Helvetica" w:hAnsi="Helvetica"/>
                <w:b/>
                <w:color w:val="000000"/>
                <w:sz w:val="16"/>
              </w:rPr>
              <w:softHyphen/>
            </w:r>
            <w:r>
              <w:rPr>
                <w:rFonts w:ascii="Helvetica" w:hAnsi="Helvetica"/>
                <w:b/>
                <w:color w:val="000000"/>
                <w:sz w:val="16"/>
              </w:rPr>
              <w:t>giftene, år N-1 (19)</w:t>
            </w:r>
          </w:p>
        </w:tc>
        <w:tc>
          <w:tcPr>
            <w:tcW w:w="761" w:type="dxa"/>
            <w:tcBorders>
              <w:top w:val="single" w:sz="4" w:space="0" w:color="auto"/>
              <w:left w:val="single" w:sz="4" w:space="0" w:color="auto"/>
              <w:right w:val="nil"/>
            </w:tcBorders>
            <w:shd w:val="clear" w:color="auto" w:fill="FFFFFF"/>
            <w:tcMar>
              <w:top w:w="60" w:type="dxa"/>
              <w:left w:w="60" w:type="dxa"/>
              <w:bottom w:w="60" w:type="dxa"/>
              <w:right w:w="60" w:type="dxa"/>
            </w:tcMar>
            <w:vAlign w:val="center"/>
            <w:hideMark/>
          </w:tcPr>
          <w:p w14:paraId="6F98C5F7" w14:textId="4A66AB25"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Kate</w:t>
            </w:r>
            <w:r w:rsidR="00A216F4">
              <w:rPr>
                <w:rFonts w:ascii="Helvetica" w:hAnsi="Helvetica"/>
                <w:b/>
                <w:color w:val="000000"/>
                <w:sz w:val="16"/>
              </w:rPr>
              <w:softHyphen/>
            </w:r>
            <w:r>
              <w:rPr>
                <w:rFonts w:ascii="Helvetica" w:hAnsi="Helvetica"/>
                <w:b/>
                <w:color w:val="000000"/>
                <w:sz w:val="16"/>
              </w:rPr>
              <w:t>gori (mulig</w:t>
            </w:r>
            <w:r w:rsidR="00A216F4">
              <w:rPr>
                <w:rFonts w:ascii="Helvetica" w:hAnsi="Helvetica"/>
                <w:b/>
                <w:color w:val="000000"/>
                <w:sz w:val="16"/>
              </w:rPr>
              <w:softHyphen/>
            </w:r>
            <w:r>
              <w:rPr>
                <w:rFonts w:ascii="Helvetica" w:hAnsi="Helvetica"/>
                <w:b/>
                <w:color w:val="000000"/>
                <w:sz w:val="16"/>
              </w:rPr>
              <w:t>gjør</w:t>
            </w:r>
            <w:r w:rsidR="00A216F4">
              <w:rPr>
                <w:rFonts w:ascii="Helvetica" w:hAnsi="Helvetica"/>
                <w:b/>
                <w:color w:val="000000"/>
                <w:sz w:val="16"/>
              </w:rPr>
              <w:softHyphen/>
            </w:r>
            <w:r>
              <w:rPr>
                <w:rFonts w:ascii="Helvetica" w:hAnsi="Helvetica"/>
                <w:b/>
                <w:color w:val="000000"/>
                <w:sz w:val="16"/>
              </w:rPr>
              <w:t>ende aktivitet) (20)</w:t>
            </w:r>
          </w:p>
        </w:tc>
        <w:tc>
          <w:tcPr>
            <w:tcW w:w="996" w:type="dxa"/>
            <w:tcBorders>
              <w:top w:val="single" w:sz="4" w:space="0" w:color="auto"/>
              <w:left w:val="single" w:sz="4" w:space="0" w:color="auto"/>
              <w:right w:val="single" w:sz="4" w:space="0" w:color="auto"/>
            </w:tcBorders>
            <w:shd w:val="clear" w:color="auto" w:fill="FFFFFF"/>
            <w:tcMar>
              <w:top w:w="60" w:type="dxa"/>
              <w:left w:w="60" w:type="dxa"/>
              <w:bottom w:w="60" w:type="dxa"/>
              <w:right w:w="60" w:type="dxa"/>
            </w:tcMar>
            <w:vAlign w:val="center"/>
            <w:hideMark/>
          </w:tcPr>
          <w:p w14:paraId="52EF971B" w14:textId="78042B4C"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Kategori (omstill</w:t>
            </w:r>
            <w:r w:rsidR="00A216F4">
              <w:rPr>
                <w:rFonts w:ascii="Helvetica" w:hAnsi="Helvetica"/>
                <w:b/>
                <w:color w:val="000000"/>
                <w:sz w:val="16"/>
              </w:rPr>
              <w:softHyphen/>
            </w:r>
            <w:r>
              <w:rPr>
                <w:rFonts w:ascii="Helvetica" w:hAnsi="Helvetica"/>
                <w:b/>
                <w:color w:val="000000"/>
                <w:sz w:val="16"/>
              </w:rPr>
              <w:t>ingsaktivi</w:t>
            </w:r>
            <w:r w:rsidR="00A216F4">
              <w:rPr>
                <w:rFonts w:ascii="Helvetica" w:hAnsi="Helvetica"/>
                <w:b/>
                <w:color w:val="000000"/>
                <w:sz w:val="16"/>
              </w:rPr>
              <w:softHyphen/>
            </w:r>
            <w:r>
              <w:rPr>
                <w:rFonts w:ascii="Helvetica" w:hAnsi="Helvetica"/>
                <w:b/>
                <w:color w:val="000000"/>
                <w:sz w:val="16"/>
              </w:rPr>
              <w:t>tet)</w:t>
            </w:r>
          </w:p>
          <w:p w14:paraId="4C84C2BF" w14:textId="77777777"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(21)</w:t>
            </w:r>
          </w:p>
        </w:tc>
      </w:tr>
      <w:tr w:rsidR="00A54846" w14:paraId="429C6DD7" w14:textId="77777777">
        <w:trPr>
          <w:cantSplit/>
          <w:tblHeader/>
        </w:trPr>
        <w:tc>
          <w:tcPr>
            <w:tcW w:w="2484" w:type="dxa"/>
            <w:tcBorders>
              <w:top w:val="nil"/>
              <w:left w:val="single" w:sz="4" w:space="0" w:color="auto"/>
              <w:bottom w:val="nil"/>
              <w:right w:val="nil"/>
            </w:tcBorders>
            <w:shd w:val="clear" w:color="auto" w:fill="FFFFFF"/>
            <w:tcMar>
              <w:top w:w="60" w:type="dxa"/>
              <w:left w:w="60" w:type="dxa"/>
              <w:bottom w:w="60" w:type="dxa"/>
              <w:right w:w="60" w:type="dxa"/>
            </w:tcMar>
            <w:vAlign w:val="center"/>
          </w:tcPr>
          <w:p w14:paraId="75D7F225"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528" w:type="dxa"/>
            <w:tcBorders>
              <w:top w:val="nil"/>
              <w:left w:val="single" w:sz="4" w:space="0" w:color="auto"/>
              <w:bottom w:val="nil"/>
              <w:right w:val="nil"/>
            </w:tcBorders>
            <w:shd w:val="clear" w:color="auto" w:fill="FFFFFF"/>
            <w:tcMar>
              <w:top w:w="60" w:type="dxa"/>
              <w:left w:w="60" w:type="dxa"/>
              <w:bottom w:w="60" w:type="dxa"/>
              <w:right w:w="60" w:type="dxa"/>
            </w:tcMar>
            <w:textDirection w:val="tbRl"/>
            <w:vAlign w:val="center"/>
          </w:tcPr>
          <w:p w14:paraId="78717484"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852" w:type="dxa"/>
            <w:tcBorders>
              <w:top w:val="nil"/>
              <w:left w:val="single" w:sz="4" w:space="0" w:color="auto"/>
              <w:bottom w:val="nil"/>
              <w:right w:val="nil"/>
            </w:tcBorders>
            <w:tcMar>
              <w:top w:w="60" w:type="dxa"/>
              <w:left w:w="60" w:type="dxa"/>
              <w:bottom w:w="60" w:type="dxa"/>
              <w:right w:w="60" w:type="dxa"/>
            </w:tcMar>
            <w:vAlign w:val="center"/>
            <w:hideMark/>
          </w:tcPr>
          <w:p w14:paraId="338FEE8E"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Valuta</w:t>
            </w:r>
          </w:p>
        </w:tc>
        <w:tc>
          <w:tcPr>
            <w:tcW w:w="444" w:type="dxa"/>
            <w:tcBorders>
              <w:top w:val="nil"/>
              <w:left w:val="single" w:sz="4" w:space="0" w:color="auto"/>
              <w:bottom w:val="nil"/>
              <w:right w:val="nil"/>
            </w:tcBorders>
            <w:tcMar>
              <w:top w:w="60" w:type="dxa"/>
              <w:left w:w="60" w:type="dxa"/>
              <w:bottom w:w="60" w:type="dxa"/>
              <w:right w:w="60" w:type="dxa"/>
            </w:tcMar>
            <w:vAlign w:val="center"/>
            <w:hideMark/>
          </w:tcPr>
          <w:p w14:paraId="33BF8824"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w:t>
            </w:r>
          </w:p>
        </w:tc>
        <w:tc>
          <w:tcPr>
            <w:tcW w:w="494" w:type="dxa"/>
            <w:tcBorders>
              <w:top w:val="nil"/>
              <w:left w:val="single" w:sz="4" w:space="0" w:color="auto"/>
              <w:bottom w:val="nil"/>
              <w:right w:val="nil"/>
            </w:tcBorders>
            <w:tcMar>
              <w:top w:w="60" w:type="dxa"/>
              <w:left w:w="60" w:type="dxa"/>
              <w:bottom w:w="60" w:type="dxa"/>
              <w:right w:w="60" w:type="dxa"/>
            </w:tcMar>
            <w:vAlign w:val="center"/>
            <w:hideMark/>
          </w:tcPr>
          <w:p w14:paraId="55D69CA7"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w:t>
            </w:r>
          </w:p>
        </w:tc>
        <w:tc>
          <w:tcPr>
            <w:tcW w:w="494" w:type="dxa"/>
            <w:tcBorders>
              <w:top w:val="nil"/>
              <w:left w:val="single" w:sz="4" w:space="0" w:color="auto"/>
              <w:bottom w:val="nil"/>
              <w:right w:val="nil"/>
            </w:tcBorders>
            <w:tcMar>
              <w:top w:w="60" w:type="dxa"/>
              <w:left w:w="60" w:type="dxa"/>
              <w:bottom w:w="60" w:type="dxa"/>
              <w:right w:w="60" w:type="dxa"/>
            </w:tcMar>
            <w:vAlign w:val="center"/>
            <w:hideMark/>
          </w:tcPr>
          <w:p w14:paraId="254488C3"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w:t>
            </w:r>
          </w:p>
        </w:tc>
        <w:tc>
          <w:tcPr>
            <w:tcW w:w="494" w:type="dxa"/>
            <w:tcBorders>
              <w:top w:val="nil"/>
              <w:left w:val="single" w:sz="4" w:space="0" w:color="auto"/>
              <w:bottom w:val="nil"/>
              <w:right w:val="nil"/>
            </w:tcBorders>
            <w:tcMar>
              <w:top w:w="60" w:type="dxa"/>
              <w:left w:w="60" w:type="dxa"/>
              <w:bottom w:w="60" w:type="dxa"/>
              <w:right w:w="60" w:type="dxa"/>
            </w:tcMar>
            <w:vAlign w:val="center"/>
            <w:hideMark/>
          </w:tcPr>
          <w:p w14:paraId="513F6F5D"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w:t>
            </w:r>
          </w:p>
        </w:tc>
        <w:tc>
          <w:tcPr>
            <w:tcW w:w="494" w:type="dxa"/>
            <w:tcBorders>
              <w:top w:val="nil"/>
              <w:left w:val="single" w:sz="4" w:space="0" w:color="auto"/>
              <w:bottom w:val="nil"/>
              <w:right w:val="nil"/>
            </w:tcBorders>
            <w:tcMar>
              <w:top w:w="60" w:type="dxa"/>
              <w:left w:w="60" w:type="dxa"/>
              <w:bottom w:w="60" w:type="dxa"/>
              <w:right w:w="60" w:type="dxa"/>
            </w:tcMar>
            <w:vAlign w:val="center"/>
            <w:hideMark/>
          </w:tcPr>
          <w:p w14:paraId="09A02A6A"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w:t>
            </w:r>
          </w:p>
        </w:tc>
        <w:tc>
          <w:tcPr>
            <w:tcW w:w="494" w:type="dxa"/>
            <w:tcBorders>
              <w:top w:val="nil"/>
              <w:left w:val="single" w:sz="4" w:space="0" w:color="auto"/>
              <w:bottom w:val="nil"/>
              <w:right w:val="nil"/>
            </w:tcBorders>
            <w:tcMar>
              <w:top w:w="60" w:type="dxa"/>
              <w:left w:w="60" w:type="dxa"/>
              <w:bottom w:w="60" w:type="dxa"/>
              <w:right w:w="60" w:type="dxa"/>
            </w:tcMar>
            <w:vAlign w:val="center"/>
            <w:hideMark/>
          </w:tcPr>
          <w:p w14:paraId="6087E000"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w:t>
            </w:r>
          </w:p>
        </w:tc>
        <w:tc>
          <w:tcPr>
            <w:tcW w:w="494" w:type="dxa"/>
            <w:tcBorders>
              <w:top w:val="nil"/>
              <w:left w:val="single" w:sz="4" w:space="0" w:color="auto"/>
              <w:bottom w:val="nil"/>
              <w:right w:val="nil"/>
            </w:tcBorders>
            <w:tcMar>
              <w:top w:w="60" w:type="dxa"/>
              <w:left w:w="60" w:type="dxa"/>
              <w:bottom w:w="60" w:type="dxa"/>
              <w:right w:w="60" w:type="dxa"/>
            </w:tcMar>
            <w:vAlign w:val="center"/>
            <w:hideMark/>
          </w:tcPr>
          <w:p w14:paraId="57A94261"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w:t>
            </w:r>
          </w:p>
        </w:tc>
        <w:tc>
          <w:tcPr>
            <w:tcW w:w="495" w:type="dxa"/>
            <w:tcBorders>
              <w:top w:val="nil"/>
              <w:left w:val="single" w:sz="4" w:space="0" w:color="auto"/>
              <w:bottom w:val="nil"/>
              <w:right w:val="nil"/>
            </w:tcBorders>
            <w:tcMar>
              <w:top w:w="60" w:type="dxa"/>
              <w:left w:w="60" w:type="dxa"/>
              <w:bottom w:w="60" w:type="dxa"/>
              <w:right w:w="60" w:type="dxa"/>
            </w:tcMar>
            <w:vAlign w:val="center"/>
            <w:hideMark/>
          </w:tcPr>
          <w:p w14:paraId="1364700A"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Ja/Nei</w:t>
            </w:r>
          </w:p>
        </w:tc>
        <w:tc>
          <w:tcPr>
            <w:tcW w:w="495" w:type="dxa"/>
            <w:tcBorders>
              <w:top w:val="nil"/>
              <w:left w:val="single" w:sz="4" w:space="0" w:color="auto"/>
              <w:bottom w:val="nil"/>
              <w:right w:val="nil"/>
            </w:tcBorders>
            <w:tcMar>
              <w:top w:w="60" w:type="dxa"/>
              <w:left w:w="60" w:type="dxa"/>
              <w:bottom w:w="60" w:type="dxa"/>
              <w:right w:w="60" w:type="dxa"/>
            </w:tcMar>
            <w:vAlign w:val="center"/>
            <w:hideMark/>
          </w:tcPr>
          <w:p w14:paraId="0F2AD939"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Ja/Nei</w:t>
            </w:r>
          </w:p>
        </w:tc>
        <w:tc>
          <w:tcPr>
            <w:tcW w:w="494" w:type="dxa"/>
            <w:tcBorders>
              <w:top w:val="nil"/>
              <w:left w:val="single" w:sz="4" w:space="0" w:color="auto"/>
              <w:bottom w:val="nil"/>
              <w:right w:val="nil"/>
            </w:tcBorders>
            <w:tcMar>
              <w:top w:w="60" w:type="dxa"/>
              <w:left w:w="60" w:type="dxa"/>
              <w:bottom w:w="60" w:type="dxa"/>
              <w:right w:w="60" w:type="dxa"/>
            </w:tcMar>
            <w:vAlign w:val="center"/>
            <w:hideMark/>
          </w:tcPr>
          <w:p w14:paraId="79DC0BE9"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Ja/Nei</w:t>
            </w:r>
          </w:p>
        </w:tc>
        <w:tc>
          <w:tcPr>
            <w:tcW w:w="494" w:type="dxa"/>
            <w:tcBorders>
              <w:top w:val="nil"/>
              <w:left w:val="single" w:sz="4" w:space="0" w:color="auto"/>
              <w:bottom w:val="nil"/>
              <w:right w:val="nil"/>
            </w:tcBorders>
            <w:tcMar>
              <w:top w:w="60" w:type="dxa"/>
              <w:left w:w="60" w:type="dxa"/>
              <w:bottom w:w="60" w:type="dxa"/>
              <w:right w:w="60" w:type="dxa"/>
            </w:tcMar>
            <w:vAlign w:val="center"/>
            <w:hideMark/>
          </w:tcPr>
          <w:p w14:paraId="09C1F04B"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Ja/Nei</w:t>
            </w:r>
          </w:p>
        </w:tc>
        <w:tc>
          <w:tcPr>
            <w:tcW w:w="494" w:type="dxa"/>
            <w:tcBorders>
              <w:top w:val="nil"/>
              <w:left w:val="single" w:sz="4" w:space="0" w:color="auto"/>
              <w:bottom w:val="nil"/>
              <w:right w:val="nil"/>
            </w:tcBorders>
            <w:tcMar>
              <w:top w:w="60" w:type="dxa"/>
              <w:left w:w="60" w:type="dxa"/>
              <w:bottom w:w="60" w:type="dxa"/>
              <w:right w:w="60" w:type="dxa"/>
            </w:tcMar>
            <w:vAlign w:val="center"/>
            <w:hideMark/>
          </w:tcPr>
          <w:p w14:paraId="702C3074"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Ja/Nei</w:t>
            </w:r>
          </w:p>
        </w:tc>
        <w:tc>
          <w:tcPr>
            <w:tcW w:w="494" w:type="dxa"/>
            <w:tcBorders>
              <w:top w:val="nil"/>
              <w:left w:val="single" w:sz="4" w:space="0" w:color="auto"/>
              <w:bottom w:val="nil"/>
              <w:right w:val="nil"/>
            </w:tcBorders>
            <w:tcMar>
              <w:top w:w="60" w:type="dxa"/>
              <w:left w:w="60" w:type="dxa"/>
              <w:bottom w:w="60" w:type="dxa"/>
              <w:right w:w="60" w:type="dxa"/>
            </w:tcMar>
            <w:vAlign w:val="center"/>
            <w:hideMark/>
          </w:tcPr>
          <w:p w14:paraId="6A4BCFB8"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Ja/Nei</w:t>
            </w:r>
          </w:p>
        </w:tc>
        <w:tc>
          <w:tcPr>
            <w:tcW w:w="528" w:type="dxa"/>
            <w:tcBorders>
              <w:top w:val="nil"/>
              <w:left w:val="single" w:sz="4" w:space="0" w:color="auto"/>
              <w:bottom w:val="nil"/>
              <w:right w:val="single" w:sz="12" w:space="0" w:color="auto"/>
            </w:tcBorders>
            <w:tcMar>
              <w:top w:w="60" w:type="dxa"/>
              <w:left w:w="60" w:type="dxa"/>
              <w:bottom w:w="60" w:type="dxa"/>
              <w:right w:w="60" w:type="dxa"/>
            </w:tcMar>
            <w:vAlign w:val="center"/>
            <w:hideMark/>
          </w:tcPr>
          <w:p w14:paraId="796CB02A"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Ja/Nei</w:t>
            </w:r>
          </w:p>
        </w:tc>
        <w:tc>
          <w:tcPr>
            <w:tcW w:w="876" w:type="dxa"/>
            <w:gridSpan w:val="2"/>
            <w:tcBorders>
              <w:top w:val="nil"/>
              <w:left w:val="single" w:sz="12" w:space="0" w:color="auto"/>
              <w:bottom w:val="single" w:sz="4" w:space="0" w:color="auto"/>
              <w:right w:val="single" w:sz="12" w:space="0" w:color="auto"/>
            </w:tcBorders>
            <w:tcMar>
              <w:top w:w="60" w:type="dxa"/>
              <w:left w:w="60" w:type="dxa"/>
              <w:bottom w:w="60" w:type="dxa"/>
              <w:right w:w="60" w:type="dxa"/>
            </w:tcMar>
            <w:vAlign w:val="center"/>
            <w:hideMark/>
          </w:tcPr>
          <w:p w14:paraId="59AF31CB"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Prosent</w:t>
            </w:r>
          </w:p>
        </w:tc>
        <w:tc>
          <w:tcPr>
            <w:tcW w:w="905" w:type="dxa"/>
            <w:tcBorders>
              <w:top w:val="nil"/>
              <w:left w:val="single" w:sz="12" w:space="0" w:color="auto"/>
              <w:bottom w:val="single" w:sz="4" w:space="0" w:color="auto"/>
              <w:right w:val="nil"/>
            </w:tcBorders>
            <w:tcMar>
              <w:top w:w="60" w:type="dxa"/>
              <w:left w:w="60" w:type="dxa"/>
              <w:bottom w:w="60" w:type="dxa"/>
              <w:right w:w="60" w:type="dxa"/>
            </w:tcMar>
            <w:vAlign w:val="center"/>
            <w:hideMark/>
          </w:tcPr>
          <w:p w14:paraId="31162060"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Prosent</w:t>
            </w:r>
          </w:p>
        </w:tc>
        <w:tc>
          <w:tcPr>
            <w:tcW w:w="761" w:type="dxa"/>
            <w:tcBorders>
              <w:top w:val="nil"/>
              <w:left w:val="single" w:sz="4" w:space="0" w:color="auto"/>
              <w:bottom w:val="single" w:sz="4" w:space="0" w:color="auto"/>
              <w:right w:val="nil"/>
            </w:tcBorders>
            <w:tcMar>
              <w:top w:w="60" w:type="dxa"/>
              <w:left w:w="60" w:type="dxa"/>
              <w:bottom w:w="60" w:type="dxa"/>
              <w:right w:w="60" w:type="dxa"/>
            </w:tcMar>
            <w:vAlign w:val="center"/>
            <w:hideMark/>
          </w:tcPr>
          <w:p w14:paraId="38E4BE5E" w14:textId="52FE0B94"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Mulig</w:t>
            </w:r>
            <w:r w:rsidR="00A216F4">
              <w:rPr>
                <w:rFonts w:ascii="Helvetica" w:hAnsi="Helvetica"/>
                <w:b/>
                <w:color w:val="939393"/>
                <w:sz w:val="16"/>
              </w:rPr>
              <w:softHyphen/>
            </w:r>
            <w:r>
              <w:rPr>
                <w:rFonts w:ascii="Helvetica" w:hAnsi="Helvetica"/>
                <w:b/>
                <w:color w:val="939393"/>
                <w:sz w:val="16"/>
              </w:rPr>
              <w:t>gjøren</w:t>
            </w:r>
            <w:r w:rsidR="00A216F4">
              <w:rPr>
                <w:rFonts w:ascii="Helvetica" w:hAnsi="Helvetica"/>
                <w:b/>
                <w:color w:val="939393"/>
                <w:sz w:val="16"/>
              </w:rPr>
              <w:softHyphen/>
            </w:r>
            <w:r>
              <w:rPr>
                <w:rFonts w:ascii="Helvetica" w:hAnsi="Helvetica"/>
                <w:b/>
                <w:color w:val="939393"/>
                <w:sz w:val="16"/>
              </w:rPr>
              <w:t>de</w:t>
            </w:r>
          </w:p>
        </w:tc>
        <w:tc>
          <w:tcPr>
            <w:tcW w:w="996" w:type="dxa"/>
            <w:tcBorders>
              <w:top w:val="nil"/>
              <w:left w:val="single" w:sz="4" w:space="0" w:color="auto"/>
              <w:bottom w:val="single" w:sz="4" w:space="0" w:color="auto"/>
              <w:right w:val="single" w:sz="4" w:space="0" w:color="auto"/>
            </w:tcBorders>
            <w:tcMar>
              <w:top w:w="60" w:type="dxa"/>
              <w:left w:w="60" w:type="dxa"/>
              <w:bottom w:w="60" w:type="dxa"/>
              <w:right w:w="60" w:type="dxa"/>
            </w:tcMar>
            <w:vAlign w:val="center"/>
            <w:hideMark/>
          </w:tcPr>
          <w:p w14:paraId="3A67FE88" w14:textId="77777777" w:rsidR="00A54846" w:rsidRDefault="008A2731">
            <w:pPr>
              <w:widowControl w:val="0"/>
              <w:shd w:val="clear" w:color="auto" w:fill="auto"/>
              <w:spacing w:after="0" w:line="200" w:lineRule="exact"/>
              <w:jc w:val="center"/>
              <w:rPr>
                <w:rFonts w:ascii="Helvetica" w:eastAsia="Arial Unicode MS" w:hAnsi="Helvetica" w:cs="Times New Roman"/>
                <w:b/>
                <w:color w:val="939393"/>
                <w:sz w:val="16"/>
                <w:szCs w:val="16"/>
              </w:rPr>
            </w:pPr>
            <w:r>
              <w:rPr>
                <w:rFonts w:ascii="Helvetica" w:hAnsi="Helvetica"/>
                <w:b/>
                <w:color w:val="939393"/>
                <w:sz w:val="16"/>
              </w:rPr>
              <w:t>Omstilling</w:t>
            </w:r>
          </w:p>
        </w:tc>
      </w:tr>
      <w:tr w:rsidR="00A54846" w14:paraId="279302F1" w14:textId="77777777">
        <w:trPr>
          <w:trHeight w:val="1100"/>
        </w:trPr>
        <w:tc>
          <w:tcPr>
            <w:tcW w:w="248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062EA10F" w14:textId="77777777" w:rsidR="00A54846" w:rsidRDefault="008A2731">
            <w:pPr>
              <w:widowControl w:val="0"/>
              <w:shd w:val="clear" w:color="auto" w:fill="auto"/>
              <w:spacing w:after="0" w:line="200" w:lineRule="exact"/>
              <w:jc w:val="left"/>
              <w:rPr>
                <w:rFonts w:ascii="Helvetica" w:eastAsia="Arial Unicode MS" w:hAnsi="Helvetica" w:cs="Times New Roman"/>
                <w:b/>
                <w:color w:val="000000"/>
                <w:sz w:val="16"/>
                <w:szCs w:val="16"/>
              </w:rPr>
            </w:pPr>
            <w:r>
              <w:rPr>
                <w:rFonts w:ascii="Helvetica" w:hAnsi="Helvetica"/>
                <w:b/>
                <w:color w:val="000000"/>
                <w:sz w:val="16"/>
              </w:rPr>
              <w:t>Driftsutgifter for aktiviteter som er omfattet av taksonomien, men som ikke er miljømessig bærekraftige (ikke taksonomiforenlige aktiviteter) (A.2)</w:t>
            </w: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45E568A8"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852"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0CECD551"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4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74C0478F" w14:textId="77777777"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w:t>
            </w:r>
          </w:p>
        </w:tc>
        <w:tc>
          <w:tcPr>
            <w:tcW w:w="494" w:type="dxa"/>
            <w:shd w:val="clear" w:color="auto" w:fill="000000" w:themeFill="text1"/>
            <w:tcMar>
              <w:top w:w="60" w:type="dxa"/>
              <w:left w:w="60" w:type="dxa"/>
              <w:bottom w:w="60" w:type="dxa"/>
              <w:right w:w="60" w:type="dxa"/>
            </w:tcMar>
          </w:tcPr>
          <w:p w14:paraId="0F862F90"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29DB6F78"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6250255C"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37B6214D"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61284982"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6198E574"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shd w:val="clear" w:color="auto" w:fill="000000" w:themeFill="text1"/>
            <w:tcMar>
              <w:top w:w="60" w:type="dxa"/>
              <w:left w:w="60" w:type="dxa"/>
              <w:bottom w:w="60" w:type="dxa"/>
              <w:right w:w="60" w:type="dxa"/>
            </w:tcMar>
          </w:tcPr>
          <w:p w14:paraId="41A77C31"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shd w:val="clear" w:color="auto" w:fill="000000" w:themeFill="text1"/>
            <w:tcMar>
              <w:top w:w="60" w:type="dxa"/>
              <w:left w:w="60" w:type="dxa"/>
              <w:bottom w:w="60" w:type="dxa"/>
              <w:right w:w="60" w:type="dxa"/>
            </w:tcMar>
          </w:tcPr>
          <w:p w14:paraId="5154309A"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25D964C1"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1FFB0DAB"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7D480C85"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50153B62"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44" w:type="dxa"/>
            <w:gridSpan w:val="2"/>
            <w:tcBorders>
              <w:top w:val="nil"/>
              <w:left w:val="nil"/>
              <w:bottom w:val="nil"/>
              <w:right w:val="single" w:sz="12" w:space="0" w:color="auto"/>
            </w:tcBorders>
            <w:shd w:val="clear" w:color="auto" w:fill="000000" w:themeFill="text1"/>
            <w:tcMar>
              <w:top w:w="60" w:type="dxa"/>
              <w:left w:w="60" w:type="dxa"/>
              <w:bottom w:w="60" w:type="dxa"/>
              <w:right w:w="60" w:type="dxa"/>
            </w:tcMar>
          </w:tcPr>
          <w:p w14:paraId="5993FC30"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60" w:type="dxa"/>
            <w:tcBorders>
              <w:top w:val="nil"/>
              <w:left w:val="single" w:sz="12" w:space="0" w:color="auto"/>
              <w:bottom w:val="single" w:sz="4" w:space="0" w:color="auto"/>
              <w:right w:val="single" w:sz="12" w:space="0" w:color="auto"/>
            </w:tcBorders>
            <w:shd w:val="clear" w:color="auto" w:fill="FFFFFF"/>
            <w:tcMar>
              <w:top w:w="60" w:type="dxa"/>
              <w:left w:w="60" w:type="dxa"/>
              <w:bottom w:w="60" w:type="dxa"/>
              <w:right w:w="60" w:type="dxa"/>
            </w:tcMar>
          </w:tcPr>
          <w:p w14:paraId="1D3E9242"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tcPr>
          <w:p w14:paraId="047DB922"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663407F2"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996"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tcPr>
          <w:p w14:paraId="7521AA66"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r>
      <w:tr w:rsidR="00A54846" w14:paraId="70C698CC" w14:textId="77777777">
        <w:trPr>
          <w:trHeight w:val="190"/>
        </w:trPr>
        <w:tc>
          <w:tcPr>
            <w:tcW w:w="248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4DE4A301" w14:textId="77777777" w:rsidR="00A54846" w:rsidRDefault="008A2731">
            <w:pPr>
              <w:widowControl w:val="0"/>
              <w:shd w:val="clear" w:color="auto" w:fill="auto"/>
              <w:spacing w:after="0" w:line="200" w:lineRule="exact"/>
              <w:jc w:val="left"/>
              <w:rPr>
                <w:rFonts w:ascii="Helvetica" w:eastAsia="Arial Unicode MS" w:hAnsi="Helvetica" w:cs="Times New Roman"/>
                <w:b/>
                <w:color w:val="000000"/>
                <w:sz w:val="16"/>
                <w:szCs w:val="16"/>
              </w:rPr>
            </w:pPr>
            <w:r>
              <w:rPr>
                <w:rFonts w:ascii="Helvetica" w:hAnsi="Helvetica"/>
                <w:b/>
                <w:color w:val="000000"/>
                <w:sz w:val="16"/>
              </w:rPr>
              <w:t xml:space="preserve">Sum (A.1 </w:t>
            </w:r>
            <w:r>
              <w:rPr>
                <w:rFonts w:ascii="Helvetica" w:hAnsi="Helvetica"/>
                <w:b/>
                <w:color w:val="000000"/>
                <w:sz w:val="16"/>
                <w:highlight w:val="lightGray"/>
              </w:rPr>
              <w:t>+</w:t>
            </w:r>
            <w:r>
              <w:rPr>
                <w:rFonts w:ascii="Helvetica" w:hAnsi="Helvetica"/>
                <w:b/>
                <w:color w:val="000000"/>
                <w:sz w:val="16"/>
              </w:rPr>
              <w:t xml:space="preserve"> A.2)</w:t>
            </w:r>
          </w:p>
        </w:tc>
        <w:tc>
          <w:tcPr>
            <w:tcW w:w="528"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574E33D4"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52" w:type="dxa"/>
            <w:tcBorders>
              <w:top w:val="single" w:sz="4" w:space="0" w:color="auto"/>
              <w:left w:val="single" w:sz="4" w:space="0" w:color="auto"/>
              <w:bottom w:val="nil"/>
              <w:right w:val="nil"/>
            </w:tcBorders>
            <w:shd w:val="clear" w:color="auto" w:fill="FFFFFF"/>
            <w:tcMar>
              <w:top w:w="60" w:type="dxa"/>
              <w:left w:w="60" w:type="dxa"/>
              <w:bottom w:w="60" w:type="dxa"/>
              <w:right w:w="60" w:type="dxa"/>
            </w:tcMar>
          </w:tcPr>
          <w:p w14:paraId="6E273D61"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4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726AAB9F" w14:textId="77777777"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w:t>
            </w:r>
          </w:p>
        </w:tc>
        <w:tc>
          <w:tcPr>
            <w:tcW w:w="494" w:type="dxa"/>
            <w:shd w:val="clear" w:color="auto" w:fill="000000" w:themeFill="text1"/>
            <w:tcMar>
              <w:top w:w="60" w:type="dxa"/>
              <w:left w:w="60" w:type="dxa"/>
              <w:bottom w:w="60" w:type="dxa"/>
              <w:right w:w="60" w:type="dxa"/>
            </w:tcMar>
          </w:tcPr>
          <w:p w14:paraId="0146D67F"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159F70A0"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20B05D3B"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28F55AC4"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67A7E77B"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2F684CD0"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shd w:val="clear" w:color="auto" w:fill="000000" w:themeFill="text1"/>
            <w:tcMar>
              <w:top w:w="60" w:type="dxa"/>
              <w:left w:w="60" w:type="dxa"/>
              <w:bottom w:w="60" w:type="dxa"/>
              <w:right w:w="60" w:type="dxa"/>
            </w:tcMar>
          </w:tcPr>
          <w:p w14:paraId="4F5791BE"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shd w:val="clear" w:color="auto" w:fill="000000" w:themeFill="text1"/>
            <w:tcMar>
              <w:top w:w="60" w:type="dxa"/>
              <w:left w:w="60" w:type="dxa"/>
              <w:bottom w:w="60" w:type="dxa"/>
              <w:right w:w="60" w:type="dxa"/>
            </w:tcMar>
          </w:tcPr>
          <w:p w14:paraId="6D7EF91E"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3B27DE99"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0393603D"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47DFB0AB"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000000" w:themeFill="text1"/>
            <w:tcMar>
              <w:top w:w="60" w:type="dxa"/>
              <w:left w:w="60" w:type="dxa"/>
              <w:bottom w:w="60" w:type="dxa"/>
              <w:right w:w="60" w:type="dxa"/>
            </w:tcMar>
          </w:tcPr>
          <w:p w14:paraId="6B8965E9"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44" w:type="dxa"/>
            <w:gridSpan w:val="2"/>
            <w:tcBorders>
              <w:top w:val="nil"/>
              <w:left w:val="nil"/>
              <w:bottom w:val="nil"/>
              <w:right w:val="single" w:sz="12" w:space="0" w:color="auto"/>
            </w:tcBorders>
            <w:shd w:val="clear" w:color="auto" w:fill="000000" w:themeFill="text1"/>
            <w:tcMar>
              <w:top w:w="60" w:type="dxa"/>
              <w:left w:w="60" w:type="dxa"/>
              <w:bottom w:w="60" w:type="dxa"/>
              <w:right w:w="60" w:type="dxa"/>
            </w:tcMar>
          </w:tcPr>
          <w:p w14:paraId="11179B07"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60" w:type="dxa"/>
            <w:tcBorders>
              <w:top w:val="single" w:sz="4" w:space="0" w:color="auto"/>
              <w:left w:val="single" w:sz="12" w:space="0" w:color="auto"/>
              <w:bottom w:val="single" w:sz="12" w:space="0" w:color="auto"/>
              <w:right w:val="single" w:sz="12" w:space="0" w:color="auto"/>
            </w:tcBorders>
            <w:shd w:val="clear" w:color="auto" w:fill="FFFFFF"/>
            <w:tcMar>
              <w:top w:w="60" w:type="dxa"/>
              <w:left w:w="60" w:type="dxa"/>
              <w:bottom w:w="60" w:type="dxa"/>
              <w:right w:w="60" w:type="dxa"/>
            </w:tcMar>
            <w:vAlign w:val="center"/>
            <w:hideMark/>
          </w:tcPr>
          <w:p w14:paraId="51A306ED"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w:t>
            </w:r>
          </w:p>
        </w:tc>
        <w:tc>
          <w:tcPr>
            <w:tcW w:w="905" w:type="dxa"/>
            <w:tcBorders>
              <w:top w:val="single" w:sz="4" w:space="0" w:color="auto"/>
              <w:left w:val="single" w:sz="12" w:space="0" w:color="auto"/>
              <w:bottom w:val="nil"/>
              <w:right w:val="nil"/>
            </w:tcBorders>
            <w:shd w:val="clear" w:color="auto" w:fill="FFFFFF"/>
            <w:tcMar>
              <w:top w:w="60" w:type="dxa"/>
              <w:left w:w="60" w:type="dxa"/>
              <w:bottom w:w="60" w:type="dxa"/>
              <w:right w:w="60" w:type="dxa"/>
            </w:tcMar>
          </w:tcPr>
          <w:p w14:paraId="764D9274" w14:textId="77777777" w:rsidR="00A54846" w:rsidRDefault="00A54846">
            <w:pPr>
              <w:widowControl w:val="0"/>
              <w:shd w:val="clear" w:color="auto" w:fill="auto"/>
              <w:spacing w:after="0" w:line="200" w:lineRule="exact"/>
              <w:jc w:val="center"/>
              <w:rPr>
                <w:rFonts w:ascii="Helvetica" w:eastAsia="Arial Unicode MS" w:hAnsi="Helvetica" w:cs="Times New Roman"/>
                <w:color w:val="000000"/>
                <w:sz w:val="16"/>
                <w:szCs w:val="16"/>
                <w:lang w:val="en-US" w:bidi="en-US"/>
              </w:rPr>
            </w:pPr>
          </w:p>
        </w:tc>
        <w:tc>
          <w:tcPr>
            <w:tcW w:w="761"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center"/>
            <w:hideMark/>
          </w:tcPr>
          <w:p w14:paraId="18F85C9C" w14:textId="77777777" w:rsidR="00A54846" w:rsidRDefault="008A2731">
            <w:pPr>
              <w:widowControl w:val="0"/>
              <w:shd w:val="clear" w:color="auto" w:fill="auto"/>
              <w:spacing w:after="0" w:line="200" w:lineRule="exact"/>
              <w:jc w:val="center"/>
              <w:rPr>
                <w:rFonts w:ascii="Helvetica" w:eastAsia="Arial Unicode MS" w:hAnsi="Helvetica" w:cs="Times New Roman"/>
                <w:color w:val="000000"/>
                <w:sz w:val="16"/>
                <w:szCs w:val="16"/>
              </w:rPr>
            </w:pPr>
            <w:r>
              <w:rPr>
                <w:rFonts w:ascii="Helvetica" w:hAnsi="Helvetica"/>
                <w:color w:val="000000"/>
                <w:sz w:val="16"/>
              </w:rPr>
              <w:t>%</w:t>
            </w:r>
          </w:p>
        </w:tc>
        <w:tc>
          <w:tcPr>
            <w:tcW w:w="996" w:type="dxa"/>
            <w:tcBorders>
              <w:top w:val="single" w:sz="4" w:space="0" w:color="auto"/>
              <w:left w:val="single" w:sz="4" w:space="0" w:color="auto"/>
              <w:bottom w:val="nil"/>
              <w:right w:val="single" w:sz="4" w:space="0" w:color="auto"/>
            </w:tcBorders>
            <w:shd w:val="clear" w:color="auto" w:fill="FFFFFF"/>
            <w:tcMar>
              <w:top w:w="60" w:type="dxa"/>
              <w:left w:w="60" w:type="dxa"/>
              <w:bottom w:w="60" w:type="dxa"/>
              <w:right w:w="60" w:type="dxa"/>
            </w:tcMar>
          </w:tcPr>
          <w:p w14:paraId="0B0598E1"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r>
      <w:tr w:rsidR="00A54846" w14:paraId="743920EA" w14:textId="77777777">
        <w:trPr>
          <w:trHeight w:val="370"/>
        </w:trPr>
        <w:tc>
          <w:tcPr>
            <w:tcW w:w="2484" w:type="dxa"/>
            <w:tcBorders>
              <w:top w:val="single" w:sz="4" w:space="0" w:color="auto"/>
              <w:left w:val="single" w:sz="4" w:space="0" w:color="auto"/>
              <w:bottom w:val="nil"/>
              <w:right w:val="nil"/>
            </w:tcBorders>
            <w:shd w:val="clear" w:color="auto" w:fill="FFFFFF"/>
            <w:tcMar>
              <w:top w:w="60" w:type="dxa"/>
              <w:left w:w="60" w:type="dxa"/>
              <w:bottom w:w="60" w:type="dxa"/>
              <w:right w:w="60" w:type="dxa"/>
            </w:tcMar>
            <w:vAlign w:val="bottom"/>
            <w:hideMark/>
          </w:tcPr>
          <w:p w14:paraId="0DE0B8A2" w14:textId="77777777" w:rsidR="00A54846" w:rsidRDefault="008A2731">
            <w:pPr>
              <w:widowControl w:val="0"/>
              <w:shd w:val="clear" w:color="auto" w:fill="auto"/>
              <w:spacing w:after="0" w:line="200" w:lineRule="exact"/>
              <w:jc w:val="left"/>
              <w:rPr>
                <w:rFonts w:ascii="Helvetica" w:eastAsia="Arial Unicode MS" w:hAnsi="Helvetica" w:cs="Times New Roman"/>
                <w:b/>
                <w:color w:val="000000"/>
                <w:sz w:val="16"/>
                <w:szCs w:val="16"/>
              </w:rPr>
            </w:pPr>
            <w:r>
              <w:rPr>
                <w:rFonts w:ascii="Helvetica" w:hAnsi="Helvetica"/>
                <w:b/>
                <w:color w:val="000000"/>
                <w:sz w:val="16"/>
              </w:rPr>
              <w:t>B. AKTIVITETER SOM IKKE ER OMFATTET AV TAKSONOMIEN</w:t>
            </w:r>
          </w:p>
        </w:tc>
        <w:tc>
          <w:tcPr>
            <w:tcW w:w="528" w:type="dxa"/>
            <w:tcBorders>
              <w:top w:val="single" w:sz="4" w:space="0" w:color="auto"/>
              <w:left w:val="nil"/>
              <w:bottom w:val="nil"/>
              <w:right w:val="nil"/>
            </w:tcBorders>
            <w:shd w:val="clear" w:color="auto" w:fill="FFFFFF"/>
            <w:tcMar>
              <w:top w:w="60" w:type="dxa"/>
              <w:left w:w="60" w:type="dxa"/>
              <w:bottom w:w="60" w:type="dxa"/>
              <w:right w:w="60" w:type="dxa"/>
            </w:tcMar>
          </w:tcPr>
          <w:p w14:paraId="0117CF56"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852" w:type="dxa"/>
            <w:tcBorders>
              <w:top w:val="single" w:sz="4" w:space="0" w:color="auto"/>
              <w:left w:val="nil"/>
              <w:bottom w:val="nil"/>
              <w:right w:val="nil"/>
            </w:tcBorders>
            <w:shd w:val="clear" w:color="auto" w:fill="FFFFFF"/>
            <w:tcMar>
              <w:top w:w="60" w:type="dxa"/>
              <w:left w:w="60" w:type="dxa"/>
              <w:bottom w:w="60" w:type="dxa"/>
              <w:right w:w="60" w:type="dxa"/>
            </w:tcMar>
          </w:tcPr>
          <w:p w14:paraId="0979B75D"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44" w:type="dxa"/>
            <w:tcBorders>
              <w:top w:val="single" w:sz="4" w:space="0" w:color="auto"/>
              <w:left w:val="nil"/>
              <w:bottom w:val="nil"/>
              <w:right w:val="nil"/>
            </w:tcBorders>
            <w:shd w:val="clear" w:color="auto" w:fill="FFFFFF"/>
            <w:tcMar>
              <w:top w:w="60" w:type="dxa"/>
              <w:left w:w="60" w:type="dxa"/>
              <w:bottom w:w="60" w:type="dxa"/>
              <w:right w:w="60" w:type="dxa"/>
            </w:tcMar>
          </w:tcPr>
          <w:p w14:paraId="1D7C2934" w14:textId="77777777" w:rsidR="00A54846" w:rsidRPr="006A792F" w:rsidRDefault="00A54846">
            <w:pPr>
              <w:widowControl w:val="0"/>
              <w:shd w:val="clear" w:color="auto" w:fill="auto"/>
              <w:spacing w:after="0" w:line="200" w:lineRule="exact"/>
              <w:jc w:val="center"/>
              <w:rPr>
                <w:rFonts w:ascii="Helvetica" w:eastAsia="Arial Unicode MS" w:hAnsi="Helvetica" w:cs="Times New Roman"/>
                <w:color w:val="000000"/>
                <w:sz w:val="16"/>
                <w:szCs w:val="16"/>
                <w:lang w:bidi="en-US"/>
              </w:rPr>
            </w:pPr>
          </w:p>
        </w:tc>
        <w:tc>
          <w:tcPr>
            <w:tcW w:w="494" w:type="dxa"/>
            <w:shd w:val="clear" w:color="auto" w:fill="FFFFFF"/>
            <w:tcMar>
              <w:top w:w="60" w:type="dxa"/>
              <w:left w:w="60" w:type="dxa"/>
              <w:bottom w:w="60" w:type="dxa"/>
              <w:right w:w="60" w:type="dxa"/>
            </w:tcMar>
          </w:tcPr>
          <w:p w14:paraId="3F457AA2"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shd w:val="clear" w:color="auto" w:fill="FFFFFF"/>
            <w:tcMar>
              <w:top w:w="60" w:type="dxa"/>
              <w:left w:w="60" w:type="dxa"/>
              <w:bottom w:w="60" w:type="dxa"/>
              <w:right w:w="60" w:type="dxa"/>
            </w:tcMar>
          </w:tcPr>
          <w:p w14:paraId="677E66AA"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shd w:val="clear" w:color="auto" w:fill="FFFFFF"/>
            <w:tcMar>
              <w:top w:w="60" w:type="dxa"/>
              <w:left w:w="60" w:type="dxa"/>
              <w:bottom w:w="60" w:type="dxa"/>
              <w:right w:w="60" w:type="dxa"/>
            </w:tcMar>
          </w:tcPr>
          <w:p w14:paraId="773566C4"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shd w:val="clear" w:color="auto" w:fill="FFFFFF"/>
            <w:tcMar>
              <w:top w:w="60" w:type="dxa"/>
              <w:left w:w="60" w:type="dxa"/>
              <w:bottom w:w="60" w:type="dxa"/>
              <w:right w:w="60" w:type="dxa"/>
            </w:tcMar>
          </w:tcPr>
          <w:p w14:paraId="56B45354"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shd w:val="clear" w:color="auto" w:fill="FFFFFF"/>
            <w:tcMar>
              <w:top w:w="60" w:type="dxa"/>
              <w:left w:w="60" w:type="dxa"/>
              <w:bottom w:w="60" w:type="dxa"/>
              <w:right w:w="60" w:type="dxa"/>
            </w:tcMar>
          </w:tcPr>
          <w:p w14:paraId="5EEDAD88"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shd w:val="clear" w:color="auto" w:fill="FFFFFF"/>
            <w:tcMar>
              <w:top w:w="60" w:type="dxa"/>
              <w:left w:w="60" w:type="dxa"/>
              <w:bottom w:w="60" w:type="dxa"/>
              <w:right w:w="60" w:type="dxa"/>
            </w:tcMar>
          </w:tcPr>
          <w:p w14:paraId="5F272973"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5" w:type="dxa"/>
            <w:shd w:val="clear" w:color="auto" w:fill="FFFFFF"/>
            <w:tcMar>
              <w:top w:w="60" w:type="dxa"/>
              <w:left w:w="60" w:type="dxa"/>
              <w:bottom w:w="60" w:type="dxa"/>
              <w:right w:w="60" w:type="dxa"/>
            </w:tcMar>
          </w:tcPr>
          <w:p w14:paraId="7C6E01F5"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5" w:type="dxa"/>
            <w:shd w:val="clear" w:color="auto" w:fill="FFFFFF"/>
            <w:tcMar>
              <w:top w:w="60" w:type="dxa"/>
              <w:left w:w="60" w:type="dxa"/>
              <w:bottom w:w="60" w:type="dxa"/>
              <w:right w:w="60" w:type="dxa"/>
            </w:tcMar>
          </w:tcPr>
          <w:p w14:paraId="234E0466"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shd w:val="clear" w:color="auto" w:fill="FFFFFF"/>
            <w:tcMar>
              <w:top w:w="60" w:type="dxa"/>
              <w:left w:w="60" w:type="dxa"/>
              <w:bottom w:w="60" w:type="dxa"/>
              <w:right w:w="60" w:type="dxa"/>
            </w:tcMar>
          </w:tcPr>
          <w:p w14:paraId="030B8238"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shd w:val="clear" w:color="auto" w:fill="FFFFFF"/>
            <w:tcMar>
              <w:top w:w="60" w:type="dxa"/>
              <w:left w:w="60" w:type="dxa"/>
              <w:bottom w:w="60" w:type="dxa"/>
              <w:right w:w="60" w:type="dxa"/>
            </w:tcMar>
          </w:tcPr>
          <w:p w14:paraId="6B8F448E"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shd w:val="clear" w:color="auto" w:fill="FFFFFF"/>
            <w:tcMar>
              <w:top w:w="60" w:type="dxa"/>
              <w:left w:w="60" w:type="dxa"/>
              <w:bottom w:w="60" w:type="dxa"/>
              <w:right w:w="60" w:type="dxa"/>
            </w:tcMar>
          </w:tcPr>
          <w:p w14:paraId="7245EDDA"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94" w:type="dxa"/>
            <w:shd w:val="clear" w:color="auto" w:fill="FFFFFF"/>
            <w:tcMar>
              <w:top w:w="60" w:type="dxa"/>
              <w:left w:w="60" w:type="dxa"/>
              <w:bottom w:w="60" w:type="dxa"/>
              <w:right w:w="60" w:type="dxa"/>
            </w:tcMar>
          </w:tcPr>
          <w:p w14:paraId="7FC2B51C"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544" w:type="dxa"/>
            <w:gridSpan w:val="2"/>
            <w:shd w:val="clear" w:color="auto" w:fill="FFFFFF"/>
            <w:tcMar>
              <w:top w:w="60" w:type="dxa"/>
              <w:left w:w="60" w:type="dxa"/>
              <w:bottom w:w="60" w:type="dxa"/>
              <w:right w:w="60" w:type="dxa"/>
            </w:tcMar>
          </w:tcPr>
          <w:p w14:paraId="6BAAE92E"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860" w:type="dxa"/>
            <w:tcBorders>
              <w:top w:val="single" w:sz="12" w:space="0" w:color="auto"/>
              <w:left w:val="nil"/>
              <w:bottom w:val="nil"/>
              <w:right w:val="nil"/>
            </w:tcBorders>
            <w:shd w:val="clear" w:color="auto" w:fill="FFFFFF"/>
            <w:tcMar>
              <w:top w:w="60" w:type="dxa"/>
              <w:left w:w="60" w:type="dxa"/>
              <w:bottom w:w="60" w:type="dxa"/>
              <w:right w:w="60" w:type="dxa"/>
            </w:tcMar>
          </w:tcPr>
          <w:p w14:paraId="16C08D37"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905" w:type="dxa"/>
            <w:tcBorders>
              <w:top w:val="single" w:sz="4" w:space="0" w:color="auto"/>
              <w:left w:val="nil"/>
              <w:bottom w:val="nil"/>
              <w:right w:val="nil"/>
            </w:tcBorders>
            <w:shd w:val="clear" w:color="auto" w:fill="FFFFFF"/>
            <w:tcMar>
              <w:top w:w="60" w:type="dxa"/>
              <w:left w:w="60" w:type="dxa"/>
              <w:bottom w:w="60" w:type="dxa"/>
              <w:right w:w="60" w:type="dxa"/>
            </w:tcMar>
          </w:tcPr>
          <w:p w14:paraId="73F62210"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761" w:type="dxa"/>
            <w:tcBorders>
              <w:top w:val="single" w:sz="4" w:space="0" w:color="auto"/>
              <w:left w:val="nil"/>
              <w:bottom w:val="nil"/>
              <w:right w:val="nil"/>
            </w:tcBorders>
            <w:shd w:val="clear" w:color="auto" w:fill="FFFFFF"/>
            <w:tcMar>
              <w:top w:w="60" w:type="dxa"/>
              <w:left w:w="60" w:type="dxa"/>
              <w:bottom w:w="60" w:type="dxa"/>
              <w:right w:w="60" w:type="dxa"/>
            </w:tcMar>
          </w:tcPr>
          <w:p w14:paraId="4485AAA9"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996" w:type="dxa"/>
            <w:tcBorders>
              <w:top w:val="single" w:sz="4" w:space="0" w:color="auto"/>
              <w:left w:val="nil"/>
              <w:bottom w:val="nil"/>
              <w:right w:val="nil"/>
            </w:tcBorders>
            <w:shd w:val="clear" w:color="auto" w:fill="FFFFFF"/>
            <w:tcMar>
              <w:top w:w="60" w:type="dxa"/>
              <w:left w:w="60" w:type="dxa"/>
              <w:bottom w:w="60" w:type="dxa"/>
              <w:right w:w="60" w:type="dxa"/>
            </w:tcMar>
          </w:tcPr>
          <w:p w14:paraId="56F0F022"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r>
      <w:tr w:rsidR="00A54846" w14:paraId="11A73FB9" w14:textId="77777777">
        <w:trPr>
          <w:trHeight w:val="360"/>
        </w:trPr>
        <w:tc>
          <w:tcPr>
            <w:tcW w:w="2484"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4EB0A5AC" w14:textId="77777777" w:rsidR="00A54846" w:rsidRDefault="008A2731">
            <w:pPr>
              <w:widowControl w:val="0"/>
              <w:shd w:val="clear" w:color="auto" w:fill="auto"/>
              <w:spacing w:after="0" w:line="200" w:lineRule="exact"/>
              <w:jc w:val="left"/>
              <w:rPr>
                <w:rFonts w:ascii="Helvetica" w:eastAsia="Arial Unicode MS" w:hAnsi="Helvetica" w:cs="Times New Roman"/>
                <w:b/>
                <w:color w:val="000000"/>
                <w:sz w:val="16"/>
                <w:szCs w:val="16"/>
              </w:rPr>
            </w:pPr>
            <w:r>
              <w:rPr>
                <w:rFonts w:ascii="Helvetica" w:hAnsi="Helvetica"/>
                <w:b/>
                <w:color w:val="000000"/>
                <w:sz w:val="16"/>
              </w:rPr>
              <w:t>Omsetning for aktiviteter som ikke er omfattet av taksonomien (B)</w:t>
            </w:r>
          </w:p>
        </w:tc>
        <w:tc>
          <w:tcPr>
            <w:tcW w:w="528"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69D08A47"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852"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0055BAFC" w14:textId="77777777" w:rsidR="00A54846" w:rsidRPr="006A792F" w:rsidRDefault="00A54846">
            <w:pPr>
              <w:widowControl w:val="0"/>
              <w:shd w:val="clear" w:color="auto" w:fill="auto"/>
              <w:spacing w:after="0" w:line="200" w:lineRule="exact"/>
              <w:jc w:val="left"/>
              <w:rPr>
                <w:rFonts w:ascii="Helvetica" w:eastAsia="Arial Unicode MS" w:hAnsi="Helvetica" w:cs="Times New Roman"/>
                <w:color w:val="000000"/>
                <w:sz w:val="16"/>
                <w:szCs w:val="16"/>
                <w:lang w:bidi="en-US"/>
              </w:rPr>
            </w:pPr>
          </w:p>
        </w:tc>
        <w:tc>
          <w:tcPr>
            <w:tcW w:w="444"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center"/>
            <w:hideMark/>
          </w:tcPr>
          <w:p w14:paraId="73F30C51" w14:textId="77777777"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w:t>
            </w:r>
          </w:p>
        </w:tc>
        <w:tc>
          <w:tcPr>
            <w:tcW w:w="494" w:type="dxa"/>
            <w:tcBorders>
              <w:top w:val="nil"/>
              <w:left w:val="single" w:sz="4" w:space="0" w:color="auto"/>
              <w:bottom w:val="nil"/>
              <w:right w:val="nil"/>
            </w:tcBorders>
            <w:shd w:val="clear" w:color="auto" w:fill="FFFFFF"/>
            <w:tcMar>
              <w:top w:w="60" w:type="dxa"/>
              <w:left w:w="60" w:type="dxa"/>
              <w:bottom w:w="60" w:type="dxa"/>
              <w:right w:w="60" w:type="dxa"/>
            </w:tcMar>
          </w:tcPr>
          <w:p w14:paraId="4E2C772A"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1AE4522A"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4430C8CF"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1E9485D7"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42DF5E60"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0E34577A"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shd w:val="clear" w:color="auto" w:fill="FFFFFF"/>
            <w:tcMar>
              <w:top w:w="60" w:type="dxa"/>
              <w:left w:w="60" w:type="dxa"/>
              <w:bottom w:w="60" w:type="dxa"/>
              <w:right w:w="60" w:type="dxa"/>
            </w:tcMar>
          </w:tcPr>
          <w:p w14:paraId="090CAB8E"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shd w:val="clear" w:color="auto" w:fill="FFFFFF"/>
            <w:tcMar>
              <w:top w:w="60" w:type="dxa"/>
              <w:left w:w="60" w:type="dxa"/>
              <w:bottom w:w="60" w:type="dxa"/>
              <w:right w:w="60" w:type="dxa"/>
            </w:tcMar>
          </w:tcPr>
          <w:p w14:paraId="461E1DF5"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0C7022C3"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44F255C0"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1FD08875"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1E0FC4F3"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44" w:type="dxa"/>
            <w:gridSpan w:val="2"/>
            <w:shd w:val="clear" w:color="auto" w:fill="FFFFFF"/>
            <w:tcMar>
              <w:top w:w="60" w:type="dxa"/>
              <w:left w:w="60" w:type="dxa"/>
              <w:bottom w:w="60" w:type="dxa"/>
              <w:right w:w="60" w:type="dxa"/>
            </w:tcMar>
          </w:tcPr>
          <w:p w14:paraId="5E036CF3"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60" w:type="dxa"/>
            <w:shd w:val="clear" w:color="auto" w:fill="FFFFFF"/>
            <w:tcMar>
              <w:top w:w="60" w:type="dxa"/>
              <w:left w:w="60" w:type="dxa"/>
              <w:bottom w:w="60" w:type="dxa"/>
              <w:right w:w="60" w:type="dxa"/>
            </w:tcMar>
          </w:tcPr>
          <w:p w14:paraId="44779BD7"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905" w:type="dxa"/>
            <w:shd w:val="clear" w:color="auto" w:fill="FFFFFF"/>
            <w:tcMar>
              <w:top w:w="60" w:type="dxa"/>
              <w:left w:w="60" w:type="dxa"/>
              <w:bottom w:w="60" w:type="dxa"/>
              <w:right w:w="60" w:type="dxa"/>
            </w:tcMar>
          </w:tcPr>
          <w:p w14:paraId="3BA260B8"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761" w:type="dxa"/>
            <w:shd w:val="clear" w:color="auto" w:fill="FFFFFF"/>
            <w:tcMar>
              <w:top w:w="60" w:type="dxa"/>
              <w:left w:w="60" w:type="dxa"/>
              <w:bottom w:w="60" w:type="dxa"/>
              <w:right w:w="60" w:type="dxa"/>
            </w:tcMar>
          </w:tcPr>
          <w:p w14:paraId="5F6555F9"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996" w:type="dxa"/>
            <w:shd w:val="clear" w:color="auto" w:fill="FFFFFF"/>
            <w:tcMar>
              <w:top w:w="60" w:type="dxa"/>
              <w:left w:w="60" w:type="dxa"/>
              <w:bottom w:w="60" w:type="dxa"/>
              <w:right w:w="60" w:type="dxa"/>
            </w:tcMar>
          </w:tcPr>
          <w:p w14:paraId="4DA01736"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r>
      <w:tr w:rsidR="00A54846" w14:paraId="4A0EDDF3" w14:textId="77777777">
        <w:trPr>
          <w:trHeight w:val="190"/>
        </w:trPr>
        <w:tc>
          <w:tcPr>
            <w:tcW w:w="2484"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58444C29" w14:textId="77777777" w:rsidR="00A54846" w:rsidRDefault="008A2731">
            <w:pPr>
              <w:widowControl w:val="0"/>
              <w:shd w:val="clear" w:color="auto" w:fill="auto"/>
              <w:spacing w:after="0" w:line="200" w:lineRule="exact"/>
              <w:jc w:val="left"/>
              <w:rPr>
                <w:rFonts w:ascii="Helvetica" w:eastAsia="Arial Unicode MS" w:hAnsi="Helvetica" w:cs="Times New Roman"/>
                <w:b/>
                <w:color w:val="000000"/>
                <w:sz w:val="16"/>
                <w:szCs w:val="16"/>
              </w:rPr>
            </w:pPr>
            <w:r>
              <w:rPr>
                <w:rFonts w:ascii="Helvetica" w:hAnsi="Helvetica"/>
                <w:b/>
                <w:color w:val="000000"/>
                <w:sz w:val="16"/>
              </w:rPr>
              <w:t xml:space="preserve">Sum (A </w:t>
            </w:r>
            <w:r>
              <w:rPr>
                <w:rFonts w:ascii="Helvetica" w:hAnsi="Helvetica"/>
                <w:b/>
                <w:color w:val="000000"/>
                <w:sz w:val="16"/>
                <w:highlight w:val="lightGray"/>
              </w:rPr>
              <w:t>+</w:t>
            </w:r>
            <w:r>
              <w:rPr>
                <w:rFonts w:ascii="Helvetica" w:hAnsi="Helvetica"/>
                <w:b/>
                <w:color w:val="000000"/>
                <w:sz w:val="16"/>
              </w:rPr>
              <w:t xml:space="preserve"> B)</w:t>
            </w:r>
          </w:p>
        </w:tc>
        <w:tc>
          <w:tcPr>
            <w:tcW w:w="528"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4F2AA453"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52"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tcPr>
          <w:p w14:paraId="31EEDF6B"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44" w:type="dxa"/>
            <w:tcBorders>
              <w:top w:val="single" w:sz="4" w:space="0" w:color="auto"/>
              <w:left w:val="single" w:sz="4" w:space="0" w:color="auto"/>
              <w:bottom w:val="single" w:sz="4" w:space="0" w:color="auto"/>
              <w:right w:val="nil"/>
            </w:tcBorders>
            <w:shd w:val="clear" w:color="auto" w:fill="FFFFFF"/>
            <w:tcMar>
              <w:top w:w="60" w:type="dxa"/>
              <w:left w:w="60" w:type="dxa"/>
              <w:bottom w:w="60" w:type="dxa"/>
              <w:right w:w="60" w:type="dxa"/>
            </w:tcMar>
            <w:vAlign w:val="bottom"/>
            <w:hideMark/>
          </w:tcPr>
          <w:p w14:paraId="33FDC87D" w14:textId="77777777" w:rsidR="00A54846" w:rsidRDefault="008A2731">
            <w:pPr>
              <w:widowControl w:val="0"/>
              <w:shd w:val="clear" w:color="auto" w:fill="auto"/>
              <w:spacing w:after="0" w:line="200" w:lineRule="exact"/>
              <w:jc w:val="center"/>
              <w:rPr>
                <w:rFonts w:ascii="Helvetica" w:eastAsia="Arial Unicode MS" w:hAnsi="Helvetica" w:cs="Times New Roman"/>
                <w:b/>
                <w:color w:val="000000"/>
                <w:sz w:val="16"/>
                <w:szCs w:val="16"/>
              </w:rPr>
            </w:pPr>
            <w:r>
              <w:rPr>
                <w:rFonts w:ascii="Helvetica" w:hAnsi="Helvetica"/>
                <w:b/>
                <w:color w:val="000000"/>
                <w:sz w:val="16"/>
              </w:rPr>
              <w:t>%</w:t>
            </w:r>
          </w:p>
        </w:tc>
        <w:tc>
          <w:tcPr>
            <w:tcW w:w="494" w:type="dxa"/>
            <w:tcBorders>
              <w:top w:val="nil"/>
              <w:left w:val="single" w:sz="4" w:space="0" w:color="auto"/>
              <w:bottom w:val="nil"/>
              <w:right w:val="nil"/>
            </w:tcBorders>
            <w:shd w:val="clear" w:color="auto" w:fill="FFFFFF"/>
            <w:tcMar>
              <w:top w:w="60" w:type="dxa"/>
              <w:left w:w="60" w:type="dxa"/>
              <w:bottom w:w="60" w:type="dxa"/>
              <w:right w:w="60" w:type="dxa"/>
            </w:tcMar>
          </w:tcPr>
          <w:p w14:paraId="2A013B3A"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0C49F56B"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0C58B914"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42C0F860"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000558FD"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68339AC7"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shd w:val="clear" w:color="auto" w:fill="FFFFFF"/>
            <w:tcMar>
              <w:top w:w="60" w:type="dxa"/>
              <w:left w:w="60" w:type="dxa"/>
              <w:bottom w:w="60" w:type="dxa"/>
              <w:right w:w="60" w:type="dxa"/>
            </w:tcMar>
          </w:tcPr>
          <w:p w14:paraId="1EC5BF54"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5" w:type="dxa"/>
            <w:shd w:val="clear" w:color="auto" w:fill="FFFFFF"/>
            <w:tcMar>
              <w:top w:w="60" w:type="dxa"/>
              <w:left w:w="60" w:type="dxa"/>
              <w:bottom w:w="60" w:type="dxa"/>
              <w:right w:w="60" w:type="dxa"/>
            </w:tcMar>
          </w:tcPr>
          <w:p w14:paraId="2349C499"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6007D535"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278B31DD"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2204BC6F"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494" w:type="dxa"/>
            <w:shd w:val="clear" w:color="auto" w:fill="FFFFFF"/>
            <w:tcMar>
              <w:top w:w="60" w:type="dxa"/>
              <w:left w:w="60" w:type="dxa"/>
              <w:bottom w:w="60" w:type="dxa"/>
              <w:right w:w="60" w:type="dxa"/>
            </w:tcMar>
          </w:tcPr>
          <w:p w14:paraId="2ABDBD4D"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544" w:type="dxa"/>
            <w:gridSpan w:val="2"/>
            <w:shd w:val="clear" w:color="auto" w:fill="FFFFFF"/>
            <w:tcMar>
              <w:top w:w="60" w:type="dxa"/>
              <w:left w:w="60" w:type="dxa"/>
              <w:bottom w:w="60" w:type="dxa"/>
              <w:right w:w="60" w:type="dxa"/>
            </w:tcMar>
          </w:tcPr>
          <w:p w14:paraId="4C13F7AE"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860" w:type="dxa"/>
            <w:shd w:val="clear" w:color="auto" w:fill="FFFFFF"/>
            <w:tcMar>
              <w:top w:w="60" w:type="dxa"/>
              <w:left w:w="60" w:type="dxa"/>
              <w:bottom w:w="60" w:type="dxa"/>
              <w:right w:w="60" w:type="dxa"/>
            </w:tcMar>
          </w:tcPr>
          <w:p w14:paraId="3511BDB5"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905" w:type="dxa"/>
            <w:shd w:val="clear" w:color="auto" w:fill="FFFFFF"/>
            <w:tcMar>
              <w:top w:w="60" w:type="dxa"/>
              <w:left w:w="60" w:type="dxa"/>
              <w:bottom w:w="60" w:type="dxa"/>
              <w:right w:w="60" w:type="dxa"/>
            </w:tcMar>
          </w:tcPr>
          <w:p w14:paraId="04A78706"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761" w:type="dxa"/>
            <w:shd w:val="clear" w:color="auto" w:fill="FFFFFF"/>
            <w:tcMar>
              <w:top w:w="60" w:type="dxa"/>
              <w:left w:w="60" w:type="dxa"/>
              <w:bottom w:w="60" w:type="dxa"/>
              <w:right w:w="60" w:type="dxa"/>
            </w:tcMar>
          </w:tcPr>
          <w:p w14:paraId="29F3A27C"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c>
          <w:tcPr>
            <w:tcW w:w="996" w:type="dxa"/>
            <w:shd w:val="clear" w:color="auto" w:fill="FFFFFF"/>
            <w:tcMar>
              <w:top w:w="60" w:type="dxa"/>
              <w:left w:w="60" w:type="dxa"/>
              <w:bottom w:w="60" w:type="dxa"/>
              <w:right w:w="60" w:type="dxa"/>
            </w:tcMar>
          </w:tcPr>
          <w:p w14:paraId="02AD3675" w14:textId="77777777" w:rsidR="00A54846" w:rsidRDefault="00A54846">
            <w:pPr>
              <w:widowControl w:val="0"/>
              <w:shd w:val="clear" w:color="auto" w:fill="auto"/>
              <w:spacing w:after="0" w:line="200" w:lineRule="exact"/>
              <w:jc w:val="left"/>
              <w:rPr>
                <w:rFonts w:ascii="Helvetica" w:eastAsia="Arial Unicode MS" w:hAnsi="Helvetica" w:cs="Times New Roman"/>
                <w:color w:val="000000"/>
                <w:sz w:val="16"/>
                <w:szCs w:val="16"/>
                <w:lang w:val="en-US" w:bidi="en-US"/>
              </w:rPr>
            </w:pPr>
          </w:p>
        </w:tc>
      </w:tr>
      <w:tr w:rsidR="00A54846" w14:paraId="50450528" w14:textId="77777777">
        <w:trPr>
          <w:trHeight w:val="370"/>
        </w:trPr>
        <w:tc>
          <w:tcPr>
            <w:tcW w:w="14304" w:type="dxa"/>
            <w:gridSpan w:val="22"/>
            <w:shd w:val="clear" w:color="auto" w:fill="FFFFFF"/>
            <w:tcMar>
              <w:top w:w="60" w:type="dxa"/>
              <w:left w:w="60" w:type="dxa"/>
              <w:bottom w:w="60" w:type="dxa"/>
              <w:right w:w="60" w:type="dxa"/>
            </w:tcMar>
            <w:vAlign w:val="bottom"/>
            <w:hideMark/>
          </w:tcPr>
          <w:p w14:paraId="37659D01" w14:textId="77777777" w:rsidR="00A54846" w:rsidRDefault="008A2731">
            <w:pPr>
              <w:widowControl w:val="0"/>
              <w:shd w:val="clear" w:color="auto" w:fill="auto"/>
              <w:spacing w:after="0" w:line="200" w:lineRule="exact"/>
              <w:ind w:left="360" w:hanging="360"/>
              <w:jc w:val="left"/>
              <w:rPr>
                <w:rFonts w:eastAsia="Arial Unicode MS" w:cs="Times New Roman"/>
                <w:color w:val="000000"/>
                <w:sz w:val="16"/>
                <w:szCs w:val="16"/>
              </w:rPr>
            </w:pPr>
            <w:r>
              <w:rPr>
                <w:color w:val="000000"/>
                <w:sz w:val="16"/>
              </w:rPr>
              <w:t xml:space="preserve">(1) </w:t>
            </w:r>
            <w:r>
              <w:rPr>
                <w:color w:val="000000"/>
                <w:sz w:val="16"/>
              </w:rPr>
              <w:tab/>
              <w:t>Aktivitet 1 er i sin helhet omfattet av taksonomien. Imidlertid er bare en del av den taksonomiforenlig. Derfor kan aktivitet 1 rapporteres under både A1 og A2. Imidlertid er det bare den andelen som rapporteres under A1, som kan regnes som taksonomiforenlig i det ikke-finansielle foretakets KPI for investeringsutgifter.</w:t>
            </w:r>
          </w:p>
        </w:tc>
      </w:tr>
    </w:tbl>
    <w:p w14:paraId="02E3A88D" w14:textId="77777777" w:rsidR="00A54846" w:rsidRDefault="008A2731">
      <w:pPr>
        <w:pStyle w:val="AnnexNormal"/>
        <w:spacing w:before="200" w:after="400"/>
      </w:pPr>
      <w:r>
        <w:t>For aktiviteter oppført under A2, er det frivillig for ikke-finansielle foretak å fylle ut kolonne 5–17.</w:t>
      </w:r>
    </w:p>
    <w:p w14:paraId="72C5D49A" w14:textId="77777777" w:rsidR="00A54846" w:rsidRDefault="008A2731">
      <w:pPr>
        <w:pStyle w:val="line2"/>
        <w:pBdr>
          <w:bottom w:val="none" w:sz="0" w:space="0" w:color="auto"/>
        </w:pBdr>
        <w:tabs>
          <w:tab w:val="left" w:leader="underscore" w:pos="522"/>
        </w:tabs>
        <w:ind w:left="0" w:right="0"/>
      </w:pPr>
      <w:r>
        <w:lastRenderedPageBreak/>
        <w:tab/>
      </w:r>
    </w:p>
    <w:p w14:paraId="2A7A1EAC" w14:textId="77777777" w:rsidR="00A54846" w:rsidRDefault="00A54846">
      <w:pPr>
        <w:pStyle w:val="AnnexTI"/>
        <w:sectPr w:rsidR="00A54846">
          <w:pgSz w:w="16838" w:h="11906" w:orient="landscape" w:code="9"/>
          <w:pgMar w:top="1120" w:right="1680" w:bottom="1120" w:left="840" w:header="920" w:footer="280" w:gutter="0"/>
          <w:cols w:space="708"/>
          <w:docGrid w:linePitch="360"/>
        </w:sectPr>
      </w:pPr>
    </w:p>
    <w:p w14:paraId="29F7674E" w14:textId="77777777" w:rsidR="00A54846" w:rsidRDefault="008A2731">
      <w:pPr>
        <w:pStyle w:val="AnnexTI"/>
        <w:spacing w:after="360"/>
      </w:pPr>
      <w:r>
        <w:lastRenderedPageBreak/>
        <w:t>VEDLEGG III</w:t>
      </w:r>
    </w:p>
    <w:p w14:paraId="1342E55E" w14:textId="77777777" w:rsidR="00A54846" w:rsidRDefault="008A2731">
      <w:pPr>
        <w:pStyle w:val="AnnexSTI"/>
        <w:spacing w:line="200" w:lineRule="exact"/>
        <w:rPr>
          <w:sz w:val="16"/>
          <w:szCs w:val="16"/>
        </w:rPr>
      </w:pPr>
      <w:r>
        <w:rPr>
          <w:sz w:val="16"/>
        </w:rPr>
        <w:t>KPI FOR KAPITALFORVALTERE</w:t>
      </w:r>
    </w:p>
    <w:p w14:paraId="08660C50" w14:textId="77777777" w:rsidR="00A54846" w:rsidRDefault="008A2731">
      <w:pPr>
        <w:pStyle w:val="AnnexNumberedText"/>
        <w:ind w:left="414" w:hanging="414"/>
      </w:pPr>
      <w:r>
        <w:t>1.</w:t>
      </w:r>
      <w:r>
        <w:rPr>
          <w:b/>
        </w:rPr>
        <w:tab/>
        <w:t>Innholdet i KPI-en som skal legges fram av kapitalforvaltere</w:t>
      </w:r>
    </w:p>
    <w:p w14:paraId="4DF2FF47" w14:textId="77777777" w:rsidR="00A54846" w:rsidRDefault="008A2731">
      <w:pPr>
        <w:pStyle w:val="AnnexNormal"/>
      </w:pPr>
      <w:r>
        <w:t>KPI-en skal beregnes som telleren dividert med nevneren som angitt i punkt 1.1 og 1.2 i dette vedlegget.</w:t>
      </w:r>
    </w:p>
    <w:p w14:paraId="7E3812B1" w14:textId="77777777" w:rsidR="00A54846" w:rsidRDefault="008A2731">
      <w:pPr>
        <w:pStyle w:val="AnnexNumberedText"/>
        <w:ind w:left="414" w:hanging="414"/>
      </w:pPr>
      <w:r>
        <w:t>1.1.</w:t>
      </w:r>
      <w:r>
        <w:rPr>
          <w:i/>
        </w:rPr>
        <w:tab/>
        <w:t>Teller</w:t>
      </w:r>
    </w:p>
    <w:p w14:paraId="48321094" w14:textId="77777777" w:rsidR="00A54846" w:rsidRDefault="008A2731">
      <w:pPr>
        <w:pStyle w:val="AnnexNormal"/>
      </w:pPr>
      <w:r>
        <w:t>Telleren skal bestå av det vektede gjennomsnittet av verdien av investeringene i investeringsobjektenes taksonomiforenlige økonomiske aktiviteter. Det vektede gjennomsnittet av verdien av investeringene skal baseres på investeringsobjektenes andel av taksonomiforenlige økonomiske aktiviteter, målt ved følgende:</w:t>
      </w:r>
    </w:p>
    <w:p w14:paraId="43B2D668" w14:textId="77777777" w:rsidR="00A54846" w:rsidRDefault="008A2731">
      <w:pPr>
        <w:pStyle w:val="AnnexNumberedText"/>
        <w:ind w:left="293" w:hanging="293"/>
      </w:pPr>
      <w:r>
        <w:t>a)</w:t>
      </w:r>
      <w:r>
        <w:tab/>
        <w:t>For investeringsobjekter som er ikke-finansielle foretak: KPI-ene for omsetning og investeringsutgifter som framkommer ved beregning av investeringsobjektets KPI-er i samsvar med vedlegg I og II.</w:t>
      </w:r>
    </w:p>
    <w:p w14:paraId="3ED8290D" w14:textId="77777777" w:rsidR="00A54846" w:rsidRDefault="008A2731">
      <w:pPr>
        <w:pStyle w:val="AnnexNumberedText"/>
        <w:ind w:left="293" w:hanging="293"/>
      </w:pPr>
      <w:r>
        <w:t>b)</w:t>
      </w:r>
      <w:r>
        <w:tab/>
        <w:t>For investeringsobjekter som er kapitalforvaltere: KPI-ene for omsetning og investeringsutgifter som framkommer ved beregning av investeringsobjektets KPI-er i samsvar med vedlegg III og IV.</w:t>
      </w:r>
    </w:p>
    <w:p w14:paraId="05ABA654" w14:textId="77777777" w:rsidR="00A54846" w:rsidRDefault="008A2731">
      <w:pPr>
        <w:pStyle w:val="AnnexNumberedText"/>
        <w:ind w:left="293" w:hanging="293"/>
      </w:pPr>
      <w:r>
        <w:t>c)</w:t>
      </w:r>
      <w:r>
        <w:tab/>
        <w:t>For investeringsobjekter som er kredittinstitusjoner: grønn brøk (GAR) basert på omsetning og investeringsutgifter som framkommer ved beregning av investeringsobjektets grønne brøk i samsvar med vedlegg V og VI.</w:t>
      </w:r>
    </w:p>
    <w:p w14:paraId="25188663" w14:textId="77777777" w:rsidR="00A54846" w:rsidRDefault="008A2731">
      <w:pPr>
        <w:pStyle w:val="AnnexNumberedText"/>
        <w:ind w:left="293" w:hanging="293"/>
      </w:pPr>
      <w:r>
        <w:t>d)</w:t>
      </w:r>
      <w:r>
        <w:tab/>
        <w:t>For investeringsobjekter som er verdipapirforetak: investeringer og inntekter som framkommer ved beregning av investeringsobjektets KPI-er for omsetning og investeringsutgifter i samsvar med vedlegg VII og VIII, ut fra den andelen av verdipapirforetakets inntekter fra tjenester og aktiviteter som er knyttet til handel for egen regning og ikke knyttet til handel for egen regning.</w:t>
      </w:r>
    </w:p>
    <w:p w14:paraId="38E83B56" w14:textId="77777777" w:rsidR="00A54846" w:rsidRDefault="008A2731">
      <w:pPr>
        <w:pStyle w:val="AnnexNumberedText"/>
        <w:ind w:left="293" w:hanging="293"/>
      </w:pPr>
      <w:r>
        <w:t>e)</w:t>
      </w:r>
      <w:r>
        <w:tab/>
        <w:t>For investeringsobjekter som er forsikrings- eller gjenforsikringsforetak: investeringer, tegnede bruttopremier eller eventuelt samlede forsikringsinntekter slik de framkommer ved beregning av enten KPI-en for investeringer basert på omsetning og på investeringsutgifter, kombinert i relevante tilfeller med KPI-en for forsikringsvirksomheten for investeringsobjekter som er forsikrings- og gjenforsikringsforetak i samsvar med vedlegg IX og X.</w:t>
      </w:r>
    </w:p>
    <w:p w14:paraId="403934FF" w14:textId="77777777" w:rsidR="00A54846" w:rsidRDefault="008A2731">
      <w:pPr>
        <w:pStyle w:val="AnnexNormal"/>
      </w:pPr>
      <w:r>
        <w:t>I beregningen er motregning tillatt for at andelen investeringer i taksonomiforenlige økonomiske aktiviteter skal kunne rapporteres, ved anvendelse av metoden som brukes for beregning av korte nettoposisjoner fastsatt i artikkel 3 nr. 4 og 5 i europaparlaments- og rådsforordning (EU) nr. 236/2012(</w:t>
      </w:r>
      <w:bookmarkStart w:id="8" w:name="NOTE_9"/>
      <w:r>
        <w:rPr>
          <w:rStyle w:val="FootnoteReference"/>
        </w:rPr>
        <w:footnoteReference w:id="10"/>
      </w:r>
      <w:bookmarkEnd w:id="8"/>
      <w:r>
        <w:t>).</w:t>
      </w:r>
    </w:p>
    <w:p w14:paraId="6DB303E9" w14:textId="77777777" w:rsidR="00A54846" w:rsidRDefault="008A2731">
      <w:pPr>
        <w:pStyle w:val="AnnexNormal"/>
      </w:pPr>
      <w:r>
        <w:t>Som unntak fra første ledd i dette punkt 1.1 skal gjeldsinstrumenter som har som formål å finansiere konkrete, identifiserte aktiviteter eller prosjekter, eller miljømessig bærekraftige obligasjoner som er utstedt av et investeringsobjekt, tas med i telleren opp til verdien av de taksonomiforenlige økonomiske aktivitetene som provenyet fra disse obligasjonene og gjeldsinstrumentene finansierer, på grunnlag av opplysninger framlagt av investeringsobjektet.</w:t>
      </w:r>
    </w:p>
    <w:p w14:paraId="07A9E35B" w14:textId="77777777" w:rsidR="00A54846" w:rsidRDefault="008A2731">
      <w:pPr>
        <w:pStyle w:val="AnnexNumberedText"/>
        <w:ind w:left="414" w:hanging="414"/>
      </w:pPr>
      <w:r>
        <w:t>1.2.</w:t>
      </w:r>
      <w:r>
        <w:rPr>
          <w:i/>
        </w:rPr>
        <w:tab/>
        <w:t>Nevner</w:t>
      </w:r>
    </w:p>
    <w:p w14:paraId="1B83C824" w14:textId="77777777" w:rsidR="00A54846" w:rsidRDefault="008A2731">
      <w:pPr>
        <w:pStyle w:val="AnnexNormal"/>
      </w:pPr>
      <w:r>
        <w:t>Nevneren skal bestå av verdien av alle eiendeler under forvaltning uten eksponeringer som nevnt i artikkel 7 nr. 1 i denne forordningen, og som kan henføres til kapitalforvalternes kollektive så vel som individuelle porteføljeforvaltningsaktiviteter.</w:t>
      </w:r>
    </w:p>
    <w:p w14:paraId="29A1DBC1" w14:textId="77777777" w:rsidR="00A54846" w:rsidRDefault="008A2731">
      <w:pPr>
        <w:pStyle w:val="AnnexNormal"/>
      </w:pPr>
      <w:r>
        <w:t>Kapitalforvalterne skal legge fram en KPI basert på KPI-ene for investeringsobjektenes omsetning og en KPI for investeringsobjektenes investeringsutgifter.</w:t>
      </w:r>
    </w:p>
    <w:p w14:paraId="41784A50" w14:textId="77777777" w:rsidR="00A54846" w:rsidRDefault="008A2731">
      <w:pPr>
        <w:pStyle w:val="AnnexNumberedText"/>
        <w:ind w:left="414" w:hanging="414"/>
      </w:pPr>
      <w:r>
        <w:t>2.</w:t>
      </w:r>
      <w:r>
        <w:rPr>
          <w:b/>
        </w:rPr>
        <w:tab/>
        <w:t>Metode for utarbeiding og rapportering av KPI som skal legges fram av kapitalforvaltere</w:t>
      </w:r>
    </w:p>
    <w:p w14:paraId="3EC7B8AD" w14:textId="77777777" w:rsidR="00A54846" w:rsidRDefault="008A2731">
      <w:pPr>
        <w:pStyle w:val="AnnexNormal"/>
      </w:pPr>
      <w:r>
        <w:t>Når det gjelder opplysninger som skal legges fram i henhold til artikkel 8 nr. 1 i forordning (EU) 2020/852, skal kapitalforvalterne</w:t>
      </w:r>
    </w:p>
    <w:p w14:paraId="0F04A7FB" w14:textId="77777777" w:rsidR="00A54846" w:rsidRDefault="008A2731">
      <w:pPr>
        <w:pStyle w:val="AnnexNumberedText"/>
        <w:ind w:left="293" w:hanging="293"/>
      </w:pPr>
      <w:r>
        <w:t>a)</w:t>
      </w:r>
      <w:r>
        <w:tab/>
        <w:t>legge fram KPI-en for hvert av miljømålene og for aggregerte taksonomiforenlige økonomiske aktiviteter på foretaks- eller konsernnivå,</w:t>
      </w:r>
    </w:p>
    <w:p w14:paraId="40AD0793" w14:textId="77777777" w:rsidR="00A54846" w:rsidRDefault="008A2731">
      <w:pPr>
        <w:pStyle w:val="AnnexNumberedText"/>
        <w:spacing w:after="0"/>
        <w:ind w:left="293" w:hanging="293"/>
      </w:pPr>
      <w:r>
        <w:t>b)</w:t>
      </w:r>
      <w:r>
        <w:tab/>
        <w:t>angi en undergruppe av omstillingsaktiviteter og muliggjørende aktiviteter og legge fram KPI-ene for aggregerte økonomiske aktiviteter på foretaks- eller konsernnivå,</w:t>
      </w:r>
    </w:p>
    <w:p w14:paraId="49085F81" w14:textId="77777777" w:rsidR="00A54846" w:rsidRDefault="00A54846">
      <w:pPr>
        <w:pStyle w:val="AnnexNumberedText"/>
        <w:ind w:left="293" w:hanging="293"/>
        <w:sectPr w:rsidR="00A54846">
          <w:footnotePr>
            <w:pos w:val="beneathText"/>
            <w:numRestart w:val="eachSect"/>
          </w:footnotePr>
          <w:pgSz w:w="11906" w:h="16838" w:code="9"/>
          <w:pgMar w:top="1680" w:right="1333" w:bottom="840" w:left="1333" w:header="920" w:footer="280" w:gutter="0"/>
          <w:cols w:space="708"/>
          <w:vAlign w:val="both"/>
          <w:docGrid w:linePitch="360"/>
        </w:sectPr>
      </w:pPr>
    </w:p>
    <w:p w14:paraId="6144AE2E" w14:textId="77777777" w:rsidR="00A54846" w:rsidRDefault="008A2731">
      <w:pPr>
        <w:pStyle w:val="AnnexNumberedText"/>
        <w:ind w:left="293" w:hanging="293"/>
      </w:pPr>
      <w:r>
        <w:lastRenderedPageBreak/>
        <w:t>c)</w:t>
      </w:r>
      <w:r>
        <w:tab/>
        <w:t>legge fram en spesifikasjon av telleren og nevneren etter type investeringer,</w:t>
      </w:r>
    </w:p>
    <w:p w14:paraId="22DAFE25" w14:textId="77777777" w:rsidR="00A54846" w:rsidRDefault="008A2731">
      <w:pPr>
        <w:pStyle w:val="AnnexNumberedText"/>
        <w:ind w:left="293" w:hanging="293"/>
      </w:pPr>
      <w:r>
        <w:t>d)</w:t>
      </w:r>
      <w:r>
        <w:tab/>
        <w:t>legge fram KPI-ene for de aggregerte økonomiske aktivitetene som er omfattet av taksonomien,</w:t>
      </w:r>
    </w:p>
    <w:p w14:paraId="46548657" w14:textId="77777777" w:rsidR="00A54846" w:rsidRDefault="008A2731">
      <w:pPr>
        <w:pStyle w:val="AnnexNumberedText"/>
        <w:ind w:left="293" w:hanging="293"/>
      </w:pPr>
      <w:r>
        <w:t>e)</w:t>
      </w:r>
      <w:r>
        <w:tab/>
        <w:t>legge fram opplysninger om hvor stor andel av eiendelene under forvaltning som utgjøres av økonomiske aktiviteter som ikke er omfattet av taksonomien,</w:t>
      </w:r>
    </w:p>
    <w:p w14:paraId="33B29A96" w14:textId="77777777" w:rsidR="00A54846" w:rsidRDefault="008A2731">
      <w:pPr>
        <w:pStyle w:val="AnnexNumberedText"/>
        <w:ind w:left="293" w:hanging="293"/>
      </w:pPr>
      <w:r>
        <w:t>f)</w:t>
      </w:r>
      <w:r>
        <w:tab/>
        <w:t>legge fram opplysninger om hvor stor andel investeringene i eksponeringer nevnt i artikkel 7 nr. 1 i denne forordningen, utgjør av alle investeringer,</w:t>
      </w:r>
    </w:p>
    <w:p w14:paraId="65E1444E" w14:textId="77777777" w:rsidR="00A54846" w:rsidRDefault="008A2731">
      <w:pPr>
        <w:pStyle w:val="AnnexNumberedText"/>
        <w:spacing w:after="400"/>
        <w:ind w:left="293" w:hanging="293"/>
      </w:pPr>
      <w:r>
        <w:t>g)</w:t>
      </w:r>
      <w:r>
        <w:tab/>
        <w:t>legge fram KPI-ene for hver enkelt kapitalforvalter dersom foretaket utelukkende utarbeider individuelle ikke-finansielle erklæringer, eller på konsernnivå dersom foretaket utarbeider konsoliderte ikke-finansielle erklæringer.</w:t>
      </w:r>
    </w:p>
    <w:p w14:paraId="0E06600C" w14:textId="77777777" w:rsidR="00A54846" w:rsidRDefault="008A2731">
      <w:pPr>
        <w:pStyle w:val="line2"/>
        <w:pBdr>
          <w:bottom w:val="none" w:sz="0" w:space="0" w:color="auto"/>
        </w:pBdr>
        <w:tabs>
          <w:tab w:val="left" w:leader="underscore" w:pos="522"/>
        </w:tabs>
        <w:ind w:left="0" w:right="0"/>
      </w:pPr>
      <w:r>
        <w:tab/>
      </w:r>
    </w:p>
    <w:p w14:paraId="259F5B91" w14:textId="77777777" w:rsidR="00A54846" w:rsidRDefault="00A54846">
      <w:pPr>
        <w:pStyle w:val="AnnexTI"/>
        <w:spacing w:after="360"/>
        <w:sectPr w:rsidR="00A54846">
          <w:footnotePr>
            <w:numRestart w:val="eachSect"/>
          </w:footnotePr>
          <w:pgSz w:w="11906" w:h="16838" w:code="9"/>
          <w:pgMar w:top="1680" w:right="1333" w:bottom="840" w:left="1333" w:header="920" w:footer="280" w:gutter="0"/>
          <w:cols w:space="708"/>
          <w:docGrid w:linePitch="360"/>
        </w:sectPr>
      </w:pPr>
    </w:p>
    <w:p w14:paraId="6D888DC8" w14:textId="77777777" w:rsidR="00A54846" w:rsidRDefault="008A2731">
      <w:pPr>
        <w:pStyle w:val="AnnexTI"/>
        <w:spacing w:after="360"/>
      </w:pPr>
      <w:r>
        <w:lastRenderedPageBreak/>
        <w:t>VEDLEGG IV</w:t>
      </w:r>
    </w:p>
    <w:p w14:paraId="2AB43622" w14:textId="77777777" w:rsidR="00A54846" w:rsidRDefault="008A2731">
      <w:pPr>
        <w:pStyle w:val="AnnexSTI"/>
        <w:spacing w:after="600" w:line="200" w:lineRule="exact"/>
        <w:rPr>
          <w:sz w:val="16"/>
        </w:rPr>
      </w:pPr>
      <w:r>
        <w:rPr>
          <w:sz w:val="16"/>
        </w:rPr>
        <w:t>MAL FOR KPI-en FOR KAPITALFORVALTERE</w:t>
      </w:r>
    </w:p>
    <w:p w14:paraId="5E8D6F38" w14:textId="77777777" w:rsidR="00A54846" w:rsidRDefault="008A2731">
      <w:pPr>
        <w:pStyle w:val="AnnexNormal"/>
      </w:pPr>
      <w:r>
        <w:t>Standardmal for opplysninger som skal legges fram i henhold til artikkel 8 i forordning (EU) 2020/852 (kapitalforvaltere)</w:t>
      </w:r>
    </w:p>
    <w:tbl>
      <w:tblPr>
        <w:tblStyle w:val="EFTATable"/>
        <w:tblW w:w="9240" w:type="dxa"/>
        <w:tblLayout w:type="fixed"/>
        <w:tblLook w:val="04A0" w:firstRow="1" w:lastRow="0" w:firstColumn="1" w:lastColumn="0" w:noHBand="0" w:noVBand="1"/>
      </w:tblPr>
      <w:tblGrid>
        <w:gridCol w:w="3300"/>
        <w:gridCol w:w="1728"/>
        <w:gridCol w:w="4212"/>
      </w:tblGrid>
      <w:tr w:rsidR="00A54846" w14:paraId="403BC1A1" w14:textId="77777777">
        <w:trPr>
          <w:trHeight w:val="240"/>
        </w:trPr>
        <w:tc>
          <w:tcPr>
            <w:tcW w:w="5028" w:type="dxa"/>
            <w:gridSpan w:val="2"/>
            <w:shd w:val="clear" w:color="auto" w:fill="F2EDE5"/>
            <w:tcMar>
              <w:top w:w="200" w:type="dxa"/>
              <w:left w:w="0" w:type="dxa"/>
              <w:bottom w:w="200" w:type="dxa"/>
            </w:tcMar>
          </w:tcPr>
          <w:p w14:paraId="72F0B260" w14:textId="77777777" w:rsidR="00A54846" w:rsidRDefault="008A2731">
            <w:pPr>
              <w:pStyle w:val="AnnexTableCellLeft"/>
            </w:pPr>
            <w:r>
              <w:t xml:space="preserve">Det vektede gjennomsnittet av verdien av alle investeringer som er rettet mot finansiering eller er forbundet med taksonomiforenlige økonomiske aktiviteter, </w:t>
            </w:r>
            <w:r>
              <w:rPr>
                <w:b/>
              </w:rPr>
              <w:t>i forhold til verdien av de samlede eiendelene som dekkes av KPI-en</w:t>
            </w:r>
            <w:r>
              <w:t>, med følgende vekter for investeringer i foretak:</w:t>
            </w:r>
          </w:p>
          <w:p w14:paraId="16F7F075" w14:textId="77777777" w:rsidR="00A54846" w:rsidRDefault="008A2731">
            <w:pPr>
              <w:pStyle w:val="AnnexTableCellLeft"/>
            </w:pPr>
            <w:r>
              <w:t>Basert på omsetning: %</w:t>
            </w:r>
          </w:p>
          <w:p w14:paraId="40D07B6A" w14:textId="77777777" w:rsidR="00A54846" w:rsidRDefault="008A2731">
            <w:pPr>
              <w:pStyle w:val="AnnexTableCellLeft"/>
            </w:pPr>
            <w:r>
              <w:t>Basert på investeringsutgifter: %</w:t>
            </w:r>
          </w:p>
        </w:tc>
        <w:tc>
          <w:tcPr>
            <w:tcW w:w="4212" w:type="dxa"/>
            <w:shd w:val="clear" w:color="auto" w:fill="F2EDE5"/>
            <w:tcMar>
              <w:top w:w="200" w:type="dxa"/>
              <w:left w:w="60" w:type="dxa"/>
              <w:bottom w:w="200" w:type="dxa"/>
            </w:tcMar>
          </w:tcPr>
          <w:p w14:paraId="191B7338" w14:textId="77777777" w:rsidR="00A54846" w:rsidRDefault="008A2731">
            <w:pPr>
              <w:pStyle w:val="AnnexTableCellLeft"/>
            </w:pPr>
            <w:r>
              <w:t>Det vektede gjennomsnittet av verdien av alle investeringer som er rettet mot finansiering eller er forbundet med taksonomiforenlige økonomiske aktiviteter, med følgende vekter for investeringer i foretak:</w:t>
            </w:r>
          </w:p>
          <w:p w14:paraId="4D1FD96D" w14:textId="77777777" w:rsidR="00A54846" w:rsidRDefault="008A2731">
            <w:pPr>
              <w:pStyle w:val="AnnexTableCellLeft"/>
            </w:pPr>
            <w:r>
              <w:t>Basert på omsetning: [pengebeløp]</w:t>
            </w:r>
          </w:p>
          <w:p w14:paraId="59E4F945" w14:textId="77777777" w:rsidR="00A54846" w:rsidRDefault="008A2731">
            <w:pPr>
              <w:pStyle w:val="AnnexTableCellLeft"/>
            </w:pPr>
            <w:r>
              <w:t>Basert på investeringsutgifter: [pengebeløp]</w:t>
            </w:r>
          </w:p>
        </w:tc>
      </w:tr>
      <w:tr w:rsidR="00A54846" w14:paraId="163E5FA3" w14:textId="77777777">
        <w:trPr>
          <w:trHeight w:val="240"/>
        </w:trPr>
        <w:tc>
          <w:tcPr>
            <w:tcW w:w="5028" w:type="dxa"/>
            <w:gridSpan w:val="2"/>
            <w:shd w:val="clear" w:color="auto" w:fill="F2EDE5"/>
            <w:tcMar>
              <w:top w:w="200" w:type="dxa"/>
              <w:left w:w="0" w:type="dxa"/>
              <w:bottom w:w="200" w:type="dxa"/>
            </w:tcMar>
          </w:tcPr>
          <w:p w14:paraId="4F80171A" w14:textId="77777777" w:rsidR="00A54846" w:rsidRDefault="008A2731">
            <w:pPr>
              <w:pStyle w:val="AnnexTableCellLeft"/>
            </w:pPr>
            <w:r>
              <w:t>Prosentdelen av eiendelene som dekkes av KPI-en, i forhold til alle investeringer (samlede eiendeler under forvaltning). Unntatt investeringer i statlige enheter. Dekningsgrad: %</w:t>
            </w:r>
          </w:p>
        </w:tc>
        <w:tc>
          <w:tcPr>
            <w:tcW w:w="4212" w:type="dxa"/>
            <w:shd w:val="clear" w:color="auto" w:fill="F2EDE5"/>
            <w:tcMar>
              <w:top w:w="200" w:type="dxa"/>
              <w:left w:w="60" w:type="dxa"/>
              <w:bottom w:w="200" w:type="dxa"/>
            </w:tcMar>
          </w:tcPr>
          <w:p w14:paraId="00032394" w14:textId="77777777" w:rsidR="00A54846" w:rsidRDefault="008A2731">
            <w:pPr>
              <w:pStyle w:val="AnnexTableCellLeft"/>
            </w:pPr>
            <w:r>
              <w:t>Pengeverdien av eiendelene som dekkes av KPI-en. Unntatt investeringer i offentlige enheter.</w:t>
            </w:r>
          </w:p>
          <w:p w14:paraId="1378A428" w14:textId="77777777" w:rsidR="00A54846" w:rsidRDefault="008A2731">
            <w:pPr>
              <w:pStyle w:val="AnnexTableCellLeft"/>
            </w:pPr>
            <w:r>
              <w:t>Dekning: [pengebeløp]</w:t>
            </w:r>
          </w:p>
        </w:tc>
      </w:tr>
      <w:tr w:rsidR="00A54846" w14:paraId="600ACD30" w14:textId="77777777">
        <w:trPr>
          <w:trHeight w:val="240"/>
        </w:trPr>
        <w:tc>
          <w:tcPr>
            <w:tcW w:w="9240" w:type="dxa"/>
            <w:gridSpan w:val="3"/>
            <w:shd w:val="clear" w:color="auto" w:fill="D9D4CC"/>
            <w:tcMar>
              <w:top w:w="200" w:type="dxa"/>
              <w:left w:w="0" w:type="dxa"/>
              <w:bottom w:w="200" w:type="dxa"/>
            </w:tcMar>
          </w:tcPr>
          <w:p w14:paraId="71E7ADFE" w14:textId="77777777" w:rsidR="00A54846" w:rsidRDefault="008A2731">
            <w:pPr>
              <w:pStyle w:val="AnnexTableCellLeft"/>
            </w:pPr>
            <w:r>
              <w:t xml:space="preserve">Andre tilleggsopplysninger: spesifikasjon av </w:t>
            </w:r>
            <w:r>
              <w:rPr>
                <w:b/>
              </w:rPr>
              <w:t>nevneren</w:t>
            </w:r>
            <w:r>
              <w:t xml:space="preserve"> i KPI-en</w:t>
            </w:r>
          </w:p>
        </w:tc>
      </w:tr>
      <w:tr w:rsidR="00A54846" w14:paraId="365C7574" w14:textId="77777777">
        <w:trPr>
          <w:trHeight w:val="240"/>
        </w:trPr>
        <w:tc>
          <w:tcPr>
            <w:tcW w:w="5028" w:type="dxa"/>
            <w:gridSpan w:val="2"/>
            <w:tcMar>
              <w:top w:w="200" w:type="dxa"/>
              <w:left w:w="0" w:type="dxa"/>
              <w:bottom w:w="200" w:type="dxa"/>
            </w:tcMar>
          </w:tcPr>
          <w:p w14:paraId="196E9FDA" w14:textId="77777777" w:rsidR="00A54846" w:rsidRDefault="008A2731">
            <w:pPr>
              <w:pStyle w:val="AnnexTableCellLeft"/>
            </w:pPr>
            <w:r>
              <w:t xml:space="preserve">Prosentdelen av derivater i forhold til </w:t>
            </w:r>
            <w:r>
              <w:rPr>
                <w:b/>
              </w:rPr>
              <w:t>de samlede eiendelene som dekkes av KPI-en</w:t>
            </w:r>
            <w:r>
              <w:t>.</w:t>
            </w:r>
          </w:p>
          <w:p w14:paraId="43F739DF" w14:textId="77777777" w:rsidR="00A54846" w:rsidRDefault="008A2731">
            <w:pPr>
              <w:pStyle w:val="AnnexTableCellLeft"/>
            </w:pPr>
            <w:r>
              <w:t>X %</w:t>
            </w:r>
          </w:p>
        </w:tc>
        <w:tc>
          <w:tcPr>
            <w:tcW w:w="4212" w:type="dxa"/>
            <w:tcMar>
              <w:top w:w="200" w:type="dxa"/>
              <w:left w:w="60" w:type="dxa"/>
              <w:bottom w:w="200" w:type="dxa"/>
            </w:tcMar>
          </w:tcPr>
          <w:p w14:paraId="7E740B61" w14:textId="77777777" w:rsidR="00A54846" w:rsidRDefault="008A2731">
            <w:pPr>
              <w:pStyle w:val="AnnexTableCellLeft"/>
            </w:pPr>
            <w:r>
              <w:t>Derivatenes verdi i pengebeløp:</w:t>
            </w:r>
          </w:p>
          <w:p w14:paraId="44E5939B" w14:textId="77777777" w:rsidR="00A54846" w:rsidRDefault="008A2731">
            <w:pPr>
              <w:pStyle w:val="AnnexTableCellLeft"/>
            </w:pPr>
            <w:r>
              <w:t>[pengebeløp]</w:t>
            </w:r>
          </w:p>
        </w:tc>
      </w:tr>
      <w:tr w:rsidR="00A54846" w14:paraId="28261569" w14:textId="77777777">
        <w:trPr>
          <w:trHeight w:val="240"/>
        </w:trPr>
        <w:tc>
          <w:tcPr>
            <w:tcW w:w="5028" w:type="dxa"/>
            <w:gridSpan w:val="2"/>
            <w:tcMar>
              <w:top w:w="200" w:type="dxa"/>
              <w:left w:w="0" w:type="dxa"/>
              <w:bottom w:w="200" w:type="dxa"/>
            </w:tcMar>
          </w:tcPr>
          <w:p w14:paraId="1412BC4F" w14:textId="77777777" w:rsidR="00A54846" w:rsidRDefault="008A2731">
            <w:pPr>
              <w:pStyle w:val="AnnexTableCellLeft"/>
            </w:pPr>
            <w:r>
              <w:t xml:space="preserve">Andelen </w:t>
            </w:r>
            <w:r>
              <w:rPr>
                <w:b/>
              </w:rPr>
              <w:t>eksponeringer mot finansielle og ikke-finansielle foretak i EU som ikke er omfattet av artikkel 19a og 29a i direktiv 2013/34/EU</w:t>
            </w:r>
            <w:r>
              <w:t>, i forhold til de samlede eiendelene som dekkes av KPI-en:</w:t>
            </w:r>
          </w:p>
          <w:p w14:paraId="2DCEDC05" w14:textId="77777777" w:rsidR="00A54846" w:rsidRDefault="008A2731">
            <w:pPr>
              <w:pStyle w:val="AnnexTableCellLeft"/>
            </w:pPr>
            <w:r>
              <w:t>For ikke-finansielle foretak:</w:t>
            </w:r>
          </w:p>
          <w:p w14:paraId="73DB83EE" w14:textId="77777777" w:rsidR="00A54846" w:rsidRDefault="008A2731">
            <w:pPr>
              <w:pStyle w:val="AnnexTableCellLeft"/>
            </w:pPr>
            <w:r>
              <w:t>For finansielle foretak:</w:t>
            </w:r>
          </w:p>
        </w:tc>
        <w:tc>
          <w:tcPr>
            <w:tcW w:w="4212" w:type="dxa"/>
            <w:tcMar>
              <w:top w:w="200" w:type="dxa"/>
              <w:left w:w="60" w:type="dxa"/>
              <w:bottom w:w="200" w:type="dxa"/>
            </w:tcMar>
          </w:tcPr>
          <w:p w14:paraId="476132AD" w14:textId="77777777" w:rsidR="00A54846" w:rsidRDefault="008A2731">
            <w:pPr>
              <w:pStyle w:val="AnnexTableCellLeft"/>
            </w:pPr>
            <w:r>
              <w:t xml:space="preserve">Verdien av </w:t>
            </w:r>
            <w:r>
              <w:rPr>
                <w:b/>
              </w:rPr>
              <w:t>eksponeringer mot finansielle og ikke-finansielle foretak i EU som ikke er omfattet av artikkel 19a og 29a i direktiv 2013/34/EU</w:t>
            </w:r>
            <w:r>
              <w:t>:</w:t>
            </w:r>
          </w:p>
          <w:p w14:paraId="76E2025E" w14:textId="77777777" w:rsidR="00A54846" w:rsidRDefault="008A2731">
            <w:pPr>
              <w:pStyle w:val="AnnexTableCellLeft"/>
            </w:pPr>
            <w:r>
              <w:t>For ikke-finansielle foretak: [pengebeløp]</w:t>
            </w:r>
          </w:p>
          <w:p w14:paraId="5781C316" w14:textId="77777777" w:rsidR="00A54846" w:rsidRDefault="008A2731">
            <w:pPr>
              <w:pStyle w:val="AnnexTableCellLeft"/>
            </w:pPr>
            <w:r>
              <w:t>For finansielle foretak: [pengebeløp]</w:t>
            </w:r>
          </w:p>
        </w:tc>
      </w:tr>
      <w:tr w:rsidR="00A54846" w14:paraId="11A934A9" w14:textId="77777777">
        <w:trPr>
          <w:trHeight w:val="240"/>
        </w:trPr>
        <w:tc>
          <w:tcPr>
            <w:tcW w:w="5028" w:type="dxa"/>
            <w:gridSpan w:val="2"/>
            <w:tcMar>
              <w:top w:w="200" w:type="dxa"/>
              <w:left w:w="0" w:type="dxa"/>
              <w:bottom w:w="200" w:type="dxa"/>
            </w:tcMar>
          </w:tcPr>
          <w:p w14:paraId="58101EA1" w14:textId="77777777" w:rsidR="00A54846" w:rsidRDefault="008A2731">
            <w:pPr>
              <w:pStyle w:val="AnnexTableCellLeft"/>
            </w:pPr>
            <w:r>
              <w:t xml:space="preserve">Andelen </w:t>
            </w:r>
            <w:r>
              <w:rPr>
                <w:b/>
              </w:rPr>
              <w:t>eksponeringer mot finansielle og ikke-finansielle foretak fra land utenfor EU som ikke er omfattet av artikkel 19a og 29a i direktiv 2013/34/EU</w:t>
            </w:r>
            <w:r>
              <w:t>, i forhold til de samlede eiendelene som dekkes av KPI-en:</w:t>
            </w:r>
          </w:p>
          <w:p w14:paraId="7D73FD3F" w14:textId="77777777" w:rsidR="00A54846" w:rsidRDefault="008A2731">
            <w:pPr>
              <w:pStyle w:val="AnnexTableCellLeft"/>
            </w:pPr>
            <w:r>
              <w:t>For ikke-finansielle foretak:</w:t>
            </w:r>
          </w:p>
          <w:p w14:paraId="65C75644" w14:textId="77777777" w:rsidR="00A54846" w:rsidRDefault="008A2731">
            <w:pPr>
              <w:pStyle w:val="AnnexTableCellLeft"/>
            </w:pPr>
            <w:r>
              <w:t>For finansielle foretak:</w:t>
            </w:r>
          </w:p>
        </w:tc>
        <w:tc>
          <w:tcPr>
            <w:tcW w:w="4212" w:type="dxa"/>
            <w:tcMar>
              <w:top w:w="200" w:type="dxa"/>
              <w:left w:w="60" w:type="dxa"/>
              <w:bottom w:w="200" w:type="dxa"/>
            </w:tcMar>
          </w:tcPr>
          <w:p w14:paraId="2B455CA0" w14:textId="77777777" w:rsidR="00A54846" w:rsidRDefault="008A2731">
            <w:pPr>
              <w:pStyle w:val="AnnexTableCellLeft"/>
            </w:pPr>
            <w:r>
              <w:t xml:space="preserve">Verdien av </w:t>
            </w:r>
            <w:r>
              <w:rPr>
                <w:b/>
              </w:rPr>
              <w:t>eksponeringer mot finansielle og ikke-finansielle foretak fra land utenfor EU som ikke er omfattet av artikkel 19a og 29a i direktiv 2013/34/EU</w:t>
            </w:r>
            <w:r>
              <w:t>:</w:t>
            </w:r>
          </w:p>
          <w:p w14:paraId="1EFF2B83" w14:textId="77777777" w:rsidR="00A54846" w:rsidRDefault="008A2731">
            <w:pPr>
              <w:pStyle w:val="AnnexTableCellLeft"/>
            </w:pPr>
            <w:r>
              <w:t>For ikke-finansielle foretak: [pengebeløp]</w:t>
            </w:r>
          </w:p>
          <w:p w14:paraId="3E34FBB5" w14:textId="77777777" w:rsidR="00A54846" w:rsidRDefault="008A2731">
            <w:pPr>
              <w:pStyle w:val="AnnexTableCellLeft"/>
            </w:pPr>
            <w:r>
              <w:t>For finansielle foretak: [pengebeløp]</w:t>
            </w:r>
          </w:p>
        </w:tc>
      </w:tr>
      <w:tr w:rsidR="00A54846" w14:paraId="59332A7E" w14:textId="77777777">
        <w:trPr>
          <w:trHeight w:val="240"/>
        </w:trPr>
        <w:tc>
          <w:tcPr>
            <w:tcW w:w="5028" w:type="dxa"/>
            <w:gridSpan w:val="2"/>
            <w:tcMar>
              <w:top w:w="200" w:type="dxa"/>
              <w:left w:w="0" w:type="dxa"/>
              <w:bottom w:w="200" w:type="dxa"/>
            </w:tcMar>
          </w:tcPr>
          <w:p w14:paraId="2355EC12" w14:textId="77777777" w:rsidR="00A54846" w:rsidRDefault="008A2731">
            <w:pPr>
              <w:pStyle w:val="AnnexTableCellLeft"/>
            </w:pPr>
            <w:r>
              <w:t xml:space="preserve">Andelen </w:t>
            </w:r>
            <w:r>
              <w:rPr>
                <w:b/>
              </w:rPr>
              <w:t>eksponeringer mot finansielle og ikke-finansielle foretak som er omfattet av artikkel 19a og 29a i direktiv 2013/34/EU</w:t>
            </w:r>
            <w:r>
              <w:t>, i forhold til de samlede eiendelene som dekkes av KPI-en:</w:t>
            </w:r>
          </w:p>
          <w:p w14:paraId="324E3C9E" w14:textId="77777777" w:rsidR="00A54846" w:rsidRDefault="008A2731">
            <w:pPr>
              <w:pStyle w:val="AnnexTableCellLeft"/>
            </w:pPr>
            <w:r>
              <w:t>For ikke-finansielle foretak:</w:t>
            </w:r>
          </w:p>
          <w:p w14:paraId="7E783736" w14:textId="77777777" w:rsidR="00A54846" w:rsidRDefault="008A2731">
            <w:pPr>
              <w:pStyle w:val="AnnexTableCellLeft"/>
            </w:pPr>
            <w:r>
              <w:t>For finansielle foretak:</w:t>
            </w:r>
          </w:p>
        </w:tc>
        <w:tc>
          <w:tcPr>
            <w:tcW w:w="4212" w:type="dxa"/>
            <w:tcMar>
              <w:top w:w="200" w:type="dxa"/>
              <w:left w:w="60" w:type="dxa"/>
              <w:bottom w:w="200" w:type="dxa"/>
            </w:tcMar>
          </w:tcPr>
          <w:p w14:paraId="64EB0D33" w14:textId="77777777" w:rsidR="00A54846" w:rsidRDefault="008A2731">
            <w:pPr>
              <w:pStyle w:val="AnnexTableCellLeft"/>
            </w:pPr>
            <w:r>
              <w:t xml:space="preserve">Verdien av </w:t>
            </w:r>
            <w:r>
              <w:rPr>
                <w:b/>
              </w:rPr>
              <w:t>eksponeringer mot finansielle og ikke-finansielle foretak som er omfattet av artikkel 19a og 29a i direktiv 2013/34/EU</w:t>
            </w:r>
            <w:r>
              <w:t>:</w:t>
            </w:r>
          </w:p>
          <w:p w14:paraId="28663DA9" w14:textId="77777777" w:rsidR="00A54846" w:rsidRDefault="008A2731">
            <w:pPr>
              <w:pStyle w:val="AnnexTableCellLeft"/>
            </w:pPr>
            <w:r>
              <w:t>For ikke-finansielle foretak: [pengebeløp]</w:t>
            </w:r>
          </w:p>
          <w:p w14:paraId="755857F4" w14:textId="77777777" w:rsidR="00A54846" w:rsidRDefault="008A2731">
            <w:pPr>
              <w:pStyle w:val="AnnexTableCellLeft"/>
            </w:pPr>
            <w:r>
              <w:t>For finansielle foretak: [pengebeløp]</w:t>
            </w:r>
          </w:p>
        </w:tc>
      </w:tr>
      <w:tr w:rsidR="00A54846" w14:paraId="1A2E4F07" w14:textId="77777777">
        <w:trPr>
          <w:trHeight w:val="240"/>
        </w:trPr>
        <w:tc>
          <w:tcPr>
            <w:tcW w:w="5028" w:type="dxa"/>
            <w:gridSpan w:val="2"/>
            <w:tcMar>
              <w:top w:w="200" w:type="dxa"/>
              <w:left w:w="0" w:type="dxa"/>
              <w:bottom w:w="200" w:type="dxa"/>
            </w:tcMar>
          </w:tcPr>
          <w:p w14:paraId="1AF2118C" w14:textId="77777777" w:rsidR="00A54846" w:rsidRDefault="008A2731">
            <w:pPr>
              <w:pStyle w:val="AnnexTableCellLeft"/>
            </w:pPr>
            <w:r>
              <w:t xml:space="preserve">Andelen </w:t>
            </w:r>
            <w:r>
              <w:rPr>
                <w:b/>
              </w:rPr>
              <w:t>eksponeringer mot andre motparter</w:t>
            </w:r>
            <w:r>
              <w:t xml:space="preserve"> i forhold til de samlede eiendelene som dekkes av KPI-en:</w:t>
            </w:r>
          </w:p>
          <w:p w14:paraId="5397DF4E" w14:textId="77777777" w:rsidR="00A54846" w:rsidRDefault="008A2731">
            <w:pPr>
              <w:pStyle w:val="AnnexTableCellLeft"/>
            </w:pPr>
            <w:r>
              <w:t>X %</w:t>
            </w:r>
          </w:p>
        </w:tc>
        <w:tc>
          <w:tcPr>
            <w:tcW w:w="4212" w:type="dxa"/>
            <w:tcMar>
              <w:top w:w="200" w:type="dxa"/>
              <w:left w:w="60" w:type="dxa"/>
              <w:bottom w:w="200" w:type="dxa"/>
            </w:tcMar>
          </w:tcPr>
          <w:p w14:paraId="045E9D10" w14:textId="77777777" w:rsidR="00A54846" w:rsidRDefault="008A2731">
            <w:pPr>
              <w:pStyle w:val="AnnexTableCellLeft"/>
            </w:pPr>
            <w:r>
              <w:t xml:space="preserve">Verdien av </w:t>
            </w:r>
            <w:r>
              <w:rPr>
                <w:b/>
              </w:rPr>
              <w:t>eksponeringer mot andre motparter</w:t>
            </w:r>
            <w:r>
              <w:t>:</w:t>
            </w:r>
          </w:p>
          <w:p w14:paraId="3CBC2D9A" w14:textId="77777777" w:rsidR="00A54846" w:rsidRDefault="008A2731">
            <w:pPr>
              <w:pStyle w:val="AnnexTableCellLeft"/>
            </w:pPr>
            <w:r>
              <w:t>[pengebeløp]</w:t>
            </w:r>
          </w:p>
        </w:tc>
      </w:tr>
      <w:tr w:rsidR="00A54846" w14:paraId="460442B0" w14:textId="77777777">
        <w:trPr>
          <w:trHeight w:val="240"/>
        </w:trPr>
        <w:tc>
          <w:tcPr>
            <w:tcW w:w="5028" w:type="dxa"/>
            <w:gridSpan w:val="2"/>
            <w:tcMar>
              <w:top w:w="200" w:type="dxa"/>
              <w:left w:w="0" w:type="dxa"/>
              <w:bottom w:w="200" w:type="dxa"/>
            </w:tcMar>
          </w:tcPr>
          <w:p w14:paraId="7D9A9076" w14:textId="77777777" w:rsidR="00A54846" w:rsidRDefault="008A2731">
            <w:pPr>
              <w:pStyle w:val="AnnexTableCellLeft"/>
            </w:pPr>
            <w:r>
              <w:t xml:space="preserve">Verdien av alle investeringer som finansierer </w:t>
            </w:r>
            <w:r>
              <w:rPr>
                <w:b/>
              </w:rPr>
              <w:t>økonomiske aktiviteter som ikke er omfattet av taksonomien</w:t>
            </w:r>
            <w:r>
              <w:t xml:space="preserve">, i forhold til </w:t>
            </w:r>
            <w:r>
              <w:lastRenderedPageBreak/>
              <w:t>verdien av de samlede eiendelene som dekkes av KPI-en:</w:t>
            </w:r>
          </w:p>
          <w:p w14:paraId="2DA505AA" w14:textId="77777777" w:rsidR="00A54846" w:rsidRDefault="008A2731">
            <w:pPr>
              <w:pStyle w:val="AnnexTableCellLeft"/>
            </w:pPr>
            <w:r>
              <w:t>X %</w:t>
            </w:r>
          </w:p>
        </w:tc>
        <w:tc>
          <w:tcPr>
            <w:tcW w:w="4212" w:type="dxa"/>
            <w:tcMar>
              <w:top w:w="200" w:type="dxa"/>
              <w:left w:w="60" w:type="dxa"/>
              <w:bottom w:w="200" w:type="dxa"/>
            </w:tcMar>
          </w:tcPr>
          <w:p w14:paraId="2ED71BE8" w14:textId="77777777" w:rsidR="00A54846" w:rsidRDefault="008A2731">
            <w:pPr>
              <w:pStyle w:val="AnnexTableCellLeft"/>
            </w:pPr>
            <w:r>
              <w:lastRenderedPageBreak/>
              <w:t xml:space="preserve">Verdien av alle investeringer som finansierer </w:t>
            </w:r>
            <w:r>
              <w:rPr>
                <w:b/>
              </w:rPr>
              <w:t xml:space="preserve">økonomiske aktiviteter som ikke er omfattet av </w:t>
            </w:r>
            <w:r>
              <w:rPr>
                <w:b/>
              </w:rPr>
              <w:lastRenderedPageBreak/>
              <w:t>taksonomien</w:t>
            </w:r>
            <w:r>
              <w:t>:</w:t>
            </w:r>
          </w:p>
          <w:p w14:paraId="0D566242" w14:textId="77777777" w:rsidR="00A54846" w:rsidRDefault="008A2731">
            <w:pPr>
              <w:pStyle w:val="AnnexTableCellLeft"/>
            </w:pPr>
            <w:r>
              <w:t>[pengebeløp]</w:t>
            </w:r>
          </w:p>
        </w:tc>
      </w:tr>
      <w:tr w:rsidR="00A54846" w14:paraId="604709E0" w14:textId="77777777">
        <w:trPr>
          <w:trHeight w:val="240"/>
        </w:trPr>
        <w:tc>
          <w:tcPr>
            <w:tcW w:w="5028" w:type="dxa"/>
            <w:gridSpan w:val="2"/>
            <w:tcMar>
              <w:left w:w="0" w:type="dxa"/>
            </w:tcMar>
          </w:tcPr>
          <w:p w14:paraId="2C7F2312" w14:textId="77777777" w:rsidR="00A54846" w:rsidRDefault="008A2731">
            <w:pPr>
              <w:pStyle w:val="AnnexTableCellLeft"/>
              <w:pageBreakBefore/>
            </w:pPr>
            <w:r>
              <w:lastRenderedPageBreak/>
              <w:t xml:space="preserve">Verdien av alle investeringer som finansierer økonomiske aktiviteter som er omfattet av taksonomien, </w:t>
            </w:r>
            <w:r>
              <w:rPr>
                <w:b/>
              </w:rPr>
              <w:t>men som ikke er taksonomiforenlige</w:t>
            </w:r>
            <w:r>
              <w:t>, i forhold til verdien av de samlede eiendelene som dekkes av KPI-en:</w:t>
            </w:r>
          </w:p>
          <w:p w14:paraId="247127CE" w14:textId="77777777" w:rsidR="00A54846" w:rsidRDefault="008A2731">
            <w:pPr>
              <w:pStyle w:val="AnnexTableCellLeft"/>
            </w:pPr>
            <w:r>
              <w:t>X %</w:t>
            </w:r>
          </w:p>
        </w:tc>
        <w:tc>
          <w:tcPr>
            <w:tcW w:w="4212" w:type="dxa"/>
            <w:tcMar>
              <w:left w:w="60" w:type="dxa"/>
            </w:tcMar>
          </w:tcPr>
          <w:p w14:paraId="2410E181" w14:textId="77777777" w:rsidR="00A54846" w:rsidRDefault="008A2731">
            <w:pPr>
              <w:pStyle w:val="AnnexTableCellLeft"/>
            </w:pPr>
            <w:r>
              <w:t xml:space="preserve">Verdien av alle investeringer som finansierer økonomiske aktiviteter som er omfattet av taksonomien, </w:t>
            </w:r>
            <w:r>
              <w:rPr>
                <w:b/>
              </w:rPr>
              <w:t>men som ikke er taksonomiforenlige</w:t>
            </w:r>
            <w:r>
              <w:t>:</w:t>
            </w:r>
          </w:p>
          <w:p w14:paraId="36A7D945" w14:textId="77777777" w:rsidR="00A54846" w:rsidRDefault="008A2731">
            <w:pPr>
              <w:pStyle w:val="AnnexTableCellLeft"/>
            </w:pPr>
            <w:r>
              <w:t>[pengebeløp]</w:t>
            </w:r>
          </w:p>
        </w:tc>
      </w:tr>
      <w:tr w:rsidR="00A54846" w14:paraId="21A0643D" w14:textId="77777777">
        <w:trPr>
          <w:trHeight w:val="240"/>
        </w:trPr>
        <w:tc>
          <w:tcPr>
            <w:tcW w:w="9240" w:type="dxa"/>
            <w:gridSpan w:val="3"/>
            <w:shd w:val="clear" w:color="auto" w:fill="D9D4CC"/>
            <w:tcMar>
              <w:left w:w="0" w:type="dxa"/>
            </w:tcMar>
          </w:tcPr>
          <w:p w14:paraId="2052C01A" w14:textId="77777777" w:rsidR="00A54846" w:rsidRDefault="008A2731">
            <w:pPr>
              <w:pStyle w:val="AnnexTableCellLeft"/>
            </w:pPr>
            <w:r>
              <w:t xml:space="preserve">Andre tilleggsopplysninger: spesifikasjon av </w:t>
            </w:r>
            <w:r>
              <w:rPr>
                <w:b/>
              </w:rPr>
              <w:t>telleren</w:t>
            </w:r>
            <w:r>
              <w:t xml:space="preserve"> i KPI-en</w:t>
            </w:r>
          </w:p>
        </w:tc>
      </w:tr>
      <w:tr w:rsidR="00A54846" w14:paraId="3EDC8616" w14:textId="77777777">
        <w:trPr>
          <w:trHeight w:val="240"/>
        </w:trPr>
        <w:tc>
          <w:tcPr>
            <w:tcW w:w="5028" w:type="dxa"/>
            <w:gridSpan w:val="2"/>
            <w:tcMar>
              <w:left w:w="0" w:type="dxa"/>
            </w:tcMar>
          </w:tcPr>
          <w:p w14:paraId="213233E1" w14:textId="77777777" w:rsidR="00A54846" w:rsidRDefault="008A2731">
            <w:pPr>
              <w:pStyle w:val="AnnexTableCellLeft"/>
            </w:pPr>
            <w:r>
              <w:t xml:space="preserve">Andelen </w:t>
            </w:r>
            <w:r>
              <w:rPr>
                <w:b/>
              </w:rPr>
              <w:t>taksonomiforenlige eksponeringer mot finansielle og ikke-finansielle foretak som er omfattet av artikkel 19a og 29a i direktiv 2013/34/EU</w:t>
            </w:r>
            <w:r>
              <w:t>, i forhold til de samlede eiendelene som dekkes av KPI-en:</w:t>
            </w:r>
          </w:p>
          <w:p w14:paraId="1DFD0FAA" w14:textId="77777777" w:rsidR="00A54846" w:rsidRDefault="008A2731">
            <w:pPr>
              <w:pStyle w:val="AnnexTableCellLeft"/>
            </w:pPr>
            <w:r>
              <w:t>For ikke-finansielle foretak:</w:t>
            </w:r>
          </w:p>
          <w:p w14:paraId="104EA6D5" w14:textId="77777777" w:rsidR="00A54846" w:rsidRDefault="008A2731">
            <w:pPr>
              <w:pStyle w:val="AnnexTableCellLeft"/>
            </w:pPr>
            <w:r>
              <w:t>Basert på omsetning: %</w:t>
            </w:r>
          </w:p>
          <w:p w14:paraId="3462E417" w14:textId="77777777" w:rsidR="00A54846" w:rsidRDefault="008A2731">
            <w:pPr>
              <w:pStyle w:val="AnnexTableCellLeft"/>
            </w:pPr>
            <w:r>
              <w:t>Basert på investeringsutgifter: %</w:t>
            </w:r>
          </w:p>
          <w:p w14:paraId="50D50E5C" w14:textId="77777777" w:rsidR="00A54846" w:rsidRDefault="008A2731">
            <w:pPr>
              <w:pStyle w:val="AnnexTableCellLeft"/>
            </w:pPr>
            <w:r>
              <w:t>For finansielle foretak:</w:t>
            </w:r>
          </w:p>
          <w:p w14:paraId="1894CE9E" w14:textId="77777777" w:rsidR="00A54846" w:rsidRDefault="008A2731">
            <w:pPr>
              <w:pStyle w:val="AnnexTableCellLeft"/>
            </w:pPr>
            <w:r>
              <w:t>Basert på omsetning: %</w:t>
            </w:r>
          </w:p>
          <w:p w14:paraId="1FC74C28" w14:textId="77777777" w:rsidR="00A54846" w:rsidRDefault="008A2731">
            <w:pPr>
              <w:pStyle w:val="AnnexTableCellLeft"/>
            </w:pPr>
            <w:r>
              <w:t>Basert på investeringsutgifter: %</w:t>
            </w:r>
          </w:p>
        </w:tc>
        <w:tc>
          <w:tcPr>
            <w:tcW w:w="4212" w:type="dxa"/>
            <w:tcMar>
              <w:left w:w="60" w:type="dxa"/>
            </w:tcMar>
          </w:tcPr>
          <w:p w14:paraId="3BC15C52" w14:textId="77777777" w:rsidR="00A54846" w:rsidRDefault="008A2731">
            <w:pPr>
              <w:pStyle w:val="AnnexTableCellLeft"/>
            </w:pPr>
            <w:r>
              <w:t xml:space="preserve">Verdien av </w:t>
            </w:r>
            <w:r>
              <w:rPr>
                <w:b/>
              </w:rPr>
              <w:t>taksonomiforenlige eksponeringer mot finansielle og ikke-finansielle foretak som er omfattet av artikkel 19a og 29a i direktiv 2013/34/EU</w:t>
            </w:r>
            <w:r>
              <w:t>:</w:t>
            </w:r>
          </w:p>
          <w:p w14:paraId="03FF7BB3" w14:textId="77777777" w:rsidR="00A54846" w:rsidRDefault="008A2731">
            <w:pPr>
              <w:pStyle w:val="AnnexTableCellLeft"/>
            </w:pPr>
            <w:r>
              <w:t>For ikke-finansielle foretak:</w:t>
            </w:r>
          </w:p>
          <w:p w14:paraId="7B39478F" w14:textId="77777777" w:rsidR="00A54846" w:rsidRDefault="008A2731">
            <w:pPr>
              <w:pStyle w:val="AnnexTableCellLeft"/>
            </w:pPr>
            <w:r>
              <w:t>Basert på omsetning: [pengebeløp]</w:t>
            </w:r>
          </w:p>
          <w:p w14:paraId="5F7B285E" w14:textId="77777777" w:rsidR="00A54846" w:rsidRDefault="008A2731">
            <w:pPr>
              <w:pStyle w:val="AnnexTableCellLeft"/>
            </w:pPr>
            <w:r>
              <w:t>Basert på investeringsutgifter: [pengebeløp]</w:t>
            </w:r>
          </w:p>
          <w:p w14:paraId="12C87BE3" w14:textId="77777777" w:rsidR="00A54846" w:rsidRDefault="008A2731">
            <w:pPr>
              <w:pStyle w:val="AnnexTableCellLeft"/>
            </w:pPr>
            <w:r>
              <w:t>For finansielle foretak:</w:t>
            </w:r>
          </w:p>
          <w:p w14:paraId="30456FDC" w14:textId="77777777" w:rsidR="00A54846" w:rsidRDefault="008A2731">
            <w:pPr>
              <w:pStyle w:val="AnnexTableCellLeft"/>
            </w:pPr>
            <w:r>
              <w:t>Basert på omsetning: [pengebeløp]</w:t>
            </w:r>
          </w:p>
          <w:p w14:paraId="72E10DD4" w14:textId="77777777" w:rsidR="00A54846" w:rsidRDefault="008A2731">
            <w:pPr>
              <w:pStyle w:val="AnnexTableCellLeft"/>
            </w:pPr>
            <w:r>
              <w:t>Basert på investeringsutgifter: [pengebeløp]</w:t>
            </w:r>
          </w:p>
        </w:tc>
      </w:tr>
      <w:tr w:rsidR="00A54846" w14:paraId="6DB40D20" w14:textId="77777777">
        <w:trPr>
          <w:trHeight w:val="240"/>
        </w:trPr>
        <w:tc>
          <w:tcPr>
            <w:tcW w:w="5028" w:type="dxa"/>
            <w:gridSpan w:val="2"/>
            <w:tcMar>
              <w:left w:w="0" w:type="dxa"/>
            </w:tcMar>
          </w:tcPr>
          <w:p w14:paraId="2D10CE70" w14:textId="77777777" w:rsidR="00A54846" w:rsidRDefault="008A2731">
            <w:pPr>
              <w:pStyle w:val="AnnexTableCellLeft"/>
            </w:pPr>
            <w:r>
              <w:t xml:space="preserve">Andelen </w:t>
            </w:r>
            <w:r>
              <w:rPr>
                <w:b/>
              </w:rPr>
              <w:t>taksonomiforenlige eksponeringer mot andre motparter</w:t>
            </w:r>
            <w:r>
              <w:t xml:space="preserve"> i forhold til de samlede eiendelene som dekkes av KPI-en:</w:t>
            </w:r>
          </w:p>
          <w:p w14:paraId="78CC6D5C" w14:textId="77777777" w:rsidR="00A54846" w:rsidRDefault="008A2731">
            <w:pPr>
              <w:pStyle w:val="AnnexTableCellLeft"/>
            </w:pPr>
            <w:r>
              <w:t>Basert på omsetning: %</w:t>
            </w:r>
          </w:p>
          <w:p w14:paraId="558C57FC" w14:textId="77777777" w:rsidR="00A54846" w:rsidRDefault="008A2731">
            <w:pPr>
              <w:pStyle w:val="AnnexTableCellLeft"/>
            </w:pPr>
            <w:r>
              <w:t>Basert på investeringsutgifter: %</w:t>
            </w:r>
          </w:p>
        </w:tc>
        <w:tc>
          <w:tcPr>
            <w:tcW w:w="4212" w:type="dxa"/>
            <w:tcMar>
              <w:left w:w="60" w:type="dxa"/>
            </w:tcMar>
          </w:tcPr>
          <w:p w14:paraId="0418383D" w14:textId="77777777" w:rsidR="00A54846" w:rsidRDefault="008A2731">
            <w:pPr>
              <w:pStyle w:val="AnnexTableCellLeft"/>
            </w:pPr>
            <w:r>
              <w:t xml:space="preserve">Verdien av </w:t>
            </w:r>
            <w:r>
              <w:rPr>
                <w:b/>
              </w:rPr>
              <w:t>taksonomiforenlige eksponeringer mot andre motparter</w:t>
            </w:r>
            <w:r>
              <w:t>:</w:t>
            </w:r>
          </w:p>
          <w:p w14:paraId="30323FE6" w14:textId="77777777" w:rsidR="00A54846" w:rsidRDefault="008A2731">
            <w:pPr>
              <w:pStyle w:val="AnnexTableCellLeft"/>
            </w:pPr>
            <w:r>
              <w:t>Basert på omsetning: [pengebeløp]</w:t>
            </w:r>
          </w:p>
          <w:p w14:paraId="12CA15D3" w14:textId="77777777" w:rsidR="00A54846" w:rsidRDefault="008A2731">
            <w:pPr>
              <w:pStyle w:val="AnnexTableCellLeft"/>
            </w:pPr>
            <w:r>
              <w:t>Basert på investeringsutgifter: [pengebeløp]</w:t>
            </w:r>
          </w:p>
        </w:tc>
      </w:tr>
      <w:tr w:rsidR="00A54846" w14:paraId="56AE56EB" w14:textId="77777777">
        <w:trPr>
          <w:trHeight w:val="240"/>
        </w:trPr>
        <w:tc>
          <w:tcPr>
            <w:tcW w:w="9240" w:type="dxa"/>
            <w:gridSpan w:val="3"/>
            <w:shd w:val="clear" w:color="auto" w:fill="F2EDE5"/>
            <w:tcMar>
              <w:left w:w="0" w:type="dxa"/>
            </w:tcMar>
          </w:tcPr>
          <w:p w14:paraId="2F687DC9" w14:textId="77777777" w:rsidR="00A54846" w:rsidRDefault="008A2731">
            <w:pPr>
              <w:pStyle w:val="AnnexTableCellLeft"/>
            </w:pPr>
            <w:r>
              <w:rPr>
                <w:b/>
              </w:rPr>
              <w:t>Spesifikasjon av telleren i KPI-en etter miljømål</w:t>
            </w:r>
          </w:p>
        </w:tc>
      </w:tr>
      <w:tr w:rsidR="00A54846" w14:paraId="0DFA6A93" w14:textId="77777777">
        <w:trPr>
          <w:trHeight w:val="240"/>
        </w:trPr>
        <w:tc>
          <w:tcPr>
            <w:tcW w:w="9240" w:type="dxa"/>
            <w:gridSpan w:val="3"/>
            <w:shd w:val="clear" w:color="auto" w:fill="F2EDE5"/>
            <w:tcMar>
              <w:left w:w="0" w:type="dxa"/>
            </w:tcMar>
          </w:tcPr>
          <w:p w14:paraId="79495979" w14:textId="77777777" w:rsidR="00A54846" w:rsidRDefault="008A2731">
            <w:pPr>
              <w:pStyle w:val="AnnexTableCellLeft"/>
            </w:pPr>
            <w:r>
              <w:rPr>
                <w:b/>
              </w:rPr>
              <w:t>Taksonomiforenlige aktiviteter</w:t>
            </w:r>
            <w:r>
              <w:t xml:space="preserve"> –</w:t>
            </w:r>
          </w:p>
        </w:tc>
      </w:tr>
      <w:tr w:rsidR="00A54846" w14:paraId="212F2436" w14:textId="77777777">
        <w:trPr>
          <w:trHeight w:val="360"/>
        </w:trPr>
        <w:tc>
          <w:tcPr>
            <w:tcW w:w="3300" w:type="dxa"/>
            <w:tcMar>
              <w:left w:w="0" w:type="dxa"/>
            </w:tcMar>
          </w:tcPr>
          <w:p w14:paraId="5AD7475E" w14:textId="77777777" w:rsidR="00A54846" w:rsidRDefault="008A2731">
            <w:pPr>
              <w:pStyle w:val="AnnexNumberedText"/>
              <w:ind w:left="693" w:hanging="293"/>
            </w:pPr>
            <w:r>
              <w:t>1)</w:t>
            </w:r>
            <w:r>
              <w:tab/>
              <w:t>Begrensning av klimaendringer</w:t>
            </w:r>
          </w:p>
        </w:tc>
        <w:tc>
          <w:tcPr>
            <w:tcW w:w="1728" w:type="dxa"/>
            <w:tcMar>
              <w:left w:w="60" w:type="dxa"/>
            </w:tcMar>
          </w:tcPr>
          <w:p w14:paraId="0FD9C34F" w14:textId="77777777" w:rsidR="00A54846" w:rsidRDefault="008A2731">
            <w:pPr>
              <w:pStyle w:val="AnnexTableCellLeft"/>
            </w:pPr>
            <w:r>
              <w:t>Omsetning: %</w:t>
            </w:r>
          </w:p>
          <w:p w14:paraId="30265F3A" w14:textId="77777777" w:rsidR="00A54846" w:rsidRDefault="008A2731">
            <w:pPr>
              <w:pStyle w:val="AnnexTableCellLeft"/>
            </w:pPr>
            <w:r>
              <w:t>Investeringsutgifter: %</w:t>
            </w:r>
          </w:p>
        </w:tc>
        <w:tc>
          <w:tcPr>
            <w:tcW w:w="4212" w:type="dxa"/>
            <w:tcMar>
              <w:left w:w="60" w:type="dxa"/>
            </w:tcMar>
          </w:tcPr>
          <w:p w14:paraId="4B201062" w14:textId="77777777" w:rsidR="00A54846" w:rsidRDefault="008A2731">
            <w:pPr>
              <w:pStyle w:val="AnnexTableCellLeft"/>
            </w:pPr>
            <w:r>
              <w:t>Omstillingsaktiviteter: A % (omsetning, investeringsutgifter)</w:t>
            </w:r>
          </w:p>
          <w:p w14:paraId="2821510D" w14:textId="77777777" w:rsidR="00A54846" w:rsidRDefault="008A2731">
            <w:pPr>
              <w:pStyle w:val="AnnexTableCellLeft"/>
            </w:pPr>
            <w:r>
              <w:t>Muliggjørende aktiviteter: B % (omsetning, investeringsutgifter)</w:t>
            </w:r>
          </w:p>
        </w:tc>
      </w:tr>
      <w:tr w:rsidR="00A54846" w14:paraId="69EABB49" w14:textId="77777777">
        <w:trPr>
          <w:trHeight w:val="360"/>
        </w:trPr>
        <w:tc>
          <w:tcPr>
            <w:tcW w:w="3300" w:type="dxa"/>
            <w:tcMar>
              <w:left w:w="0" w:type="dxa"/>
            </w:tcMar>
          </w:tcPr>
          <w:p w14:paraId="288CDFD8" w14:textId="77777777" w:rsidR="00A54846" w:rsidRDefault="008A2731">
            <w:pPr>
              <w:pStyle w:val="AnnexNumberedText"/>
              <w:ind w:left="693" w:hanging="293"/>
            </w:pPr>
            <w:r>
              <w:t>2)</w:t>
            </w:r>
            <w:r>
              <w:tab/>
              <w:t>Tilpasning til klimaendringer</w:t>
            </w:r>
          </w:p>
        </w:tc>
        <w:tc>
          <w:tcPr>
            <w:tcW w:w="1728" w:type="dxa"/>
            <w:tcMar>
              <w:left w:w="60" w:type="dxa"/>
            </w:tcMar>
          </w:tcPr>
          <w:p w14:paraId="3F742C19" w14:textId="77777777" w:rsidR="00A54846" w:rsidRDefault="008A2731">
            <w:pPr>
              <w:pStyle w:val="AnnexTableCellLeft"/>
            </w:pPr>
            <w:r>
              <w:t>Omsetning: %</w:t>
            </w:r>
          </w:p>
          <w:p w14:paraId="66CC919F" w14:textId="77777777" w:rsidR="00A54846" w:rsidRDefault="008A2731">
            <w:pPr>
              <w:pStyle w:val="AnnexTableCellLeft"/>
            </w:pPr>
            <w:r>
              <w:t>Investeringsutgifter: %</w:t>
            </w:r>
          </w:p>
        </w:tc>
        <w:tc>
          <w:tcPr>
            <w:tcW w:w="4212" w:type="dxa"/>
            <w:tcMar>
              <w:left w:w="60" w:type="dxa"/>
            </w:tcMar>
          </w:tcPr>
          <w:p w14:paraId="50FB7919" w14:textId="77777777" w:rsidR="00A54846" w:rsidRDefault="008A2731">
            <w:pPr>
              <w:pStyle w:val="AnnexTableCellLeft"/>
            </w:pPr>
            <w:r>
              <w:t>Omstillingsaktiviteter: A % (omsetning, investeringsutgifter)</w:t>
            </w:r>
          </w:p>
          <w:p w14:paraId="5A6182FB" w14:textId="77777777" w:rsidR="00A54846" w:rsidRDefault="008A2731">
            <w:pPr>
              <w:pStyle w:val="AnnexTableCellLeft"/>
            </w:pPr>
            <w:r>
              <w:t>Muliggjørende aktiviteter: B % (omsetning, investeringsutgifter)</w:t>
            </w:r>
          </w:p>
        </w:tc>
      </w:tr>
      <w:tr w:rsidR="00A54846" w14:paraId="46AB114A" w14:textId="77777777">
        <w:trPr>
          <w:trHeight w:val="360"/>
        </w:trPr>
        <w:tc>
          <w:tcPr>
            <w:tcW w:w="3300" w:type="dxa"/>
            <w:tcMar>
              <w:left w:w="0" w:type="dxa"/>
            </w:tcMar>
          </w:tcPr>
          <w:p w14:paraId="6D1FD322" w14:textId="77777777" w:rsidR="00A54846" w:rsidRDefault="008A2731">
            <w:pPr>
              <w:pStyle w:val="AnnexNumberedText"/>
              <w:ind w:left="693" w:hanging="293"/>
            </w:pPr>
            <w:r>
              <w:t>3)</w:t>
            </w:r>
            <w:r>
              <w:tab/>
              <w:t>Bærekraftig bruk og beskyttelse av vann- og havressurser</w:t>
            </w:r>
          </w:p>
        </w:tc>
        <w:tc>
          <w:tcPr>
            <w:tcW w:w="1728" w:type="dxa"/>
            <w:tcMar>
              <w:left w:w="60" w:type="dxa"/>
            </w:tcMar>
          </w:tcPr>
          <w:p w14:paraId="78F3A39A" w14:textId="77777777" w:rsidR="00A54846" w:rsidRDefault="008A2731">
            <w:pPr>
              <w:pStyle w:val="AnnexTableCellLeft"/>
            </w:pPr>
            <w:r>
              <w:t>Omsetning: %</w:t>
            </w:r>
          </w:p>
          <w:p w14:paraId="35D84CA6" w14:textId="77777777" w:rsidR="00A54846" w:rsidRDefault="008A2731">
            <w:pPr>
              <w:pStyle w:val="AnnexTableCellLeft"/>
            </w:pPr>
            <w:r>
              <w:t>Investeringsutgifter: %</w:t>
            </w:r>
          </w:p>
        </w:tc>
        <w:tc>
          <w:tcPr>
            <w:tcW w:w="4212" w:type="dxa"/>
            <w:tcMar>
              <w:left w:w="60" w:type="dxa"/>
            </w:tcMar>
          </w:tcPr>
          <w:p w14:paraId="46013FF7" w14:textId="77777777" w:rsidR="00A54846" w:rsidRDefault="008A2731">
            <w:pPr>
              <w:pStyle w:val="AnnexTableCellLeft"/>
            </w:pPr>
            <w:r>
              <w:t>Omstillingsaktiviteter: A % (omsetning, investeringsutgifter)</w:t>
            </w:r>
          </w:p>
          <w:p w14:paraId="38FFC165" w14:textId="77777777" w:rsidR="00A54846" w:rsidRDefault="008A2731">
            <w:pPr>
              <w:pStyle w:val="AnnexTableCellLeft"/>
            </w:pPr>
            <w:r>
              <w:t>Muliggjørende aktiviteter: B % (omsetning, investeringsutgifter)</w:t>
            </w:r>
          </w:p>
        </w:tc>
      </w:tr>
      <w:tr w:rsidR="00A54846" w14:paraId="34914952" w14:textId="77777777">
        <w:trPr>
          <w:trHeight w:val="360"/>
        </w:trPr>
        <w:tc>
          <w:tcPr>
            <w:tcW w:w="3300" w:type="dxa"/>
            <w:tcMar>
              <w:left w:w="0" w:type="dxa"/>
            </w:tcMar>
          </w:tcPr>
          <w:p w14:paraId="2BC3164E" w14:textId="77777777" w:rsidR="00A54846" w:rsidRDefault="008A2731">
            <w:pPr>
              <w:pStyle w:val="AnnexNumberedText"/>
              <w:ind w:left="693" w:hanging="293"/>
            </w:pPr>
            <w:r>
              <w:t>4)</w:t>
            </w:r>
            <w:r>
              <w:tab/>
              <w:t>Omstilling til en sirkulær økonomi</w:t>
            </w:r>
          </w:p>
        </w:tc>
        <w:tc>
          <w:tcPr>
            <w:tcW w:w="1728" w:type="dxa"/>
            <w:tcMar>
              <w:left w:w="60" w:type="dxa"/>
            </w:tcMar>
          </w:tcPr>
          <w:p w14:paraId="763B80AE" w14:textId="77777777" w:rsidR="00A54846" w:rsidRDefault="008A2731">
            <w:pPr>
              <w:pStyle w:val="AnnexTableCellLeft"/>
            </w:pPr>
            <w:r>
              <w:t>Omsetning: %</w:t>
            </w:r>
          </w:p>
          <w:p w14:paraId="63C484F3" w14:textId="77777777" w:rsidR="00A54846" w:rsidRDefault="008A2731">
            <w:pPr>
              <w:pStyle w:val="AnnexTableCellLeft"/>
            </w:pPr>
            <w:r>
              <w:t>Investeringsutgifter: %</w:t>
            </w:r>
          </w:p>
        </w:tc>
        <w:tc>
          <w:tcPr>
            <w:tcW w:w="4212" w:type="dxa"/>
            <w:tcMar>
              <w:left w:w="60" w:type="dxa"/>
            </w:tcMar>
          </w:tcPr>
          <w:p w14:paraId="052D544B" w14:textId="77777777" w:rsidR="00A54846" w:rsidRDefault="008A2731">
            <w:pPr>
              <w:pStyle w:val="AnnexTableCellLeft"/>
            </w:pPr>
            <w:r>
              <w:t>Omstillingsaktiviteter: A % (omsetning, investeringsutgifter)</w:t>
            </w:r>
          </w:p>
          <w:p w14:paraId="370777F2" w14:textId="77777777" w:rsidR="00A54846" w:rsidRDefault="008A2731">
            <w:pPr>
              <w:pStyle w:val="AnnexTableCellLeft"/>
            </w:pPr>
            <w:r>
              <w:t>Muliggjørende aktiviteter: B % (omsetning, investeringsutgifter)</w:t>
            </w:r>
          </w:p>
        </w:tc>
      </w:tr>
      <w:tr w:rsidR="00A54846" w14:paraId="43B6C325" w14:textId="77777777">
        <w:trPr>
          <w:trHeight w:val="360"/>
        </w:trPr>
        <w:tc>
          <w:tcPr>
            <w:tcW w:w="3300" w:type="dxa"/>
            <w:tcMar>
              <w:left w:w="0" w:type="dxa"/>
            </w:tcMar>
          </w:tcPr>
          <w:p w14:paraId="44B6906D" w14:textId="77777777" w:rsidR="00A54846" w:rsidRDefault="008A2731">
            <w:pPr>
              <w:pStyle w:val="AnnexNumberedText"/>
              <w:ind w:left="693" w:hanging="293"/>
            </w:pPr>
            <w:r>
              <w:t>5)</w:t>
            </w:r>
            <w:r>
              <w:tab/>
              <w:t>Forebygging og begrensning av forurensning</w:t>
            </w:r>
          </w:p>
        </w:tc>
        <w:tc>
          <w:tcPr>
            <w:tcW w:w="1728" w:type="dxa"/>
            <w:tcMar>
              <w:left w:w="60" w:type="dxa"/>
            </w:tcMar>
          </w:tcPr>
          <w:p w14:paraId="2ACF83EF" w14:textId="77777777" w:rsidR="00A54846" w:rsidRDefault="008A2731">
            <w:pPr>
              <w:pStyle w:val="AnnexTableCellLeft"/>
            </w:pPr>
            <w:r>
              <w:t>Omsetning: %</w:t>
            </w:r>
          </w:p>
          <w:p w14:paraId="76053599" w14:textId="77777777" w:rsidR="00A54846" w:rsidRDefault="008A2731">
            <w:pPr>
              <w:pStyle w:val="AnnexTableCellLeft"/>
            </w:pPr>
            <w:r>
              <w:t>Investeringsutgifter: %</w:t>
            </w:r>
          </w:p>
        </w:tc>
        <w:tc>
          <w:tcPr>
            <w:tcW w:w="4212" w:type="dxa"/>
            <w:tcMar>
              <w:left w:w="60" w:type="dxa"/>
            </w:tcMar>
          </w:tcPr>
          <w:p w14:paraId="40E61D40" w14:textId="77777777" w:rsidR="00A54846" w:rsidRDefault="008A2731">
            <w:pPr>
              <w:pStyle w:val="AnnexTableCellLeft"/>
            </w:pPr>
            <w:r>
              <w:t>Omstillingsaktiviteter: A % (omsetning, investeringsutgifter)</w:t>
            </w:r>
          </w:p>
          <w:p w14:paraId="56FD0507" w14:textId="77777777" w:rsidR="00A54846" w:rsidRDefault="008A2731">
            <w:pPr>
              <w:pStyle w:val="AnnexTableCellLeft"/>
            </w:pPr>
            <w:r>
              <w:t>Muliggjørende aktiviteter: B % (omsetning, investeringsutgifter)</w:t>
            </w:r>
          </w:p>
        </w:tc>
      </w:tr>
      <w:tr w:rsidR="00A54846" w14:paraId="174E6912" w14:textId="77777777">
        <w:trPr>
          <w:trHeight w:val="360"/>
        </w:trPr>
        <w:tc>
          <w:tcPr>
            <w:tcW w:w="3300" w:type="dxa"/>
            <w:tcMar>
              <w:left w:w="0" w:type="dxa"/>
            </w:tcMar>
          </w:tcPr>
          <w:p w14:paraId="556947F8" w14:textId="77777777" w:rsidR="00A54846" w:rsidRDefault="008A2731">
            <w:pPr>
              <w:pStyle w:val="AnnexNumberedText"/>
              <w:ind w:left="693" w:hanging="293"/>
            </w:pPr>
            <w:r>
              <w:t>6)</w:t>
            </w:r>
            <w:r>
              <w:tab/>
              <w:t>Beskyttelse og restaurering av biologisk mangfold og økosystemer</w:t>
            </w:r>
          </w:p>
        </w:tc>
        <w:tc>
          <w:tcPr>
            <w:tcW w:w="1728" w:type="dxa"/>
            <w:tcMar>
              <w:left w:w="60" w:type="dxa"/>
            </w:tcMar>
          </w:tcPr>
          <w:p w14:paraId="42FAD3A7" w14:textId="77777777" w:rsidR="00A54846" w:rsidRDefault="008A2731">
            <w:pPr>
              <w:pStyle w:val="AnnexTableCellLeft"/>
            </w:pPr>
            <w:r>
              <w:t>Omsetning: %</w:t>
            </w:r>
          </w:p>
          <w:p w14:paraId="2B96905A" w14:textId="77777777" w:rsidR="00A54846" w:rsidRDefault="008A2731">
            <w:pPr>
              <w:pStyle w:val="AnnexTableCellLeft"/>
            </w:pPr>
            <w:r>
              <w:t>Investeringsutgifter: %</w:t>
            </w:r>
          </w:p>
        </w:tc>
        <w:tc>
          <w:tcPr>
            <w:tcW w:w="4212" w:type="dxa"/>
            <w:tcMar>
              <w:left w:w="60" w:type="dxa"/>
            </w:tcMar>
          </w:tcPr>
          <w:p w14:paraId="4A2C88A3" w14:textId="77777777" w:rsidR="00A54846" w:rsidRDefault="008A2731">
            <w:pPr>
              <w:pStyle w:val="AnnexTableCellLeft"/>
            </w:pPr>
            <w:r>
              <w:t>Omstillingsaktiviteter: A % (omsetning, investeringsutgifter)</w:t>
            </w:r>
          </w:p>
          <w:p w14:paraId="2982BB0B" w14:textId="77777777" w:rsidR="00A54846" w:rsidRDefault="008A2731">
            <w:pPr>
              <w:pStyle w:val="AnnexTableCellLeft"/>
            </w:pPr>
            <w:r>
              <w:t>Muliggjørende aktiviteter: B % (omsetning, investeringsutgifter)</w:t>
            </w:r>
          </w:p>
        </w:tc>
      </w:tr>
    </w:tbl>
    <w:p w14:paraId="3621835F" w14:textId="77777777" w:rsidR="00A54846" w:rsidRDefault="00A54846">
      <w:pPr>
        <w:pStyle w:val="Para"/>
      </w:pPr>
    </w:p>
    <w:p w14:paraId="3EB9B751" w14:textId="77777777" w:rsidR="00A54846" w:rsidRDefault="00A54846">
      <w:pPr>
        <w:pStyle w:val="AnnexTI"/>
        <w:sectPr w:rsidR="00A54846">
          <w:pgSz w:w="11906" w:h="16838" w:code="9"/>
          <w:pgMar w:top="1680" w:right="1333" w:bottom="840" w:left="1333" w:header="920" w:footer="280" w:gutter="0"/>
          <w:cols w:space="708"/>
          <w:docGrid w:linePitch="360"/>
        </w:sectPr>
      </w:pPr>
    </w:p>
    <w:p w14:paraId="75BA762A" w14:textId="77777777" w:rsidR="00A54846" w:rsidRDefault="008A2731">
      <w:pPr>
        <w:pStyle w:val="AnnexTI"/>
        <w:spacing w:after="360"/>
      </w:pPr>
      <w:r>
        <w:lastRenderedPageBreak/>
        <w:t>VEDLEGG V</w:t>
      </w:r>
    </w:p>
    <w:p w14:paraId="0D541E00" w14:textId="77777777" w:rsidR="00A54846" w:rsidRDefault="008A2731">
      <w:pPr>
        <w:pStyle w:val="AnnexSTI"/>
        <w:spacing w:line="200" w:lineRule="exact"/>
        <w:rPr>
          <w:sz w:val="16"/>
        </w:rPr>
      </w:pPr>
      <w:r>
        <w:rPr>
          <w:sz w:val="16"/>
        </w:rPr>
        <w:t>KPI-er FOR KREDITTINSTITUSJONER</w:t>
      </w:r>
    </w:p>
    <w:p w14:paraId="6F0F9979" w14:textId="77777777" w:rsidR="00A54846" w:rsidRDefault="008A2731">
      <w:pPr>
        <w:pStyle w:val="AnnexNumberedText"/>
        <w:ind w:left="684" w:hanging="684"/>
      </w:pPr>
      <w:r>
        <w:t>1.</w:t>
      </w:r>
      <w:r>
        <w:rPr>
          <w:b/>
        </w:rPr>
        <w:tab/>
        <w:t>Innholdet i KPI-ene som skal legges fram av kredittinstitusjoner</w:t>
      </w:r>
    </w:p>
    <w:p w14:paraId="447FAEFE" w14:textId="77777777" w:rsidR="00A54846" w:rsidRDefault="008A2731">
      <w:pPr>
        <w:pStyle w:val="AnnexNumberedText"/>
        <w:ind w:left="684" w:hanging="684"/>
      </w:pPr>
      <w:r>
        <w:t>1.1.</w:t>
      </w:r>
      <w:r>
        <w:rPr>
          <w:i/>
        </w:rPr>
        <w:tab/>
        <w:t>KPI-enes virkeområde</w:t>
      </w:r>
    </w:p>
    <w:p w14:paraId="71691FCF" w14:textId="77777777" w:rsidR="00A54846" w:rsidRDefault="008A2731">
      <w:pPr>
        <w:pStyle w:val="AnnexNumberedText"/>
        <w:ind w:left="684" w:hanging="684"/>
      </w:pPr>
      <w:r>
        <w:t>1.1.1.</w:t>
      </w:r>
      <w:r>
        <w:tab/>
        <w:t>Konsolidering</w:t>
      </w:r>
    </w:p>
    <w:p w14:paraId="68F64AB9" w14:textId="77777777" w:rsidR="00A54846" w:rsidRDefault="008A2731">
      <w:pPr>
        <w:pStyle w:val="AnnexNormal"/>
      </w:pPr>
      <w:r>
        <w:t>Kredittinstitusjoner skal legge fram relevante KPI-er på grunnlag av virkeområdet for konsolideringen for tilsynsformål som fastsatt i samsvar med avdeling II kapittel 2 avsnitt 2 i forordning (EU) nr. 575/2013.</w:t>
      </w:r>
    </w:p>
    <w:p w14:paraId="4B9D853B" w14:textId="77777777" w:rsidR="00A54846" w:rsidRDefault="008A2731">
      <w:pPr>
        <w:pStyle w:val="AnnexNumberedText"/>
        <w:ind w:left="684" w:hanging="684"/>
      </w:pPr>
      <w:r>
        <w:t>1.1.2.</w:t>
      </w:r>
      <w:r>
        <w:tab/>
        <w:t>Samlede dekkede eiendeler</w:t>
      </w:r>
    </w:p>
    <w:p w14:paraId="750D0318" w14:textId="77777777" w:rsidR="00A54846" w:rsidRDefault="008A2731">
      <w:pPr>
        <w:pStyle w:val="AnnexNormal"/>
      </w:pPr>
      <w:r>
        <w:t>Beregningen av den grønne brøken (GAR) for balanseførte eksponeringer skal omfatte følgende regnskapskategorier for finansielle eiendeler, herunder lån og forskudd, gjeldsinstrumenter, egenkapitalbeholdninger og overtatte sikkerheter:</w:t>
      </w:r>
    </w:p>
    <w:p w14:paraId="0F3CA7AF" w14:textId="77777777" w:rsidR="00A54846" w:rsidRDefault="008A2731">
      <w:pPr>
        <w:pStyle w:val="AnnexNumberedText"/>
        <w:ind w:left="293" w:hanging="293"/>
      </w:pPr>
      <w:r>
        <w:t>a)</w:t>
      </w:r>
      <w:r>
        <w:tab/>
        <w:t>Finansielle eiendeler til amortisert kost.</w:t>
      </w:r>
    </w:p>
    <w:p w14:paraId="24F990B5" w14:textId="77777777" w:rsidR="00A54846" w:rsidRDefault="008A2731">
      <w:pPr>
        <w:pStyle w:val="AnnexNumberedText"/>
        <w:ind w:left="293" w:hanging="293"/>
      </w:pPr>
      <w:r>
        <w:t>b)</w:t>
      </w:r>
      <w:r>
        <w:tab/>
        <w:t>Finansielle eiendeler til virkelig verdi gjennom andre inntekter og kostnader.</w:t>
      </w:r>
    </w:p>
    <w:p w14:paraId="15314912" w14:textId="77777777" w:rsidR="00A54846" w:rsidRDefault="008A2731">
      <w:pPr>
        <w:pStyle w:val="AnnexNumberedText"/>
        <w:ind w:left="293" w:hanging="293"/>
      </w:pPr>
      <w:r>
        <w:t>c)</w:t>
      </w:r>
      <w:r>
        <w:tab/>
        <w:t>Investeringer i datterforetak.</w:t>
      </w:r>
    </w:p>
    <w:p w14:paraId="1ECCFECC" w14:textId="77777777" w:rsidR="00A54846" w:rsidRDefault="008A2731">
      <w:pPr>
        <w:pStyle w:val="AnnexNumberedText"/>
        <w:ind w:left="293" w:hanging="293"/>
      </w:pPr>
      <w:r>
        <w:t>d)</w:t>
      </w:r>
      <w:r>
        <w:tab/>
        <w:t>Fellesforetak og tilknyttede foretak.</w:t>
      </w:r>
    </w:p>
    <w:p w14:paraId="3957A7FC" w14:textId="77777777" w:rsidR="00A54846" w:rsidRDefault="008A2731">
      <w:pPr>
        <w:pStyle w:val="AnnexNumberedText"/>
        <w:ind w:left="293" w:hanging="293"/>
      </w:pPr>
      <w:r>
        <w:t>e)</w:t>
      </w:r>
      <w:r>
        <w:tab/>
        <w:t>Finansielle eiendeler vurdert til virkelig verdi over resultatet, og finansielle eiendeler utenfor handelsporteføljen, obligatorisk vurdert til virkelig verdi over resultatet.</w:t>
      </w:r>
    </w:p>
    <w:p w14:paraId="72D43A26" w14:textId="77777777" w:rsidR="00A54846" w:rsidRDefault="008A2731">
      <w:pPr>
        <w:pStyle w:val="AnnexNumberedText"/>
        <w:ind w:left="293" w:hanging="293"/>
      </w:pPr>
      <w:r>
        <w:t>f)</w:t>
      </w:r>
      <w:r>
        <w:tab/>
        <w:t>Sikkerhet i fast eiendom som kredittinstitusjoner har fått gjennom overtakelse av eiendomsretten mot ettergivelse av gjeld.</w:t>
      </w:r>
    </w:p>
    <w:p w14:paraId="52C7A835" w14:textId="77777777" w:rsidR="00A54846" w:rsidRDefault="008A2731">
      <w:pPr>
        <w:pStyle w:val="AnnexNormal"/>
      </w:pPr>
      <w:r>
        <w:t>Eksponeringene nevnt i artikkel 7 nr. 1 i denne forordningen, skal ikke tas med i GAR.</w:t>
      </w:r>
    </w:p>
    <w:p w14:paraId="508CE261" w14:textId="77777777" w:rsidR="00A54846" w:rsidRDefault="008A2731">
      <w:pPr>
        <w:pStyle w:val="AnnexNormal"/>
      </w:pPr>
      <w:r>
        <w:t>Følgende eiendeler skal ikke tas med i telleren i GAR:</w:t>
      </w:r>
    </w:p>
    <w:p w14:paraId="47D57702" w14:textId="77777777" w:rsidR="00A54846" w:rsidRDefault="008A2731">
      <w:pPr>
        <w:pStyle w:val="AnnexNumberedText"/>
        <w:ind w:left="293" w:hanging="293"/>
      </w:pPr>
      <w:r>
        <w:t>a)</w:t>
      </w:r>
      <w:r>
        <w:tab/>
        <w:t>Finansielle eiendeler som innehas for handelsformål.</w:t>
      </w:r>
    </w:p>
    <w:p w14:paraId="63436469" w14:textId="77777777" w:rsidR="00A54846" w:rsidRDefault="008A2731">
      <w:pPr>
        <w:pStyle w:val="AnnexNumberedText"/>
        <w:ind w:left="293" w:hanging="293"/>
      </w:pPr>
      <w:r>
        <w:t>b)</w:t>
      </w:r>
      <w:r>
        <w:tab/>
        <w:t>Interbanklån på anfordring.</w:t>
      </w:r>
    </w:p>
    <w:p w14:paraId="2B70046F" w14:textId="77777777" w:rsidR="00A54846" w:rsidRDefault="008A2731">
      <w:pPr>
        <w:pStyle w:val="AnnexNumberedText"/>
        <w:ind w:left="293" w:hanging="293"/>
      </w:pPr>
      <w:r>
        <w:t>c)</w:t>
      </w:r>
      <w:r>
        <w:tab/>
        <w:t>Eksponeringer mot foretak som ikke har plikt til å offentliggjøre ikke-finansiell informasjon i samsvar med artikkel 19a eller 29a i direktiv 2013/34/EU.</w:t>
      </w:r>
    </w:p>
    <w:p w14:paraId="0366EC92" w14:textId="77777777" w:rsidR="00A54846" w:rsidRDefault="008A2731">
      <w:pPr>
        <w:pStyle w:val="AnnexNormal"/>
      </w:pPr>
      <w:r>
        <w:t>Ved beregning av KPI-er for eksponeringer utenfor balansen skal finansielle garantier stilt av kredittinstitusjoner og eiendeler som forvaltes for garanterte foretak og investeringsobjekter som er ikke-finansielle foretak, inkluderes. Andre eksponeringer utenfor balansen, som forpliktelser, skal ikke tas med i beregningen.</w:t>
      </w:r>
    </w:p>
    <w:p w14:paraId="1E8E5324" w14:textId="77777777" w:rsidR="00A54846" w:rsidRDefault="008A2731">
      <w:pPr>
        <w:pStyle w:val="AnnexNumberedText"/>
        <w:ind w:left="684" w:hanging="684"/>
      </w:pPr>
      <w:r>
        <w:t>1.2.</w:t>
      </w:r>
      <w:r>
        <w:rPr>
          <w:i/>
        </w:rPr>
        <w:tab/>
        <w:t>Innholdet i og beregningsmetode for KPI-ene</w:t>
      </w:r>
    </w:p>
    <w:p w14:paraId="55184519" w14:textId="77777777" w:rsidR="00A54846" w:rsidRDefault="008A2731">
      <w:pPr>
        <w:pStyle w:val="AnnexNumberedText"/>
        <w:ind w:left="684" w:hanging="684"/>
      </w:pPr>
      <w:r>
        <w:t>1.2.1.</w:t>
      </w:r>
      <w:r>
        <w:tab/>
        <w:t>Den grønne brøken (GAR)</w:t>
      </w:r>
    </w:p>
    <w:p w14:paraId="1F1FB2B1" w14:textId="77777777" w:rsidR="00A54846" w:rsidRDefault="008A2731">
      <w:pPr>
        <w:pStyle w:val="AnnexNormal"/>
      </w:pPr>
      <w:r>
        <w:t>GAR skal vise hvor stor andel av kredittinstitusjonens eiendeler som finansierer og er investert i taksonomiforenlige økonomiske aktiviteter, som en andel av de samlede dekkede eiendelene i samsvar med punkt 1.1.2 i dette vedlegget.</w:t>
      </w:r>
    </w:p>
    <w:p w14:paraId="1E16E547" w14:textId="77777777" w:rsidR="00A54846" w:rsidRDefault="008A2731">
      <w:pPr>
        <w:pStyle w:val="AnnexNormal"/>
      </w:pPr>
      <w:r>
        <w:t>GAR skal baseres på eksponeringer og balanse i samsvar med virkeområdet for konsolideringen for tilsynsformål i samsvar med avdeling II kapittel 2 avsnitt 2 i forordning (EU) nr. 575/2013 for de typene eiendeler og regnskapsporteføljer som er angitt i punkt 1.1.2 i dette vedlegget, herunder opplysninger om beholdninger og strømmer, om omstillingsaktiviteter og muliggjørende aktiviteter, samt om lån for generelle og spesielle formål.</w:t>
      </w:r>
    </w:p>
    <w:p w14:paraId="6F669860" w14:textId="77777777" w:rsidR="00A54846" w:rsidRDefault="008A2731">
      <w:pPr>
        <w:pStyle w:val="AnnexNormal"/>
      </w:pPr>
      <w:r>
        <w:t>Kredittinstitusjoner skal legge fram samtlige av følgende opplysninger:</w:t>
      </w:r>
    </w:p>
    <w:p w14:paraId="4DF094EF" w14:textId="77777777" w:rsidR="00A54846" w:rsidRDefault="008A2731">
      <w:pPr>
        <w:pStyle w:val="AnnexNumberedText"/>
        <w:ind w:left="293" w:hanging="293"/>
      </w:pPr>
      <w:r>
        <w:t>a)</w:t>
      </w:r>
      <w:r>
        <w:tab/>
        <w:t>Samlet GAR for dekkede balanseførte eiendeler.</w:t>
      </w:r>
    </w:p>
    <w:p w14:paraId="218E6A9F" w14:textId="77777777" w:rsidR="00A54846" w:rsidRDefault="008A2731">
      <w:pPr>
        <w:pStyle w:val="AnnexNumberedText"/>
        <w:spacing w:after="0"/>
        <w:ind w:left="293" w:hanging="293"/>
      </w:pPr>
      <w:r>
        <w:t>b)</w:t>
      </w:r>
      <w:r>
        <w:tab/>
        <w:t>Spesifikasjon etter miljømål og type motpart.</w:t>
      </w:r>
      <w:r>
        <w:br w:type="page"/>
      </w:r>
    </w:p>
    <w:p w14:paraId="6F9D0869" w14:textId="77777777" w:rsidR="00A54846" w:rsidRDefault="008A2731">
      <w:pPr>
        <w:pStyle w:val="AnnexNormal"/>
      </w:pPr>
      <w:r>
        <w:lastRenderedPageBreak/>
        <w:t>Definisjonen av KPI-ene skal baseres på følgende komponenter:</w:t>
      </w:r>
    </w:p>
    <w:p w14:paraId="76589C40" w14:textId="77777777" w:rsidR="00A54846" w:rsidRDefault="008A2731">
      <w:pPr>
        <w:pStyle w:val="AnnexNumberedText"/>
        <w:ind w:left="293" w:hanging="293"/>
      </w:pPr>
      <w:r>
        <w:t>a)</w:t>
      </w:r>
      <w:r>
        <w:tab/>
        <w:t>Telleren, som skal omfatte lån og forskudd, gjeldsinstrumenter, aksjer og overtatte sikkerheter som finansierer taksonomiforenlige økonomiske aktiviteter, på grunnlag av KPI-en for omsetning og KPI-en for investeringsutgifter for underliggende eiendeler.</w:t>
      </w:r>
    </w:p>
    <w:p w14:paraId="406F4A0C" w14:textId="77777777" w:rsidR="00A54846" w:rsidRDefault="008A2731">
      <w:pPr>
        <w:pStyle w:val="AnnexNumberedText"/>
        <w:ind w:left="293" w:hanging="293"/>
      </w:pPr>
      <w:r>
        <w:t>b)</w:t>
      </w:r>
      <w:r>
        <w:tab/>
        <w:t>Nevneren, som skal omfatte alle lån og forskudd, alle gjeldsinstrumenter, alle aksjer og alle overtatte sikkerheter, samt alle andre dekkede balanseførte eiendeler.</w:t>
      </w:r>
    </w:p>
    <w:p w14:paraId="08787F83" w14:textId="77777777" w:rsidR="00A54846" w:rsidRDefault="008A2731">
      <w:pPr>
        <w:pStyle w:val="AnnexNormal"/>
        <w:spacing w:after="800"/>
      </w:pPr>
      <w:r>
        <w:t>I tillegg til GAR skal kredittinstitusjoner legge fram opplysninger om hvor stor prosentdel av deres samlede eiendeler som ikke er tatt med i telleren i GAR i samsvar med artikkel 7 nr. 2 i denne forordningen og punkt 1.1.2 i dette vedlegget.</w:t>
      </w:r>
    </w:p>
    <w:p w14:paraId="11C06D34" w14:textId="77777777" w:rsidR="00A54846" w:rsidRDefault="008A2731">
      <w:pPr>
        <w:pStyle w:val="AnnexNumberedText"/>
        <w:ind w:left="684" w:hanging="684"/>
      </w:pPr>
      <w:r>
        <w:t>1.2.1.1.</w:t>
      </w:r>
      <w:r>
        <w:tab/>
        <w:t>GAR for eksponeringer mot ikke-finansielle foretak</w:t>
      </w:r>
    </w:p>
    <w:p w14:paraId="1E2A289A" w14:textId="77777777" w:rsidR="00A54846" w:rsidRDefault="008A2731">
      <w:pPr>
        <w:pStyle w:val="AnnexNormal"/>
      </w:pPr>
      <w:r>
        <w:t>Kredittinstitusjoner skal legge fram GAR for lånebeholdning, gjeldsinstrumenter og egenkapitalbeholdninger samt for strømmen av nye utlån. Kredittinstitusjonene skal følge følgende trinn når de beregner GAR for hvert av miljømålene:</w:t>
      </w:r>
    </w:p>
    <w:tbl>
      <w:tblPr>
        <w:tblStyle w:val="EFTATable"/>
        <w:tblW w:w="9236" w:type="dxa"/>
        <w:tblBorders>
          <w:top w:val="none" w:sz="0" w:space="0" w:color="auto"/>
          <w:bottom w:val="none" w:sz="0" w:space="0" w:color="auto"/>
          <w:insideH w:val="none" w:sz="0" w:space="0" w:color="auto"/>
          <w:insideV w:val="none" w:sz="0" w:space="0" w:color="auto"/>
        </w:tblBorders>
        <w:tblLook w:val="04A0" w:firstRow="1" w:lastRow="0" w:firstColumn="1" w:lastColumn="0" w:noHBand="0" w:noVBand="1"/>
      </w:tblPr>
      <w:tblGrid>
        <w:gridCol w:w="904"/>
        <w:gridCol w:w="2221"/>
        <w:gridCol w:w="275"/>
        <w:gridCol w:w="2305"/>
        <w:gridCol w:w="3531"/>
      </w:tblGrid>
      <w:tr w:rsidR="00A54846" w14:paraId="7F467B52" w14:textId="77777777">
        <w:trPr>
          <w:trHeight w:val="241"/>
        </w:trPr>
        <w:tc>
          <w:tcPr>
            <w:tcW w:w="1956" w:type="dxa"/>
            <w:tcMar>
              <w:left w:w="0" w:type="dxa"/>
              <w:right w:w="0" w:type="dxa"/>
            </w:tcMar>
          </w:tcPr>
          <w:p w14:paraId="52646513" w14:textId="77777777" w:rsidR="00A54846" w:rsidRDefault="008A2731">
            <w:pPr>
              <w:pStyle w:val="AnnexTableHeader"/>
              <w:jc w:val="left"/>
            </w:pPr>
            <w:r>
              <w:rPr>
                <w:b/>
              </w:rPr>
              <w:t>Miljømål</w:t>
            </w:r>
          </w:p>
        </w:tc>
        <w:tc>
          <w:tcPr>
            <w:tcW w:w="2426" w:type="dxa"/>
            <w:tcMar>
              <w:left w:w="0" w:type="dxa"/>
              <w:right w:w="0" w:type="dxa"/>
            </w:tcMar>
          </w:tcPr>
          <w:p w14:paraId="70866E87" w14:textId="77777777" w:rsidR="00A54846" w:rsidRDefault="008A2731">
            <w:pPr>
              <w:pStyle w:val="AnnexTableHeader"/>
              <w:ind w:left="100"/>
            </w:pPr>
            <w:r>
              <w:rPr>
                <w:b/>
              </w:rPr>
              <w:t>Første trinn</w:t>
            </w:r>
          </w:p>
        </w:tc>
        <w:tc>
          <w:tcPr>
            <w:tcW w:w="2427" w:type="dxa"/>
            <w:gridSpan w:val="2"/>
            <w:tcMar>
              <w:left w:w="0" w:type="dxa"/>
              <w:right w:w="0" w:type="dxa"/>
            </w:tcMar>
          </w:tcPr>
          <w:p w14:paraId="704B2F12" w14:textId="77777777" w:rsidR="00A54846" w:rsidRDefault="008A2731">
            <w:pPr>
              <w:pStyle w:val="AnnexTableHeader"/>
              <w:ind w:left="100"/>
            </w:pPr>
            <w:r>
              <w:rPr>
                <w:b/>
              </w:rPr>
              <w:t>Annet trinn</w:t>
            </w:r>
          </w:p>
        </w:tc>
        <w:tc>
          <w:tcPr>
            <w:tcW w:w="2427" w:type="dxa"/>
            <w:tcMar>
              <w:left w:w="0" w:type="dxa"/>
              <w:right w:w="0" w:type="dxa"/>
            </w:tcMar>
          </w:tcPr>
          <w:p w14:paraId="0F59B376" w14:textId="77777777" w:rsidR="00A54846" w:rsidRDefault="008A2731">
            <w:pPr>
              <w:pStyle w:val="AnnexTableHeader"/>
              <w:ind w:left="100"/>
            </w:pPr>
            <w:r>
              <w:rPr>
                <w:b/>
              </w:rPr>
              <w:t>Den grønne brøken (GAR)</w:t>
            </w:r>
          </w:p>
        </w:tc>
      </w:tr>
      <w:tr w:rsidR="00A54846" w14:paraId="3F35352B" w14:textId="77777777">
        <w:trPr>
          <w:trHeight w:val="241"/>
        </w:trPr>
        <w:tc>
          <w:tcPr>
            <w:tcW w:w="1956" w:type="dxa"/>
            <w:tcMar>
              <w:left w:w="0" w:type="dxa"/>
              <w:right w:w="0" w:type="dxa"/>
            </w:tcMar>
          </w:tcPr>
          <w:p w14:paraId="4DF6079A" w14:textId="16B6B766" w:rsidR="00A54846" w:rsidRDefault="008A2731">
            <w:pPr>
              <w:pStyle w:val="AnnexTableCellLeft"/>
              <w:jc w:val="left"/>
            </w:pPr>
            <w:r>
              <w:t>Begrens</w:t>
            </w:r>
            <w:r w:rsidR="00A216F4">
              <w:softHyphen/>
            </w:r>
            <w:r>
              <w:t>ning av klima</w:t>
            </w:r>
            <w:r w:rsidR="00A216F4">
              <w:softHyphen/>
            </w:r>
            <w:r>
              <w:t>endringer</w:t>
            </w:r>
          </w:p>
        </w:tc>
        <w:tc>
          <w:tcPr>
            <w:tcW w:w="2426" w:type="dxa"/>
            <w:tcMar>
              <w:left w:w="0" w:type="dxa"/>
              <w:right w:w="0" w:type="dxa"/>
            </w:tcMar>
          </w:tcPr>
          <w:p w14:paraId="728E80E0" w14:textId="4C70677C" w:rsidR="00A54846" w:rsidRDefault="008A2731">
            <w:pPr>
              <w:pStyle w:val="AnnexTableCellLeft"/>
              <w:ind w:left="100"/>
              <w:jc w:val="left"/>
            </w:pPr>
            <w:r>
              <w:t>Andelen lån og forskudd/gjeldsinstrumenter/</w:t>
            </w:r>
            <w:r w:rsidR="00A216F4">
              <w:t xml:space="preserve"> </w:t>
            </w:r>
            <w:r>
              <w:t>egen</w:t>
            </w:r>
            <w:r w:rsidR="00A216F4">
              <w:softHyphen/>
            </w:r>
            <w:r>
              <w:t>kapitalinstrumenter som finansierer økonomiske aktiviteter som er omfattet av taksonomien, med begrensning av klimaendringer som mål, i forhold til samlede lån til / gjeldsinstrumenter i / egenkapitalinstrumenter i ikke-finansielle foretak og alle andre dekkede balanseførte eiendeler</w:t>
            </w:r>
          </w:p>
        </w:tc>
        <w:tc>
          <w:tcPr>
            <w:tcW w:w="2427" w:type="dxa"/>
            <w:gridSpan w:val="2"/>
            <w:tcMar>
              <w:left w:w="0" w:type="dxa"/>
              <w:right w:w="0" w:type="dxa"/>
            </w:tcMar>
          </w:tcPr>
          <w:p w14:paraId="5FF2FAB9" w14:textId="693EB78D" w:rsidR="00A54846" w:rsidRDefault="008A2731">
            <w:pPr>
              <w:pStyle w:val="AnnexTableCellLeft"/>
              <w:ind w:left="100"/>
              <w:jc w:val="left"/>
            </w:pPr>
            <w:r>
              <w:t>Andelen lån og forskudd/gjeldsinstrumenter/egen</w:t>
            </w:r>
            <w:r w:rsidR="00A216F4">
              <w:softHyphen/>
            </w:r>
            <w:r>
              <w:t>kapitalinstrumenter som finansierer taksonomiforenlige økonomiske aktiviteter med begrensning av klimaendringer som mål, i forhold til lån og forskudd/gjeldsinstrumenter/egen</w:t>
            </w:r>
            <w:r w:rsidR="00A216F4">
              <w:softHyphen/>
            </w:r>
            <w:r>
              <w:t>kapitalinstrumenter som finansierer økonomiske aktiviteter i sektorer taksonomien gjelder, med begrensning av klimaendringer som mål.</w:t>
            </w:r>
          </w:p>
        </w:tc>
        <w:tc>
          <w:tcPr>
            <w:tcW w:w="2427" w:type="dxa"/>
            <w:tcMar>
              <w:left w:w="0" w:type="dxa"/>
              <w:right w:w="0" w:type="dxa"/>
            </w:tcMar>
          </w:tcPr>
          <w:p w14:paraId="07897409" w14:textId="261480C7" w:rsidR="00A54846" w:rsidRDefault="008A2731">
            <w:pPr>
              <w:pStyle w:val="AnnexTableCellLeft"/>
              <w:ind w:left="100"/>
              <w:jc w:val="left"/>
            </w:pPr>
            <w:r>
              <w:rPr>
                <w:b/>
              </w:rPr>
              <w:t>Andelen lån og forskudd/gjeldsinstrumenter/egen</w:t>
            </w:r>
            <w:r w:rsidR="00A216F4">
              <w:rPr>
                <w:b/>
              </w:rPr>
              <w:softHyphen/>
            </w:r>
            <w:r>
              <w:rPr>
                <w:b/>
              </w:rPr>
              <w:t>kapitalinstrumenter som finansierer taksonomiforenlige økonomiske aktiviteter med begrensning av klimaendringer som mål, i forhold til alle lån og forskudd til / gjeldsinstrumenter i / egenkapitalinstrumenter i ikke-finansielle foretak og alle andre balanseførte eiendeler</w:t>
            </w:r>
          </w:p>
        </w:tc>
      </w:tr>
      <w:tr w:rsidR="00A54846" w14:paraId="044FE34C" w14:textId="77777777">
        <w:trPr>
          <w:trHeight w:val="241"/>
        </w:trPr>
        <w:tc>
          <w:tcPr>
            <w:tcW w:w="4382" w:type="dxa"/>
            <w:gridSpan w:val="2"/>
            <w:tcMar>
              <w:left w:w="0" w:type="dxa"/>
              <w:right w:w="0" w:type="dxa"/>
            </w:tcMar>
          </w:tcPr>
          <w:p w14:paraId="7745796D" w14:textId="77777777" w:rsidR="00A54846" w:rsidRDefault="00A54846">
            <w:pPr>
              <w:pStyle w:val="AnnexTableCellLeft"/>
              <w:ind w:left="100"/>
              <w:jc w:val="left"/>
            </w:pPr>
          </w:p>
        </w:tc>
        <w:tc>
          <w:tcPr>
            <w:tcW w:w="4854" w:type="dxa"/>
            <w:gridSpan w:val="3"/>
            <w:tcMar>
              <w:left w:w="0" w:type="dxa"/>
              <w:right w:w="0" w:type="dxa"/>
            </w:tcMar>
          </w:tcPr>
          <w:p w14:paraId="3F503D63" w14:textId="77777777" w:rsidR="00A54846" w:rsidRDefault="008A2731">
            <w:pPr>
              <w:pStyle w:val="AnnexTableCellLeft"/>
              <w:ind w:left="100"/>
              <w:jc w:val="left"/>
            </w:pPr>
            <w:r>
              <w:rPr>
                <w:b/>
              </w:rPr>
              <w:t>Hvorav: omstillingsaktiviteter Hvorav: muliggjørende aktiviteter Hvorav omstillingsaktiviteter Hvorav omstillingsaktiviteter</w:t>
            </w:r>
          </w:p>
        </w:tc>
      </w:tr>
      <w:tr w:rsidR="00A54846" w14:paraId="41C9C54F" w14:textId="77777777">
        <w:trPr>
          <w:trHeight w:val="241"/>
        </w:trPr>
        <w:tc>
          <w:tcPr>
            <w:tcW w:w="0" w:type="auto"/>
            <w:gridSpan w:val="5"/>
            <w:tcMar>
              <w:left w:w="0" w:type="dxa"/>
              <w:right w:w="0" w:type="dxa"/>
            </w:tcMar>
          </w:tcPr>
          <w:p w14:paraId="07CF9668" w14:textId="77777777" w:rsidR="00A54846" w:rsidRDefault="008A2731">
            <w:pPr>
              <w:pStyle w:val="AnnexTableCellLeft"/>
              <w:jc w:val="left"/>
            </w:pPr>
            <w:r>
              <w:t>Beholdninger og strømmer</w:t>
            </w:r>
          </w:p>
        </w:tc>
      </w:tr>
      <w:tr w:rsidR="00A54846" w14:paraId="383D836E" w14:textId="77777777">
        <w:trPr>
          <w:trHeight w:val="241"/>
        </w:trPr>
        <w:tc>
          <w:tcPr>
            <w:tcW w:w="1956" w:type="dxa"/>
            <w:tcMar>
              <w:left w:w="0" w:type="dxa"/>
              <w:right w:w="0" w:type="dxa"/>
            </w:tcMar>
          </w:tcPr>
          <w:p w14:paraId="74A34402" w14:textId="0F3EED5F" w:rsidR="00A54846" w:rsidRDefault="008A2731">
            <w:pPr>
              <w:pStyle w:val="AnnexTableCellLeft"/>
              <w:jc w:val="left"/>
            </w:pPr>
            <w:r>
              <w:t>Tilpasn</w:t>
            </w:r>
            <w:r w:rsidR="00A216F4">
              <w:softHyphen/>
            </w:r>
            <w:r>
              <w:t>ing til klima</w:t>
            </w:r>
            <w:r w:rsidR="00A216F4">
              <w:softHyphen/>
            </w:r>
            <w:r>
              <w:t>endrin</w:t>
            </w:r>
            <w:r w:rsidR="00A216F4">
              <w:softHyphen/>
            </w:r>
            <w:r>
              <w:t>ger</w:t>
            </w:r>
          </w:p>
        </w:tc>
        <w:tc>
          <w:tcPr>
            <w:tcW w:w="2426" w:type="dxa"/>
            <w:tcMar>
              <w:left w:w="0" w:type="dxa"/>
              <w:right w:w="0" w:type="dxa"/>
            </w:tcMar>
          </w:tcPr>
          <w:p w14:paraId="3674F88A" w14:textId="4B587672" w:rsidR="00A54846" w:rsidRDefault="008A2731">
            <w:pPr>
              <w:pStyle w:val="AnnexTableCellLeft"/>
              <w:ind w:left="100"/>
              <w:jc w:val="left"/>
            </w:pPr>
            <w:r>
              <w:t>Andelen lån og forskudd/</w:t>
            </w:r>
            <w:r w:rsidR="00A216F4">
              <w:t xml:space="preserve"> </w:t>
            </w:r>
            <w:r>
              <w:t>gjeldsinstrumenter/egen</w:t>
            </w:r>
            <w:r w:rsidR="00A216F4">
              <w:softHyphen/>
            </w:r>
            <w:r>
              <w:t>kapitalinstrumenter som finansierer økonomiske aktiviteter som er omfattet av taksonomien, med tilpasning til klimaendringer som mål, i forhold til samlede lån til / gjeldsinstrumenter i / egenkapitalinstrumenter i ikke-finansielle foretak og alle andre dekkede balanseførte eiendeler</w:t>
            </w:r>
          </w:p>
        </w:tc>
        <w:tc>
          <w:tcPr>
            <w:tcW w:w="2427" w:type="dxa"/>
            <w:gridSpan w:val="2"/>
            <w:tcMar>
              <w:left w:w="0" w:type="dxa"/>
              <w:right w:w="0" w:type="dxa"/>
            </w:tcMar>
          </w:tcPr>
          <w:p w14:paraId="406F8AB1" w14:textId="1BC4DC9E" w:rsidR="00A54846" w:rsidRDefault="008A2731">
            <w:pPr>
              <w:pStyle w:val="AnnexTableCellLeft"/>
              <w:ind w:left="100"/>
              <w:jc w:val="left"/>
            </w:pPr>
            <w:r>
              <w:t>Andelen lån og forskudd/gjeldsinstrumenter</w:t>
            </w:r>
            <w:r w:rsidR="00A216F4">
              <w:t xml:space="preserve"> </w:t>
            </w:r>
            <w:r>
              <w:t>/egenkapital</w:t>
            </w:r>
            <w:r w:rsidR="00A216F4">
              <w:softHyphen/>
            </w:r>
            <w:r>
              <w:t>instrumenter som finansierer taksonomiforenlige økonomiske aktiviteter med tilpasning til klimaendringer som mål, i forhold til lån og forskudd/gjeldsinstrumenter/egen</w:t>
            </w:r>
            <w:r w:rsidR="00A216F4">
              <w:softHyphen/>
            </w:r>
            <w:r>
              <w:t>kapitalinstrumenter som finansierer økonomiske aktiviteter i sektorer taksonomien gjelder, med tilpasning til klimaendringer som mål.</w:t>
            </w:r>
          </w:p>
        </w:tc>
        <w:tc>
          <w:tcPr>
            <w:tcW w:w="2427" w:type="dxa"/>
            <w:tcMar>
              <w:left w:w="0" w:type="dxa"/>
              <w:right w:w="0" w:type="dxa"/>
            </w:tcMar>
          </w:tcPr>
          <w:p w14:paraId="122889DC" w14:textId="62074860" w:rsidR="00A54846" w:rsidRDefault="008A2731">
            <w:pPr>
              <w:pStyle w:val="AnnexTableCellLeft"/>
              <w:ind w:left="100"/>
              <w:jc w:val="left"/>
            </w:pPr>
            <w:r>
              <w:rPr>
                <w:b/>
              </w:rPr>
              <w:t>Andelen lån og forskudd/gjeldsinstrumenter/egenkapitalins</w:t>
            </w:r>
            <w:r w:rsidR="00A216F4">
              <w:rPr>
                <w:b/>
              </w:rPr>
              <w:softHyphen/>
            </w:r>
            <w:r>
              <w:rPr>
                <w:b/>
              </w:rPr>
              <w:t>trumenter som finansierer taksonomiforenlige økonomiske aktiviteter med tilpasning til klimaendringer som mål, i forhold til samlede lån og forskudd til / gjeldsinstrumenter i / egenkapitalinstrumenter</w:t>
            </w:r>
            <w:r>
              <w:t xml:space="preserve"> i ikke-finansielle foretak </w:t>
            </w:r>
            <w:r>
              <w:rPr>
                <w:b/>
              </w:rPr>
              <w:t>og alle andre dekkede balanseførte eiendeler</w:t>
            </w:r>
          </w:p>
        </w:tc>
      </w:tr>
      <w:tr w:rsidR="00A54846" w14:paraId="260BCBB3" w14:textId="77777777">
        <w:trPr>
          <w:trHeight w:val="241"/>
        </w:trPr>
        <w:tc>
          <w:tcPr>
            <w:tcW w:w="4382" w:type="dxa"/>
            <w:gridSpan w:val="2"/>
            <w:tcMar>
              <w:left w:w="0" w:type="dxa"/>
              <w:right w:w="0" w:type="dxa"/>
            </w:tcMar>
          </w:tcPr>
          <w:p w14:paraId="2AE7E9E1" w14:textId="77777777" w:rsidR="00A54846" w:rsidRDefault="00A54846">
            <w:pPr>
              <w:pStyle w:val="AnnexTableCellLeft"/>
              <w:ind w:left="100"/>
              <w:jc w:val="left"/>
            </w:pPr>
          </w:p>
        </w:tc>
        <w:tc>
          <w:tcPr>
            <w:tcW w:w="4854" w:type="dxa"/>
            <w:gridSpan w:val="3"/>
            <w:tcMar>
              <w:left w:w="0" w:type="dxa"/>
              <w:right w:w="0" w:type="dxa"/>
            </w:tcMar>
          </w:tcPr>
          <w:p w14:paraId="1E042B31" w14:textId="77777777" w:rsidR="00A54846" w:rsidRDefault="008A2731">
            <w:pPr>
              <w:pStyle w:val="AnnexTableCellLeft"/>
              <w:ind w:left="100"/>
              <w:jc w:val="left"/>
            </w:pPr>
            <w:r>
              <w:rPr>
                <w:b/>
              </w:rPr>
              <w:t>Hvorav: tilpasningsaktiviteter Hvorav omstillingsaktiviteter</w:t>
            </w:r>
          </w:p>
          <w:p w14:paraId="20F9B119" w14:textId="77777777" w:rsidR="00A54846" w:rsidRDefault="008A2731">
            <w:pPr>
              <w:pStyle w:val="AnnexTableCellLeft"/>
              <w:ind w:left="100"/>
              <w:jc w:val="left"/>
            </w:pPr>
            <w:r>
              <w:rPr>
                <w:b/>
              </w:rPr>
              <w:t>Hvorav tilpasningsaktiviteter Hvorav omstillingsaktiviteter</w:t>
            </w:r>
          </w:p>
        </w:tc>
      </w:tr>
      <w:tr w:rsidR="00A54846" w14:paraId="60BA8970" w14:textId="77777777">
        <w:trPr>
          <w:trHeight w:val="241"/>
        </w:trPr>
        <w:tc>
          <w:tcPr>
            <w:tcW w:w="0" w:type="auto"/>
            <w:gridSpan w:val="5"/>
            <w:tcMar>
              <w:left w:w="0" w:type="dxa"/>
              <w:right w:w="0" w:type="dxa"/>
            </w:tcMar>
          </w:tcPr>
          <w:p w14:paraId="2D924DAC" w14:textId="77777777" w:rsidR="00A54846" w:rsidRDefault="008A2731">
            <w:pPr>
              <w:pStyle w:val="AnnexTableCellLeft"/>
              <w:pageBreakBefore/>
              <w:jc w:val="left"/>
            </w:pPr>
            <w:r>
              <w:lastRenderedPageBreak/>
              <w:t>Beholdninger og strømmer</w:t>
            </w:r>
          </w:p>
        </w:tc>
      </w:tr>
      <w:tr w:rsidR="00A54846" w14:paraId="09D1A750" w14:textId="77777777">
        <w:trPr>
          <w:trHeight w:val="241"/>
        </w:trPr>
        <w:tc>
          <w:tcPr>
            <w:tcW w:w="4618" w:type="dxa"/>
            <w:gridSpan w:val="3"/>
            <w:tcMar>
              <w:left w:w="0" w:type="dxa"/>
              <w:right w:w="0" w:type="dxa"/>
            </w:tcMar>
          </w:tcPr>
          <w:p w14:paraId="6F37723D" w14:textId="77777777" w:rsidR="00A54846" w:rsidRDefault="008A2731">
            <w:pPr>
              <w:pStyle w:val="AnnexTableCellLeft"/>
              <w:jc w:val="left"/>
            </w:pPr>
            <w:r>
              <w:t>Andre miljøaktiviteter</w:t>
            </w:r>
          </w:p>
        </w:tc>
        <w:tc>
          <w:tcPr>
            <w:tcW w:w="4618" w:type="dxa"/>
            <w:gridSpan w:val="2"/>
            <w:tcMar>
              <w:left w:w="0" w:type="dxa"/>
              <w:right w:w="0" w:type="dxa"/>
            </w:tcMar>
          </w:tcPr>
          <w:p w14:paraId="3D268539" w14:textId="77777777" w:rsidR="00A54846" w:rsidRDefault="008A2731">
            <w:pPr>
              <w:pStyle w:val="AnnexTableCellLeft"/>
              <w:ind w:left="100"/>
              <w:jc w:val="left"/>
            </w:pPr>
            <w:r>
              <w:t>Så snart screeningkriteriene er definert, skal de samme forholdstallene legges fram for hvert av de fire andre miljømålene, altså bærekraftig bruk og beskyttelse av vann- og havressurser, omstillingen til en sirkulær økonomi, forebygging og begrensning av forurensning samt beskyttelse og restaurering av biologisk mangfold og økosystemer.</w:t>
            </w:r>
          </w:p>
        </w:tc>
      </w:tr>
    </w:tbl>
    <w:p w14:paraId="4B0C661A" w14:textId="77777777" w:rsidR="00A54846" w:rsidRDefault="008A2731">
      <w:pPr>
        <w:pStyle w:val="AnnexNumberedText"/>
        <w:spacing w:before="700"/>
        <w:ind w:left="684" w:hanging="684"/>
      </w:pPr>
      <w:r>
        <w:t>i)</w:t>
      </w:r>
      <w:r>
        <w:tab/>
        <w:t xml:space="preserve">GAR for utlånsaktiviteter knyttet til egenkapitalbeholdninger i ikke-finansielle foretak med hensyn til </w:t>
      </w:r>
      <w:r>
        <w:rPr>
          <w:i/>
        </w:rPr>
        <w:t>lån og forskudd (GAR L&amp;A)</w:t>
      </w:r>
    </w:p>
    <w:p w14:paraId="35B5DC92" w14:textId="77777777" w:rsidR="00A54846" w:rsidRDefault="008A2731">
      <w:pPr>
        <w:pStyle w:val="AnnexNormal"/>
      </w:pPr>
      <w:r>
        <w:t>Kredittinstitusjoner skal bruke og legge fram følgende poster for beregningen av GAR for denne typen eksponeringer:</w:t>
      </w:r>
    </w:p>
    <w:p w14:paraId="1CDBA0D0" w14:textId="77777777" w:rsidR="00A54846" w:rsidRDefault="008A2731">
      <w:pPr>
        <w:pStyle w:val="AnnexNumberedText"/>
        <w:ind w:left="503" w:hanging="503"/>
      </w:pPr>
      <w:r>
        <w:t>1)(a)</w:t>
      </w:r>
      <w:r>
        <w:tab/>
        <w:t>Samlede lån og forskudd til ikke-finansielle foretak, herunder lån og forskudd innregnet i regnskapskategoriene nevnt i punkt 1.2 i dette vedlegget, dvs. brutto balanseført verdi av</w:t>
      </w:r>
    </w:p>
    <w:p w14:paraId="30B501E3" w14:textId="77777777" w:rsidR="00A54846" w:rsidRDefault="008A2731">
      <w:pPr>
        <w:pStyle w:val="AnnexNumberedText"/>
        <w:ind w:left="806" w:hanging="303"/>
      </w:pPr>
      <w:r>
        <w:t>i)</w:t>
      </w:r>
      <w:r>
        <w:tab/>
        <w:t>lån og forskudd til amortisert kost og virkelig verdi gjennom andre inntekter og kostnader,</w:t>
      </w:r>
    </w:p>
    <w:p w14:paraId="2B162F64" w14:textId="77777777" w:rsidR="00A54846" w:rsidRDefault="008A2731">
      <w:pPr>
        <w:pStyle w:val="AnnexNumberedText"/>
        <w:ind w:left="806" w:hanging="303"/>
      </w:pPr>
      <w:r>
        <w:t>ii)</w:t>
      </w:r>
      <w:r>
        <w:tab/>
        <w:t>lån og forskudd som ikke innehas for handelsformål, til virkelig verdi over resultatet.</w:t>
      </w:r>
    </w:p>
    <w:p w14:paraId="0D24E593" w14:textId="77777777" w:rsidR="00A54846" w:rsidRDefault="008A2731">
      <w:pPr>
        <w:pStyle w:val="AnnexNumberedText"/>
        <w:ind w:left="503" w:hanging="503"/>
      </w:pPr>
      <w:r>
        <w:t>1)(b)</w:t>
      </w:r>
      <w:r>
        <w:tab/>
        <w:t>Lån og forskudd til ikke-finansielle foretak som finansierer økonomiske aktiviteter som er omfattet av taksonomien, for hvert av miljømålene, herunder brutto balanseført verdi av lån og forskudd i de relevante regnskapskategoriene til selskaper som driver økonomiske aktiviteter som er omfattet av taksonomien (der dette finnes, med firesifrede koder i henhold til standard for næringsgruppering (NACE)), og som er relevante for hvert av miljømålene.</w:t>
      </w:r>
    </w:p>
    <w:p w14:paraId="5B87EE80" w14:textId="77777777" w:rsidR="00A54846" w:rsidRDefault="008A2731">
      <w:pPr>
        <w:pStyle w:val="AnnexNumberedText"/>
        <w:ind w:left="503" w:hanging="503"/>
      </w:pPr>
      <w:r>
        <w:t>1)(c)</w:t>
      </w:r>
      <w:r>
        <w:tab/>
        <w:t>Lån og forskudd til ikke-finansielle foretak som finansierer taksonomiforenlige økonomiske aktiviteter, for hvert av miljømålene, herunder samlede lån og forskudd som finansierer taksonomiforenlige økonomiske aktiviteter, herunder undergrupper av omstillingsaktiviteter og muliggjørende aktiviteter.</w:t>
      </w:r>
    </w:p>
    <w:p w14:paraId="08D583E3" w14:textId="77777777" w:rsidR="00A54846" w:rsidRDefault="008A2731">
      <w:pPr>
        <w:pStyle w:val="AnnexNormal"/>
      </w:pPr>
      <w:r>
        <w:t>Beløpet for (1)(c) skal beregnes med følgende formel (1)(c) = (1)(c)(1) + (1)(c)(2), der</w:t>
      </w:r>
    </w:p>
    <w:p w14:paraId="023157B6" w14:textId="77777777" w:rsidR="00A54846" w:rsidRDefault="008A2731">
      <w:pPr>
        <w:pStyle w:val="AnnexNumberedText"/>
        <w:ind w:left="703" w:hanging="703"/>
      </w:pPr>
      <w:r>
        <w:t>1)(c)(1)</w:t>
      </w:r>
      <w:r>
        <w:tab/>
        <w:t>er lån og forskudd der bruken av provenyet er kjent, herunder lån for spesielle formål – prosjektfinansieringslån som nevnt i vedlegg V til Kommisjonens gjennomføringsforordning (EU) nr. 680/2014(</w:t>
      </w:r>
      <w:bookmarkStart w:id="9" w:name="NOTE_10"/>
      <w:r>
        <w:rPr>
          <w:rStyle w:val="FootnoteReference"/>
        </w:rPr>
        <w:footnoteReference w:id="11"/>
      </w:r>
      <w:bookmarkEnd w:id="9"/>
      <w:r>
        <w:t>),</w:t>
      </w:r>
    </w:p>
    <w:p w14:paraId="39FE9618" w14:textId="77777777" w:rsidR="00A54846" w:rsidRDefault="008A2731">
      <w:pPr>
        <w:pStyle w:val="AnnexNumberedText"/>
        <w:ind w:left="703" w:hanging="703"/>
      </w:pPr>
      <w:r>
        <w:t>1)(c)(2)</w:t>
      </w:r>
      <w:r>
        <w:tab/>
        <w:t>er lån og forskudd der bruken av provenyet er ukjent (generelle lån).</w:t>
      </w:r>
    </w:p>
    <w:p w14:paraId="76D0DA4E" w14:textId="77777777" w:rsidR="00A54846" w:rsidRDefault="008A2731">
      <w:pPr>
        <w:pStyle w:val="AnnexNormal"/>
      </w:pPr>
      <w:r>
        <w:t>Når det gjelder punkt (1)(c)(1), skal kredittinstitusjoner inkludere brutto balanseført verdi av prosjektfinansieringseksponeringene mot det ikke-finansielle foretaket alt etter i hvilket omfang og med hvilken andel det finansierte prosjektet finansierer en taksonomiforenlig økonomisk aktivitet. Vurderingen av hvorvidt dette kravet er oppfylt, skal baseres på opplysningene gitt av motparten om prosjektet eller aktivitetene som provenyet skal brukes til. Kredittinstitusjoner skal opplyse om typen økonomisk aktivitet som finansieres. Dobbelttelling er ikke tillatt. Dersom samme eksponering i lån for spesielle formål er relevant for to miljømål, skal kredittinstitusjonene føre den opp for det målet som er mest relevant.</w:t>
      </w:r>
    </w:p>
    <w:p w14:paraId="4553CD09" w14:textId="77777777" w:rsidR="00A54846" w:rsidRDefault="008A2731">
      <w:pPr>
        <w:pStyle w:val="AnnexNormal"/>
      </w:pPr>
      <w:r>
        <w:t>Når det gjelder punkt (1)(c)(2), skal kredittinstitusjoner bruke KPI-en for investeringsutgifter og KPI-en for omsetning framlagt av motparten for hvert av miljømålene i samsvar med denne forordningen. Beløpet for lån og forskudd til ikke-finansielle foretak skal være summen av brutto balanseført verdi av de samlede lånene og forskuddene til ikke-finansielle foretak der bruken av provenyet er ukjent, vektet med andelen taksonomiforenlige økonomiske aktiviteter spesifisert etter omstillingsaktiviteter og muliggjørende aktiviteter for hver motpart.</w:t>
      </w:r>
    </w:p>
    <w:p w14:paraId="3AED9EEC" w14:textId="77777777" w:rsidR="00A54846" w:rsidRDefault="008A2731">
      <w:pPr>
        <w:pStyle w:val="AnnexNormal"/>
      </w:pPr>
      <w:r>
        <w:t>Kredittinstitusjoner skal beregne KPI-ene for disse typene eksponeringer som følger:</w:t>
      </w:r>
    </w:p>
    <w:p w14:paraId="48F6969B" w14:textId="77777777" w:rsidR="00A54846" w:rsidRDefault="008A2731">
      <w:pPr>
        <w:pStyle w:val="AnnexNormal"/>
        <w:spacing w:after="0"/>
      </w:pPr>
      <w:r>
        <w:t>Første trinn = (1)(b)/(1)(a).</w:t>
      </w:r>
      <w:r>
        <w:br w:type="page"/>
      </w:r>
    </w:p>
    <w:p w14:paraId="36FC8E1A" w14:textId="77777777" w:rsidR="00A54846" w:rsidRDefault="008A2731">
      <w:pPr>
        <w:pStyle w:val="AnnexNormal"/>
      </w:pPr>
      <w:r>
        <w:rPr>
          <w:b/>
        </w:rPr>
        <w:lastRenderedPageBreak/>
        <w:t>Andre trinn = (1)(c)/(1)(b).</w:t>
      </w:r>
      <w:r>
        <w:t xml:space="preserve"> Kredittinstitusjoner skal legge fram separate opplysninger om den delen av KPI-en som gjelder eventuelle muliggjørende aktiviteter.</w:t>
      </w:r>
    </w:p>
    <w:p w14:paraId="11E45477" w14:textId="77777777" w:rsidR="00A54846" w:rsidRDefault="008A2731">
      <w:pPr>
        <w:pStyle w:val="AnnexNormal"/>
      </w:pPr>
      <w:r>
        <w:rPr>
          <w:b/>
        </w:rPr>
        <w:t>GAR L&amp;A (for hvert av miljømålene) = (1)(c)/(1)(a).</w:t>
      </w:r>
      <w:r>
        <w:t xml:space="preserve"> Kredittinstitusjoner skal legge fram GAR på grunnlag av KPI-en for omsetning og separate opplysninger om den andelen av KPI-en som gjelder eventuelle muliggjørende aktiviteter og omstillingsaktiviteter.</w:t>
      </w:r>
    </w:p>
    <w:p w14:paraId="7F89049C" w14:textId="77777777" w:rsidR="00A54846" w:rsidRDefault="008A2731">
      <w:pPr>
        <w:pStyle w:val="AnnexNormal"/>
      </w:pPr>
      <w:r>
        <w:t>Det skal legges fram opplysninger om følgende aspekter ved KPI-ene:</w:t>
      </w:r>
    </w:p>
    <w:p w14:paraId="4682DB65" w14:textId="77777777" w:rsidR="00A54846" w:rsidRDefault="008A2731">
      <w:pPr>
        <w:pStyle w:val="AnnexNumberedText"/>
        <w:ind w:left="293" w:hanging="293"/>
      </w:pPr>
      <w:r>
        <w:t>a)</w:t>
      </w:r>
      <w:r>
        <w:tab/>
        <w:t>Når det gjelder beholdninger, på grunnlag av samlet brutto balanseført verdi av lån og forskudd per referansedato for opplysningene.</w:t>
      </w:r>
    </w:p>
    <w:p w14:paraId="25277BF3" w14:textId="77777777" w:rsidR="00A54846" w:rsidRDefault="008A2731">
      <w:pPr>
        <w:pStyle w:val="AnnexNumberedText"/>
        <w:ind w:left="293" w:hanging="293"/>
      </w:pPr>
      <w:r>
        <w:t>b)</w:t>
      </w:r>
      <w:r>
        <w:tab/>
        <w:t>Når det gjelder strømmer, på grunnlag av brutto balanseført verdi av nye lån og forskudd det siste året forut for referansedatoen for opplysningene.</w:t>
      </w:r>
    </w:p>
    <w:p w14:paraId="76CACCFA" w14:textId="77777777" w:rsidR="00A54846" w:rsidRDefault="008A2731">
      <w:pPr>
        <w:pStyle w:val="AnnexNumberedText"/>
        <w:ind w:left="293" w:hanging="293"/>
      </w:pPr>
      <w:r>
        <w:t>c)</w:t>
      </w:r>
      <w:r>
        <w:tab/>
        <w:t>Muliggjørende aktiviteter og omstillingsaktiviteter, samt lån for spesielle formål, skal spesifiseres for seg.</w:t>
      </w:r>
    </w:p>
    <w:p w14:paraId="5D267965" w14:textId="77777777" w:rsidR="00A54846" w:rsidRDefault="008A2731">
      <w:pPr>
        <w:pStyle w:val="AnnexNumberedText"/>
        <w:ind w:left="684" w:hanging="684"/>
      </w:pPr>
      <w:r>
        <w:t>ii)</w:t>
      </w:r>
      <w:r>
        <w:tab/>
        <w:t>GAR for gjeldsinstrumenter utstedt til ikke-finansielle foretak («GAR DS»)</w:t>
      </w:r>
    </w:p>
    <w:p w14:paraId="280C0B28" w14:textId="77777777" w:rsidR="00A54846" w:rsidRDefault="008A2731">
      <w:pPr>
        <w:pStyle w:val="AnnexNormal"/>
      </w:pPr>
      <w:r>
        <w:t>Kredittinstitusjoner skal beregne og legge fram følgende poster for beregningen av GAR for denne typen eksponeringer:</w:t>
      </w:r>
    </w:p>
    <w:p w14:paraId="7114D3D9" w14:textId="77777777" w:rsidR="00A54846" w:rsidRDefault="008A2731">
      <w:pPr>
        <w:pStyle w:val="AnnexNumberedText"/>
        <w:ind w:left="503" w:hanging="503"/>
      </w:pPr>
      <w:r>
        <w:t>2)(a)</w:t>
      </w:r>
      <w:r>
        <w:tab/>
        <w:t>Alle gjeldsinstrumenter i ikke-finansielle foretak, herunder brutto balanseført verdi av gjeldsinstrumenter til amortisert kost og til virkelig verdi gjennom andre inntekter og kostnader, samt gjeldsinstrumenter som ikke innehas for handelsformål, til virkelig verdi over resultatet.</w:t>
      </w:r>
    </w:p>
    <w:p w14:paraId="47100F43" w14:textId="77777777" w:rsidR="00A54846" w:rsidRDefault="008A2731">
      <w:pPr>
        <w:pStyle w:val="AnnexNumberedText"/>
        <w:ind w:left="503" w:hanging="503"/>
      </w:pPr>
      <w:r>
        <w:t>2)(b)</w:t>
      </w:r>
      <w:r>
        <w:tab/>
        <w:t>Gjeldsinstrumenter i ikke-finansielle foretak som finansierer økonomiske aktiviteter som er omfattet av taksonomien, for hvert av miljømålene, herunder brutto balanseført verdi av gjeldsinstrumenter i de relevante regnskapskategoriene i selskaper som driver økonomiske aktiviteter som er omfattet av taksonomien (der dette finnes, med firesifrede NACE-koder).</w:t>
      </w:r>
    </w:p>
    <w:p w14:paraId="4E2658AD" w14:textId="77777777" w:rsidR="00A54846" w:rsidRDefault="008A2731">
      <w:pPr>
        <w:pStyle w:val="AnnexNumberedText"/>
        <w:ind w:left="503" w:hanging="503"/>
      </w:pPr>
      <w:r>
        <w:t>2)(c)</w:t>
      </w:r>
      <w:r>
        <w:tab/>
        <w:t>Gjeldsinstrumenter i relevante enheter som finansierer taksonomiforenlige økonomiske aktiviteter, herunder alle gjeldsinstrumenter som finansierer taksonomiforenlige økonomiske aktiviteter, herunder omstillingsaktiviteter og muliggjørende aktiviteter.</w:t>
      </w:r>
    </w:p>
    <w:p w14:paraId="3024CECC" w14:textId="77777777" w:rsidR="00A54846" w:rsidRDefault="008A2731">
      <w:pPr>
        <w:pStyle w:val="AnnexNormal"/>
      </w:pPr>
      <w:r>
        <w:t>Beløpet for (2)(c) skal beregnes med følgende formel:</w:t>
      </w:r>
    </w:p>
    <w:p w14:paraId="0F1E3BCF" w14:textId="77777777" w:rsidR="00A54846" w:rsidRDefault="008A2731">
      <w:pPr>
        <w:pStyle w:val="AnnexNormal"/>
      </w:pPr>
      <w:r>
        <w:t>2(c) = (2)(c)(1) + (2)(c)(2) der:</w:t>
      </w:r>
    </w:p>
    <w:p w14:paraId="15E9238F" w14:textId="77777777" w:rsidR="00A54846" w:rsidRDefault="008A2731">
      <w:pPr>
        <w:pStyle w:val="AnnexNumberedText"/>
        <w:ind w:left="1203" w:hanging="703"/>
      </w:pPr>
      <w:r>
        <w:t>2)(c)(1)</w:t>
      </w:r>
      <w:r>
        <w:tab/>
        <w:t>er gjeldsinstrumenter der bruken av provenyet er kjent,</w:t>
      </w:r>
    </w:p>
    <w:p w14:paraId="2C05D0A2" w14:textId="77777777" w:rsidR="00A54846" w:rsidRDefault="008A2731">
      <w:pPr>
        <w:pStyle w:val="AnnexNumberedText"/>
        <w:ind w:left="1203" w:hanging="703"/>
      </w:pPr>
      <w:r>
        <w:t>2)(c)(2)</w:t>
      </w:r>
      <w:r>
        <w:tab/>
        <w:t>er gjeldsinstrumenter der bruken av provenyet ikke er kjent.</w:t>
      </w:r>
    </w:p>
    <w:p w14:paraId="7621ACB7" w14:textId="77777777" w:rsidR="00A54846" w:rsidRDefault="008A2731">
      <w:pPr>
        <w:pStyle w:val="AnnexNormal"/>
      </w:pPr>
      <w:r>
        <w:t>Når det gjelder punkt (2)(c)(1), skal kredittinstitusjoner inkludere følgende:</w:t>
      </w:r>
    </w:p>
    <w:p w14:paraId="04EBEED5" w14:textId="77777777" w:rsidR="00A54846" w:rsidRDefault="008A2731">
      <w:pPr>
        <w:pStyle w:val="AnnexNumberedText"/>
        <w:ind w:left="913" w:hanging="913"/>
      </w:pPr>
      <w:r>
        <w:t>2)(c)(1)(a)</w:t>
      </w:r>
      <w:r>
        <w:tab/>
        <w:t>Kredittinstitusjoner skal inkludere samlet brutto balanseført verdi av eksponeringene mot miljømessig bærekraftige obligasjoner utstedt i samsvar med Unionens regelverk. Løpende utstedelser av obligasjoner som er klassifisert som grønne obligasjoner, der utstederen må investere provenyet i økonomiske aktiviteter som er omfattet av taksonomien, skal vurderes ut fra i hvilken grad de økonomiske aktivitetene eller de finansierte prosjektene er taksonomiforenlige i samsvar med forordning (EU) 2020/852, på grunnlag av spesifikke opplysninger framlagt av utstederen av en utstedelse. Kredittinstitusjoner skal opplyse om typen økonomisk aktivitet som finansieres. Dobbelttelling er ikke tillatt. Dersom samme grønne obligasjon kan være relevant for to miljømål, skal kredittinstitusjonene føre den opp for det målet som er mest relevant.</w:t>
      </w:r>
    </w:p>
    <w:p w14:paraId="6A3608B7" w14:textId="77777777" w:rsidR="00A54846" w:rsidRDefault="008A2731">
      <w:pPr>
        <w:pStyle w:val="AnnexNumberedText"/>
        <w:ind w:left="913" w:hanging="913"/>
      </w:pPr>
      <w:r>
        <w:t>2)(c)(1)(b)</w:t>
      </w:r>
      <w:r>
        <w:tab/>
        <w:t>Kredittinstitusjoner skal inkludere brutto balanseført verdi av gjeldsinstrumenter investert i prosjektfinansieringseksponeringer, i den utstrekning aktivitetene i det finansierte prosjektet er taksonomiforenlige økonomiske aktiviteter. Vurderingen skal baseres på spesifikke opplysninger fra utstederen av den aktuelle utstedelsen. Dobbelttelling er ikke tillatt. Dersom samme eksponering i lån for spesielle formål kan være relevant for to miljømål, skal kredittinstitusjonene føre den opp for det målet som er mest relevant. Kredittinstitusjoner skal opplyse om typen økonomisk aktivitet som finansieres.</w:t>
      </w:r>
    </w:p>
    <w:p w14:paraId="35F93C2F" w14:textId="77777777" w:rsidR="00A54846" w:rsidRDefault="008A2731">
      <w:pPr>
        <w:pStyle w:val="AnnexNormal"/>
        <w:spacing w:after="0"/>
      </w:pPr>
      <w:r>
        <w:t>Når det gjelder punkt (2)(c)(2), skal kredittinstitusjoner bruke KPI-en for omsetning og KPI-en for investeringsutgifter framlagt av motparten i samsvar med artikkel 2 i denne forordningen. Beløpet for gjeldsinstrumentene i ikke-finansielle foretak skal være summen av brutto balanseført verdi av alle gjeldsinstrumenter der bruken av provenyet er ukjent, vektet med andelen taksonomiforenlige økonomiske aktiviteter spesifisert etter omstillingsaktiviteter og muliggjørende aktiviteter for hver motpart.</w:t>
      </w:r>
      <w:r>
        <w:br w:type="page"/>
      </w:r>
    </w:p>
    <w:p w14:paraId="35869989" w14:textId="77777777" w:rsidR="00A54846" w:rsidRDefault="008A2731">
      <w:pPr>
        <w:pStyle w:val="AnnexNormal"/>
      </w:pPr>
      <w:r>
        <w:lastRenderedPageBreak/>
        <w:t>Kredittinstitusjoner skal beregne de foreslåtte KPI-ene etter følgende formel for denne typen eksponeringer:</w:t>
      </w:r>
    </w:p>
    <w:p w14:paraId="07BCFB08" w14:textId="77777777" w:rsidR="00A54846" w:rsidRDefault="008A2731">
      <w:pPr>
        <w:pStyle w:val="AnnexNormal"/>
      </w:pPr>
      <w:r>
        <w:t>Første trinn = (2)(b)/(2)(a).</w:t>
      </w:r>
    </w:p>
    <w:p w14:paraId="77F728B6" w14:textId="77777777" w:rsidR="00A54846" w:rsidRDefault="008A2731">
      <w:pPr>
        <w:pStyle w:val="AnnexNormal"/>
      </w:pPr>
      <w:r>
        <w:rPr>
          <w:b/>
        </w:rPr>
        <w:t>Andre trinn = (2)(c)/(2)(b)</w:t>
      </w:r>
      <w:r>
        <w:t>. Kredittinstitusjoner skal legge fram separate opplysninger om den delen av KPI-en som gjelder eventuelle muliggjørende aktiviteter og omstillingsaktiviteter.</w:t>
      </w:r>
    </w:p>
    <w:p w14:paraId="5FE1C0E8" w14:textId="77777777" w:rsidR="00A54846" w:rsidRDefault="008A2731">
      <w:pPr>
        <w:pStyle w:val="AnnexNormal"/>
      </w:pPr>
      <w:r>
        <w:t>GAR DS = (2)(c)/(2)(a) på grunnlag av KPI for omsetning, og (2)(c)/(2)(a) på grunnlag av KPI for investeringsutgifter.</w:t>
      </w:r>
    </w:p>
    <w:p w14:paraId="72B2689C" w14:textId="77777777" w:rsidR="00A54846" w:rsidRDefault="008A2731">
      <w:pPr>
        <w:pStyle w:val="AnnexNormal"/>
      </w:pPr>
      <w:r>
        <w:t>Det skal legges fram opplysninger om følgende aspekter ved KPI-ene:</w:t>
      </w:r>
    </w:p>
    <w:p w14:paraId="41640AD4" w14:textId="77777777" w:rsidR="00A54846" w:rsidRDefault="008A2731">
      <w:pPr>
        <w:pStyle w:val="AnnexNumberedText"/>
        <w:ind w:left="293" w:hanging="293"/>
      </w:pPr>
      <w:r>
        <w:t>a)</w:t>
      </w:r>
      <w:r>
        <w:tab/>
        <w:t>Når det gjelder beholdninger, på grunnlag av samlet brutto balanseført verdi av gjeldsinstrumenter per referansedato for opplysningene.</w:t>
      </w:r>
    </w:p>
    <w:p w14:paraId="36003F0F" w14:textId="77777777" w:rsidR="00A54846" w:rsidRDefault="008A2731">
      <w:pPr>
        <w:pStyle w:val="AnnexNumberedText"/>
        <w:ind w:left="293" w:hanging="293"/>
      </w:pPr>
      <w:r>
        <w:t>b)</w:t>
      </w:r>
      <w:r>
        <w:tab/>
        <w:t>Når det gjelder strømmer, på grunnlag av brutto balanseført verdi av nye gjeldsinstrumenter det siste året forut for referansedatoen for opplysningene.</w:t>
      </w:r>
    </w:p>
    <w:p w14:paraId="427FE656" w14:textId="77777777" w:rsidR="00A54846" w:rsidRDefault="008A2731">
      <w:pPr>
        <w:pStyle w:val="AnnexNumberedText"/>
        <w:ind w:left="293" w:hanging="293"/>
      </w:pPr>
      <w:r>
        <w:t>c)</w:t>
      </w:r>
      <w:r>
        <w:tab/>
        <w:t>Muliggjørende aktiviteter og omstillingsaktiviteter, samt lån for spesielle formål, skal spesifiseres for seg.</w:t>
      </w:r>
    </w:p>
    <w:p w14:paraId="3FB43A73" w14:textId="77777777" w:rsidR="00A54846" w:rsidRDefault="008A2731">
      <w:pPr>
        <w:pStyle w:val="AnnexNumberedText"/>
        <w:ind w:left="684" w:hanging="684"/>
      </w:pPr>
      <w:r>
        <w:t>iii)</w:t>
      </w:r>
      <w:r>
        <w:tab/>
        <w:t>Grønn brøk (GAR) for kredittinstitusjoners egenkapitalbeholdninger i ikke-finansielle foretak («GAR EH»)</w:t>
      </w:r>
    </w:p>
    <w:p w14:paraId="00331304" w14:textId="77777777" w:rsidR="00A54846" w:rsidRDefault="008A2731">
      <w:pPr>
        <w:pStyle w:val="AnnexNormal"/>
      </w:pPr>
      <w:r>
        <w:t>Kredittinstitusjoner skal beregne og legge fram opplysninger om følgende:</w:t>
      </w:r>
    </w:p>
    <w:p w14:paraId="426D2DA3" w14:textId="77777777" w:rsidR="00A54846" w:rsidRDefault="008A2731">
      <w:pPr>
        <w:pStyle w:val="AnnexNumberedText"/>
        <w:ind w:left="293" w:hanging="293"/>
      </w:pPr>
      <w:r>
        <w:t>a)</w:t>
      </w:r>
      <w:r>
        <w:tab/>
        <w:t>Andelen egenkapitalbeholdninger i ikke-finansielle foretak som driver økonomiske aktiviteter som er omfattet av taksonomien, i forhold til samlede egenkapitalbeholdninger i ikke-finansielle foretak.</w:t>
      </w:r>
    </w:p>
    <w:p w14:paraId="717C8DFF" w14:textId="77777777" w:rsidR="00A54846" w:rsidRDefault="008A2731">
      <w:pPr>
        <w:pStyle w:val="AnnexNormal"/>
      </w:pPr>
      <w:r>
        <w:t>Telleren skal omfatte brutto balanseført verdi av egenkapitalbeholdninger i ikke-finansielle foretak som driver økonomiske aktiviteter omfattet av taksonomien, som ikke innehas for handelsformål, og som omfatter finansielle eiendeler til virkelig verdi gjennom andre inntekter og kostnader, og finansielle eiendeler som ikke innehas for handelsformål, til virkelig verdi over resultatet, samt investeringer i datterforetak, felleskontrollerte foretak og tilknyttede foretak.</w:t>
      </w:r>
    </w:p>
    <w:p w14:paraId="52605850" w14:textId="77777777" w:rsidR="00A54846" w:rsidRDefault="008A2731">
      <w:pPr>
        <w:pStyle w:val="AnnexNormal"/>
      </w:pPr>
      <w:r>
        <w:t>Nevneren skal omfatte samlet brutto balanseført verdi av egenkapitalbeholdninger i ikke-finansielle foretak som ikke innehas for handelsformål, og som omfatter finansielle eiendeler til virkelig verdi gjennom andre inntekter og kostnader, og finansielle eiendeler som ikke innehas for handelsformål, til virkelig verdi over resultatet, samt investeringer i datterforetak, felleskontrollerte foretak og tilknyttede foretak.</w:t>
      </w:r>
    </w:p>
    <w:p w14:paraId="5528C576" w14:textId="77777777" w:rsidR="00A54846" w:rsidRDefault="008A2731">
      <w:pPr>
        <w:pStyle w:val="AnnexNumberedText"/>
        <w:ind w:left="293" w:hanging="293"/>
      </w:pPr>
      <w:r>
        <w:t>b)</w:t>
      </w:r>
      <w:r>
        <w:tab/>
        <w:t>Andelen egenkapitalbeholdninger i ikke-finansielle foretak som driver taksonomiforenlige økonomiske aktiviteter, i forhold til egenkapitalbeholdningene i de samme ikke-finansielle foretakene som driver økonomiske aktiviteter som er omfattet av taksonomien.</w:t>
      </w:r>
    </w:p>
    <w:p w14:paraId="182C15E3" w14:textId="77777777" w:rsidR="00A54846" w:rsidRDefault="008A2731">
      <w:pPr>
        <w:pStyle w:val="AnnexNormal"/>
      </w:pPr>
      <w:r>
        <w:t>Telleren skal være lik brutto balanseført verdi av egenkapitalbeholdninger som ikke innehas for handelsformål, basert på KPI-en for omsetning og KPI-en for investeringsutgifter knyttet til de taksonomiforenlige økonomiske aktivitetene som det ikke-finansielle foretaket som innehar egenkapitalbeholdningene, driver.</w:t>
      </w:r>
    </w:p>
    <w:p w14:paraId="6E506D05" w14:textId="77777777" w:rsidR="00A54846" w:rsidRDefault="008A2731">
      <w:pPr>
        <w:pStyle w:val="AnnexNormal"/>
      </w:pPr>
      <w:r>
        <w:t>Nevneren skal omfatte brutto balanseført verdi av egenkapitalbeholdninger som ikke innehas for handelsformål, basert på KPI-en for omsetning for ikke-finansielle foretak som driver økonomiske aktiviteter som er omfattet av taksonomien.</w:t>
      </w:r>
    </w:p>
    <w:p w14:paraId="1E734491" w14:textId="77777777" w:rsidR="00A54846" w:rsidRDefault="008A2731">
      <w:pPr>
        <w:pStyle w:val="AnnexNumberedText"/>
        <w:ind w:left="293" w:hanging="293"/>
      </w:pPr>
      <w:r>
        <w:t>c)</w:t>
      </w:r>
      <w:r>
        <w:rPr>
          <w:b/>
        </w:rPr>
        <w:tab/>
        <w:t>GAR EH</w:t>
      </w:r>
      <w:r>
        <w:t xml:space="preserve"> = andelen egenkapitalbeholdninger i ikke-finansielle foretak som finansierer taksonomiforenlige økonomiske aktiviteter, i forhold til samlede egenkapitalbeholdninger i ikke-finansielle foretak.</w:t>
      </w:r>
    </w:p>
    <w:p w14:paraId="471A29F2" w14:textId="77777777" w:rsidR="00A54846" w:rsidRDefault="008A2731">
      <w:pPr>
        <w:pStyle w:val="AnnexNormal"/>
      </w:pPr>
      <w:r>
        <w:t>Telleren skal være lik brutto balanseført verdi av egenkapitalbeholdningene som ikke innehas for handelsformål, vektet med KPI for omsetning og KPI for investeringsutgifter knyttet til de taksonomiforenlige økonomiske aktivitetene, slik disse opplysningene er lagt fram av det ikke-finansielle foretaket som innehar egenkapitalinstrumentene.</w:t>
      </w:r>
    </w:p>
    <w:p w14:paraId="51C7F664" w14:textId="77777777" w:rsidR="00A54846" w:rsidRDefault="008A2731">
      <w:pPr>
        <w:pStyle w:val="AnnexNormal"/>
      </w:pPr>
      <w:r>
        <w:t>Nevneren skal omfatte samlet brutto balanseført verdi av egenkapitalbeholdninger i ikke-finansielle foretak som ikke innehas for handelsformål.</w:t>
      </w:r>
    </w:p>
    <w:p w14:paraId="7F442D1F" w14:textId="77777777" w:rsidR="00A54846" w:rsidRDefault="008A2731">
      <w:pPr>
        <w:pStyle w:val="AnnexNormal"/>
      </w:pPr>
      <w:r>
        <w:t>Det skal legges fram opplysninger om følgende aspekter ved forholdstallene:</w:t>
      </w:r>
    </w:p>
    <w:p w14:paraId="7583F372" w14:textId="77777777" w:rsidR="00A54846" w:rsidRDefault="008A2731">
      <w:pPr>
        <w:pStyle w:val="AnnexNumberedText"/>
        <w:ind w:left="293" w:hanging="293"/>
      </w:pPr>
      <w:r>
        <w:t>a)</w:t>
      </w:r>
      <w:r>
        <w:tab/>
        <w:t>Når det gjelder beholdninger, på grunnlag av samlet brutto balanseført verdi av egenkapitalbeholdningene per referansedato for opplysningene.</w:t>
      </w:r>
    </w:p>
    <w:p w14:paraId="621F5FE9" w14:textId="77777777" w:rsidR="00A54846" w:rsidRDefault="008A2731">
      <w:pPr>
        <w:pStyle w:val="AnnexNumberedText"/>
        <w:ind w:left="293" w:hanging="293"/>
      </w:pPr>
      <w:r>
        <w:t>b)</w:t>
      </w:r>
      <w:r>
        <w:tab/>
        <w:t>Når det gjelder strømmer, på grunnlag av brutto balanseført verdi av egenkapitalbeholdninger det siste året forut for referansedatoen for opplysningene.</w:t>
      </w:r>
    </w:p>
    <w:p w14:paraId="68AF6574" w14:textId="77777777" w:rsidR="00A54846" w:rsidRDefault="008A2731">
      <w:pPr>
        <w:pStyle w:val="AnnexNumberedText"/>
        <w:spacing w:after="0"/>
        <w:ind w:left="293" w:hanging="293"/>
      </w:pPr>
      <w:r>
        <w:t>c)</w:t>
      </w:r>
      <w:r>
        <w:tab/>
        <w:t>Muliggjørende aktiviteter og omstillingsaktiviteter skal spesifiseres for seg.</w:t>
      </w:r>
      <w:r>
        <w:br w:type="page"/>
      </w:r>
    </w:p>
    <w:p w14:paraId="2BD3FDFD" w14:textId="77777777" w:rsidR="00A54846" w:rsidRDefault="008A2731">
      <w:pPr>
        <w:pStyle w:val="AnnexNumberedText"/>
        <w:ind w:left="684" w:hanging="684"/>
      </w:pPr>
      <w:r>
        <w:lastRenderedPageBreak/>
        <w:t>iv)</w:t>
      </w:r>
      <w:r>
        <w:tab/>
        <w:t>GAR for all finansiering til ikke-finansielle foretak (utlån pluss egenkapitalbeholdninger)</w:t>
      </w:r>
    </w:p>
    <w:p w14:paraId="7EC3AD7F" w14:textId="77777777" w:rsidR="00A54846" w:rsidRDefault="008A2731">
      <w:pPr>
        <w:pStyle w:val="AnnexNormal"/>
      </w:pPr>
      <w:r>
        <w:t>De tre forholdstallene for hvert av miljømålene skal legges fram basert på KPI for omsetning, og når det gjelder gjeldsinstrumenter og egenkapitalbeholdninger, basert på KPI for omsetning og KPI for investeringsutgifter for underliggende eiendeler på aggregert nivå for alle balanseførte finansielle instrumenter, herunder egenkapitalbeholdninger, i ikke-finansielle foretak.</w:t>
      </w:r>
    </w:p>
    <w:p w14:paraId="33E3D221" w14:textId="77777777" w:rsidR="00A54846" w:rsidRDefault="008A2731">
      <w:pPr>
        <w:pStyle w:val="AnnexNormal"/>
      </w:pPr>
      <w:r>
        <w:t>Telleren og nevneren skal omfatte brutto balanseført verdi av lån og forskudd, gjeldsinstrumenter og egenkapitalbeholdninger som er relevante i hvert enkelt tilfelle.</w:t>
      </w:r>
    </w:p>
    <w:p w14:paraId="46011288" w14:textId="77777777" w:rsidR="00A54846" w:rsidRDefault="008A2731">
      <w:pPr>
        <w:pStyle w:val="AnnexNumberedText"/>
        <w:ind w:left="684" w:hanging="684"/>
      </w:pPr>
      <w:r>
        <w:t>1.2.1.2.</w:t>
      </w:r>
      <w:r>
        <w:tab/>
        <w:t>Grønn brøk (GAR) for utlånsaktiviteter til og egenkapitalbeholdninger i finansforetak</w:t>
      </w:r>
    </w:p>
    <w:p w14:paraId="3230BD61" w14:textId="77777777" w:rsidR="00A54846" w:rsidRDefault="008A2731">
      <w:pPr>
        <w:pStyle w:val="AnnexNormal"/>
      </w:pPr>
      <w:r>
        <w:t>GAR for utlånsaktiviteter knyttet til egenkapitalbeholdninger i finansforetak skal beregnes for hvert av miljømålene som en andel av lån og forskudd, gjeldsinstrumenter og egenkapitalbeholdninger i relevante regnskapsporteføljer som finansierer taksonomiforenlige økonomiske aktiviteter, i forhold til samlede lån og forskudd til og gjeldsinstrumenter og egenkapitalbeholdninger i finansforetak.</w:t>
      </w:r>
    </w:p>
    <w:p w14:paraId="12DE0124" w14:textId="77777777" w:rsidR="00A54846" w:rsidRDefault="008A2731">
      <w:pPr>
        <w:pStyle w:val="AnnexNormal"/>
      </w:pPr>
      <w:r>
        <w:t>GAR skal inneholde opplysninger om begrensning av klimaendringer og tilpasning til klimaendringer og spesifisere hvor stor andel som gjelder muliggjørende aktiviteter. Når det gjelder begrensning av klimaendringer, skal GAR også inneholde opplysninger om omstillings- og tilpasningsaktiviteter. For aktiviteter som bidrar til begrensning av og tilpasning til klimaendringer og andre miljømål, skal kredittinstitusjoner også legge fram opplysninger om beholdninger og strømmer.</w:t>
      </w:r>
    </w:p>
    <w:p w14:paraId="69DE7FD1" w14:textId="77777777" w:rsidR="00A54846" w:rsidRDefault="008A2731">
      <w:pPr>
        <w:pStyle w:val="AnnexNormal"/>
      </w:pPr>
      <w:r>
        <w:t>Telleren i GAR for finansforetak skal beregnes på grunnlag av motpartenes KPI-er beregnet i henhold til denne forordningen. Beløpet for lån og forskudd, gjeldsinstrumenter og egenkapitalbeholdninger i relevante regnskapsporteføljer i finansforetak som skal inkluderes i telleren, skal være summen av deres brutto balanseførte verdi, vektet med andelen taksonomiforenlige økonomiske aktiviteter, spesifisert etter omstillingsaktiviteter, tilpasningsaktiviteter og muliggjørende aktiviteter for hver motpart.</w:t>
      </w:r>
    </w:p>
    <w:p w14:paraId="17DA688B" w14:textId="77777777" w:rsidR="00A54846" w:rsidRDefault="008A2731">
      <w:pPr>
        <w:pStyle w:val="AnnexNormal"/>
      </w:pPr>
      <w:r>
        <w:t>Dersom motparten er en annen kredittinstitusjon, skal KPI-ene for omsetning og investeringsutgifter som legges til grunn, være brutto balanseført verdi av gjeldsinstrumenter, lån/forskudd og egenkapitalbeholdninger i de relevante regnskapsporteføljene, vektet med motpartens samlede grønne brøk (GAR) som definert i avsnitt; brutto balanseført verdi skal altså multipliseres med motpartens «samlede grønne brøk (GAR)».</w:t>
      </w:r>
    </w:p>
    <w:p w14:paraId="30E95A63" w14:textId="77777777" w:rsidR="00A54846" w:rsidRDefault="008A2731">
      <w:pPr>
        <w:pStyle w:val="AnnexNormal"/>
      </w:pPr>
      <w:r>
        <w:t>Dersom motparten er et verdipapirforetak, skal KPI-en beregnes på grunnlag av tjenesteandelen av verdipapirforetakets inntekter, som følger:</w:t>
      </w:r>
    </w:p>
    <w:p w14:paraId="033D6328" w14:textId="77777777" w:rsidR="00A54846" w:rsidRDefault="008A2731">
      <w:pPr>
        <w:pStyle w:val="AnnexNumberedText"/>
        <w:ind w:left="293" w:hanging="293"/>
      </w:pPr>
      <w:r>
        <w:t>a)</w:t>
      </w:r>
      <w:r>
        <w:tab/>
        <w:t>For verdipapirforetak som handler for egen regning i samsvar med avsnitt A i vedlegg I til europaparlaments- og rådsdirektiv 2014/65/EU(</w:t>
      </w:r>
      <w:bookmarkStart w:id="10" w:name="NOTE_11"/>
      <w:r>
        <w:rPr>
          <w:rStyle w:val="FootnoteReference"/>
        </w:rPr>
        <w:footnoteReference w:id="12"/>
      </w:r>
      <w:bookmarkEnd w:id="10"/>
      <w:r>
        <w:t>), skal brutto balanseført verdi av gjeldsinstrumenter, lån/forskudd og egenkapitalbeholdninger vektes med GAR basert på omsetning og på investeringsutgifter i samsvar med opplysningene som er lagt fram av verdipapirforetakene; brutto balanseført verdi skal altså multipliseres med verdien av eiendeler (gjeldsinstrumenter, egenkapitalinstrumenter, kontantekvivalenter og derivater) som er investert i taksonomiforenlige økonomiske aktiviteter, som en andel av verdien av samlede eiendeler som er investert.</w:t>
      </w:r>
    </w:p>
    <w:p w14:paraId="6511AB2E" w14:textId="77777777" w:rsidR="00A54846" w:rsidRDefault="008A2731">
      <w:pPr>
        <w:pStyle w:val="AnnexNumberedText"/>
        <w:ind w:left="293" w:hanging="293"/>
      </w:pPr>
      <w:r>
        <w:t>b)</w:t>
      </w:r>
      <w:r>
        <w:tab/>
        <w:t>For andre verdipapirforetak enn de som handler for egen regning i samsvar med avsnitt A i vedlegg I til europaparlaments- og rådsdirektiv 2014/65/EU, skal brutto balanseført verdi av gjeldsinstrumenter, lån/forskudd og egenkapitalbeholdninger vektes med den omsetningsbaserte og investeringsutgiftsbaserte KPI-en for inntekter, det vil si gebyrer, provisjoner og andre pengeytelser slik disse opplysningene er lagt fram av verdipapirforetakene; brutto balanseført verdi skal altså multipliseres med gebyrer, provisjoner og andre pengeytelser fra tjenester og aktiviteter som er rettet mot taksonomiforenlige økonomiske aktiviteter, som en andel av samlede gebyrer, provisjoner og andre pengeytelser fra alle tjenester og aktiviteter.</w:t>
      </w:r>
    </w:p>
    <w:p w14:paraId="71E0DFA6" w14:textId="77777777" w:rsidR="00A54846" w:rsidRDefault="008A2731">
      <w:pPr>
        <w:pStyle w:val="AnnexNormal"/>
        <w:spacing w:after="0"/>
      </w:pPr>
      <w:r>
        <w:t>Dersom motparten er kapitalforvalter, skal KPI-ene for omsetning og for investeringsutgifter være brutto balanseført verdi av gjeldsinstrumenter, lån/forskudd og egenkapitalbeholdninger vektet med andelen av motpartens investeringer som er gjort i taksonomiforenlige økonomiske aktiviteter som beskrevet i vedlegg III og IV til denne forordningen; brutto balanseført verdi skal altså multipliseres med kapitalforvalterens andel av alle investeringer.</w:t>
      </w:r>
      <w:r>
        <w:br w:type="page"/>
      </w:r>
    </w:p>
    <w:p w14:paraId="5AF0CF46" w14:textId="77777777" w:rsidR="00A54846" w:rsidRDefault="008A2731">
      <w:pPr>
        <w:pStyle w:val="AnnexNormal"/>
      </w:pPr>
      <w:r>
        <w:lastRenderedPageBreak/>
        <w:t>Dersom investeringsobjektene er forsikrings- eller gjenforsikringsforetak, skal referanseverdien være investeringer, tegnede bruttopremier eller eventuelt samlede forsikringsinntekter, slik de framkommer ved beregning av enten den omsetningsbaserte og investeringsutgiftsbaserte KPI-en for investeringer eller av investeringsobjektets KPI for forsikringsvirksomheten i samsvar med vedlegg XI og X til denne forordningen.</w:t>
      </w:r>
    </w:p>
    <w:p w14:paraId="634CA6E4" w14:textId="77777777" w:rsidR="00A54846" w:rsidRDefault="008A2731">
      <w:pPr>
        <w:pStyle w:val="AnnexNormal"/>
      </w:pPr>
      <w:r>
        <w:t>Nevneren skal være samlet brutto balanseført verdi av lån og forskudd, gjeldsinstrumenter og egenkapitalbeholdninger i relevante regnskapsporteføljer i finansforetak.</w:t>
      </w:r>
    </w:p>
    <w:p w14:paraId="0EAB5957" w14:textId="77777777" w:rsidR="00A54846" w:rsidRDefault="008A2731">
      <w:pPr>
        <w:pStyle w:val="AnnexNumberedText"/>
        <w:ind w:left="684" w:hanging="684"/>
      </w:pPr>
      <w:r>
        <w:t>1.2.1.3.</w:t>
      </w:r>
      <w:r>
        <w:tab/>
        <w:t>Grønn brøk (GAR) for massemarkedseksponeringer</w:t>
      </w:r>
    </w:p>
    <w:p w14:paraId="5E8F1048" w14:textId="77777777" w:rsidR="00A54846" w:rsidRDefault="008A2731">
      <w:pPr>
        <w:pStyle w:val="AnnexNormal"/>
      </w:pPr>
      <w:r>
        <w:t>GAR for massemarkedseksponeringer mot lån til boligeiendommer eller til renovering av hus skal beregnes som den andelen lån som er gitt til husholdninger med sikkerhet i boligeiendom eller der formålet er renovering av hus, og som er forenlig med taksonomien i samsvar med de tekniske screeningkriteriene for bygninger, nærmere bestemt renovering og erverv og eierskap i samsvar med henholdsvis punkt 7.2, 7.3, 7.4, 7.5, 7.6 og 7.7 i vedlegg I til den delegerte klimarettsakten, i forhold til samlede lån til husholdninger som er gitt med sikkerhet i boligeiendom eller der formålet er renovering av hus. Denne GAR skal inneholde opplysninger om omstillingsaktiviteter og om beholdninger og strømmer. Denne GAR gjelder bare investeringer som er relevante for begrensning av klimaendringer.</w:t>
      </w:r>
    </w:p>
    <w:p w14:paraId="31708468" w14:textId="77777777" w:rsidR="00A54846" w:rsidRDefault="008A2731">
      <w:pPr>
        <w:pStyle w:val="AnnexNormal"/>
      </w:pPr>
      <w:r>
        <w:t>GAR for massemarkedseksponeringer mot billån til privatpersoner skal beregnes som andelen lån som finansierer biler som oppfyller de tekniske screeningkriteriene fastsatt i avsnitt 6.5 i vedlegg I til den delegerte klimarettsakten. Denne GAR skal inneholde opplysninger om omstillingsaktiviteter og om lånebeholdning, men bare med hensyn til lån som er gitt etter [anvendelsesdatoen for denne forordningen], samt lånestrømmer. Denne GAR gjelder bare investeringer som er relevante for begrensning av klimaendringer.</w:t>
      </w:r>
    </w:p>
    <w:p w14:paraId="449452FC" w14:textId="77777777" w:rsidR="00A54846" w:rsidRDefault="008A2731">
      <w:pPr>
        <w:pStyle w:val="AnnexNormal"/>
      </w:pPr>
      <w:r>
        <w:t>KPI-ene for massemarkedseksponeringer som finansierer taksonomiforenlige økonomiske aktiviteter, gjelder bare for målet om begrensning av klimaendringer.</w:t>
      </w:r>
    </w:p>
    <w:p w14:paraId="09407926" w14:textId="77777777" w:rsidR="00A54846" w:rsidRDefault="008A2731">
      <w:pPr>
        <w:pStyle w:val="AnnexNumberedText"/>
        <w:ind w:left="684" w:hanging="684"/>
      </w:pPr>
      <w:r>
        <w:t>i)</w:t>
      </w:r>
      <w:r>
        <w:rPr>
          <w:b/>
          <w:i/>
        </w:rPr>
        <w:tab/>
        <w:t>Boliglån</w:t>
      </w:r>
    </w:p>
    <w:p w14:paraId="097453FD" w14:textId="77777777" w:rsidR="00A54846" w:rsidRDefault="008A2731">
      <w:pPr>
        <w:pStyle w:val="AnnexNormal"/>
      </w:pPr>
      <w:r>
        <w:t>Opplysningene om KPI-er som kredittinstitusjonene skal legge fram, skal omfatte porteføljen av lån til ikke-profesjonelle kunder, særlig pantelånsporteføljen. Når denne KPI-en legges fram, skal det tas hensyn til oppfyllelsen av de tekniske screeningkriteriene for bygninger fastsatt i avsnitt 7.2, 7.3, 7.4, 7.5, 7.6 og 7.7 i vedlegg I til den delegerte klimarettsakten.</w:t>
      </w:r>
    </w:p>
    <w:p w14:paraId="4EC6D8B1" w14:textId="77777777" w:rsidR="00A54846" w:rsidRDefault="008A2731">
      <w:pPr>
        <w:pStyle w:val="AnnexNormal"/>
      </w:pPr>
      <w:r>
        <w:t>Kredittinstitusjoner skal legge fram KPI-en for sin boliglånsportefølje som den andelen lån som er gitt til husholdninger med sikkerhet i boligeiendom som bidrar til miljømålet begrensning av klimaendringer fastsatt i avsnitt 7.2, 7.3, 7.4, 7.5, 7.6 og 7.7 i vedlegg I til den delegerte klimarettsakten, i forhold til samlede lån til husholdninger med sikkerhet i boligeiendom.</w:t>
      </w:r>
    </w:p>
    <w:p w14:paraId="3D73D897" w14:textId="77777777" w:rsidR="00A54846" w:rsidRDefault="008A2731">
      <w:pPr>
        <w:pStyle w:val="AnnexNormal"/>
      </w:pPr>
      <w:r>
        <w:t>Kredittinstitusjoner skal legge fram opplysninger om lånebeholdning per referansedato for opplysningene, samt opplysninger om strømmene av nye utlån i den perioden opplysningene gjelder.</w:t>
      </w:r>
    </w:p>
    <w:p w14:paraId="2048EDFA" w14:textId="77777777" w:rsidR="00A54846" w:rsidRDefault="008A2731">
      <w:pPr>
        <w:pStyle w:val="AnnexNormal"/>
      </w:pPr>
      <w:r>
        <w:t>Telleren skal omfatte brutto balanseført verdi av boliglån som oppfyller de tekniske screeningkriteriene i avsnitt 7.7 i vedlegg I til den delegerte klimarettsakten.</w:t>
      </w:r>
    </w:p>
    <w:p w14:paraId="28DE507C" w14:textId="77777777" w:rsidR="00A54846" w:rsidRDefault="008A2731">
      <w:pPr>
        <w:pStyle w:val="AnnexNormal"/>
      </w:pPr>
      <w:r>
        <w:t>I telleren skal kredittinstitusjoner også ta med lån som er gitt til renovering av bygninger eller hus i samsvar med de tekniske screeningkriteriene for bygninger i samsvar med avsnitt 7.2, 7.3, 7.4, 7.5 og 7.6 i vedlegg I til den delegerte klimarettsakten.</w:t>
      </w:r>
    </w:p>
    <w:p w14:paraId="73C27584" w14:textId="77777777" w:rsidR="00A54846" w:rsidRDefault="008A2731">
      <w:pPr>
        <w:pStyle w:val="AnnexNormal"/>
      </w:pPr>
      <w:r>
        <w:t>Nevneren skal omfatte samlet brutto balanseført verdi av lån som er gitt til husholdninger med sikkerhet i boligeiendom, pluss samlet brutto balanseført verdi av lån til husholdninger for renovering av hus, for å unngå dobbelttelling av lån dersom de sistnevnte er sikrede lån.</w:t>
      </w:r>
    </w:p>
    <w:p w14:paraId="06234C4E" w14:textId="77777777" w:rsidR="00A54846" w:rsidRDefault="008A2731">
      <w:pPr>
        <w:pStyle w:val="AnnexNumberedText"/>
        <w:ind w:left="684" w:hanging="684"/>
      </w:pPr>
      <w:r>
        <w:t>ii)</w:t>
      </w:r>
      <w:r>
        <w:rPr>
          <w:b/>
          <w:i/>
        </w:rPr>
        <w:tab/>
        <w:t>Massemarked – billån til privatpersoner</w:t>
      </w:r>
    </w:p>
    <w:p w14:paraId="13330FD9" w14:textId="77777777" w:rsidR="00A54846" w:rsidRDefault="008A2731">
      <w:pPr>
        <w:pStyle w:val="AnnexNormal"/>
      </w:pPr>
      <w:r>
        <w:t>Kredittinstitusjoner skal legge fram en KPI for lån gitt til husholdninger for kjøp av motorvogn (billån). En KPI skal være andelen lån knyttet til biler som oppfyller de tekniske screeningkriteriene i samsvar med avsnitt 6.5 i vedlegg I til den delegerte klimarettsakten.</w:t>
      </w:r>
    </w:p>
    <w:p w14:paraId="28F3C48F" w14:textId="77777777" w:rsidR="00A54846" w:rsidRDefault="008A2731">
      <w:pPr>
        <w:pStyle w:val="AnnexNormal"/>
        <w:spacing w:after="0"/>
      </w:pPr>
      <w:r>
        <w:t>Kredittinstitusjoner skal inkludere billån som er gitt fra anvendelsesdatoen for opplysningskravene, både når det gjelder KPI-en for beholdninger og KPI-en for nye lån. Det skal ikke tas hensyn til oppdateringer av beholdningen av lån gitt før anvendelsesdatoen.</w:t>
      </w:r>
      <w:r>
        <w:br w:type="page"/>
      </w:r>
    </w:p>
    <w:p w14:paraId="2AC87BCA" w14:textId="77777777" w:rsidR="00A54846" w:rsidRDefault="008A2731">
      <w:pPr>
        <w:pStyle w:val="AnnexNumberedText"/>
        <w:ind w:left="684" w:hanging="684"/>
      </w:pPr>
      <w:r>
        <w:lastRenderedPageBreak/>
        <w:t>1.2.1.4.</w:t>
      </w:r>
      <w:r>
        <w:tab/>
        <w:t>GAR for lån og forskudd som finansierer offentlig eide boliger, samt lån for spesielle formål til offentlige myndigheter</w:t>
      </w:r>
    </w:p>
    <w:p w14:paraId="6841C60D" w14:textId="77777777" w:rsidR="00A54846" w:rsidRDefault="008A2731">
      <w:pPr>
        <w:pStyle w:val="AnnexNormal"/>
      </w:pPr>
      <w:r>
        <w:t>Kredittinstitusjoner som har en forretningsmodell som i stor grad baserer seg på finansiering av offentlig eide boliger, skal legge fram en KPI for andelen bygninger hvis kjøp finansieres av kredittinstitusjonen, og som oppfyller de tekniske screeningkriteriene i samsvar med avsnitt 7.7 i vedlegg I til den delegerte klimarettsakten. Kredittinstitusjoner skal anslå og legge fram denne GAR som en andel av lånene til kommuner som finansierer offentlig eide boliger som oppfyller de tekniske screeningkriteriene i avsnitt 7.7 i vedlegg I til den delegerte klimarettsakten, i forhold til samlede lån til kommuner som finansierer offentlig eide boliger. Kredittinstitusjonen skal også legge fram opplysninger om beholdninger og strømmer.</w:t>
      </w:r>
    </w:p>
    <w:p w14:paraId="3E57E07A" w14:textId="77777777" w:rsidR="00A54846" w:rsidRDefault="008A2731">
      <w:pPr>
        <w:pStyle w:val="AnnexNormal"/>
      </w:pPr>
      <w:r>
        <w:t>Det skal brukes samme metode for beregning av teller og nevner som for boliglån.</w:t>
      </w:r>
    </w:p>
    <w:p w14:paraId="4C4B768C" w14:textId="77777777" w:rsidR="00A54846" w:rsidRDefault="008A2731">
      <w:pPr>
        <w:pStyle w:val="AnnexNormal"/>
      </w:pPr>
      <w:r>
        <w:t>Når det gjelder finansiering av andre aktiviteter og eiendeler enn offentlig eide boliger, skal kredittinstitusjoner inkludere brutto balanseført verdi av prosjektfinansieringseksponeringene mot den offentlige myndigheten alt etter i hvilket omfang og med hvilken andel det finansierte prosjektet finansierer en taksonomiforenlig økonomisk aktivitet. Vurderingen av hvorvidt dette kravet er oppfylt, skal baseres på opplysningene gitt av den offentlige myndigheten om prosjektet eller aktivitetene som provenyet skal brukes til. Kredittinstitusjoner skal opplyse om typen økonomisk aktivitet som finansieres. Dobbelttelling er ikke tillatt. Dersom samme eksponering i lån for spesielle formål er relevant for to miljømål, skal kredittinstitusjonene føre den opp for det målet som er mest relevant.</w:t>
      </w:r>
    </w:p>
    <w:p w14:paraId="060FA49E" w14:textId="77777777" w:rsidR="00A54846" w:rsidRDefault="008A2731">
      <w:pPr>
        <w:pStyle w:val="AnnexNumberedText"/>
        <w:ind w:left="684" w:hanging="684"/>
      </w:pPr>
      <w:r>
        <w:t>1.2.1.5.</w:t>
      </w:r>
      <w:r>
        <w:tab/>
        <w:t>Andre balanseførte eksponeringer – Overtatte sikkerheter i fast eiendom</w:t>
      </w:r>
    </w:p>
    <w:p w14:paraId="212AE704" w14:textId="77777777" w:rsidR="00A54846" w:rsidRDefault="008A2731">
      <w:pPr>
        <w:pStyle w:val="AnnexNormal"/>
      </w:pPr>
      <w:r>
        <w:t>Kredittinstitusjoner skal legge fram KPI-en for sin portefølje av overtatte sikkerheter i næringseiendommer og boligeiendommer som holdes for salg, som andel overtatte sikkerheter i næringseiendommer og boligeiendommer som oppfyller de tekniske screeningkriteriene i avsnitt 7.7 i vedlegg I til den delegerte klimarettsakten, i forhold til samlede overtatte sikkerheter i næringseiendommer og boligeiendommer.</w:t>
      </w:r>
    </w:p>
    <w:p w14:paraId="05ED3EFA" w14:textId="77777777" w:rsidR="00A54846" w:rsidRDefault="008A2731">
      <w:pPr>
        <w:pStyle w:val="AnnexNormal"/>
      </w:pPr>
      <w:r>
        <w:t>Kredittinstitusjoner skal legge fram opplysninger om lånebeholdning per referansedato for opplysningene, samt opplysninger om strømmene av nye eiendeler i den perioden opplysningene gjelder.</w:t>
      </w:r>
    </w:p>
    <w:p w14:paraId="7995AAF9" w14:textId="77777777" w:rsidR="00A54846" w:rsidRDefault="008A2731">
      <w:pPr>
        <w:pStyle w:val="AnnexNormal"/>
      </w:pPr>
      <w:r>
        <w:t>Telleren skal omfatte brutto balanseført verdi av overtatte sikkerheter i næringseiendommer og boligeiendommer som oppfyller de tekniske screeningkriteriene i avsnitt 7.7 i vedlegg I til den delegerte klimarettsakten.</w:t>
      </w:r>
    </w:p>
    <w:p w14:paraId="7DCD0E76" w14:textId="77777777" w:rsidR="00A54846" w:rsidRDefault="008A2731">
      <w:pPr>
        <w:pStyle w:val="AnnexNormal"/>
      </w:pPr>
      <w:r>
        <w:t>Nevneren skal omfatte samlet brutto balanseført verdi av overtatte sikkerheter i næringseiendommer og boligeiendommer som kredittinstitusjonen holder for salg.</w:t>
      </w:r>
    </w:p>
    <w:p w14:paraId="3EB0B662" w14:textId="77777777" w:rsidR="00A54846" w:rsidRDefault="008A2731">
      <w:pPr>
        <w:pStyle w:val="AnnexNormal"/>
      </w:pPr>
      <w:r>
        <w:t>Kredittinstitusjoner skal legge fram opplysninger om lånebeholdning per referansedato for opplysningene, samt opplysninger om strømmene av nye utlån i den perioden opplysningene gjelder.</w:t>
      </w:r>
    </w:p>
    <w:p w14:paraId="1C51AEA3" w14:textId="77777777" w:rsidR="00A54846" w:rsidRDefault="008A2731">
      <w:pPr>
        <w:pStyle w:val="AnnexNumberedText"/>
        <w:ind w:left="684" w:hanging="684"/>
      </w:pPr>
      <w:r>
        <w:t>1.2.1.6.</w:t>
      </w:r>
      <w:r>
        <w:tab/>
        <w:t>Samlet grønn brøk (GAR)</w:t>
      </w:r>
    </w:p>
    <w:p w14:paraId="04A55F50" w14:textId="77777777" w:rsidR="00A54846" w:rsidRDefault="008A2731">
      <w:pPr>
        <w:pStyle w:val="AnnexNormal"/>
      </w:pPr>
      <w:r>
        <w:t>Kredittinstitusjoner skal legge fram opplysninger om samlet GAR. Denne skal gjenspeile den samlede verdien av de eksponeringsbaserte KPI-ene, idet nevneren skal inneholde samlede balanseførte eiendeler uten eksponeringer som nevnt i artikkel 7 nr. 1, og den samlede telleren skal inneholde alle tellerne for miljømessig bærekraftige eksponeringer i de eksponeringsbaserte KPI-ene.</w:t>
      </w:r>
    </w:p>
    <w:p w14:paraId="57462719" w14:textId="77777777" w:rsidR="00A54846" w:rsidRDefault="008A2731">
      <w:pPr>
        <w:pStyle w:val="AnnexNumberedText"/>
        <w:ind w:left="293" w:hanging="293"/>
      </w:pPr>
      <w:r>
        <w:t>a)</w:t>
      </w:r>
      <w:r>
        <w:tab/>
        <w:t>Samlet GAR for finansieringsaktiviteter rettet mot finansforetak, for alle miljømålene.</w:t>
      </w:r>
    </w:p>
    <w:p w14:paraId="3956DC46" w14:textId="77777777" w:rsidR="00A54846" w:rsidRDefault="008A2731">
      <w:pPr>
        <w:pStyle w:val="AnnexNumberedText"/>
        <w:ind w:left="293" w:hanging="293"/>
      </w:pPr>
      <w:r>
        <w:t>b)</w:t>
      </w:r>
      <w:r>
        <w:tab/>
        <w:t>Samlet GAR for finansieringsaktiviteter rettet mot ikke-finansielle foretak, for alle miljømålene.</w:t>
      </w:r>
    </w:p>
    <w:p w14:paraId="544D3C60" w14:textId="77777777" w:rsidR="00A54846" w:rsidRDefault="008A2731">
      <w:pPr>
        <w:pStyle w:val="AnnexNumberedText"/>
        <w:ind w:left="293" w:hanging="293"/>
      </w:pPr>
      <w:r>
        <w:t>c)</w:t>
      </w:r>
      <w:r>
        <w:tab/>
        <w:t>GAR for eksponeringer i boligeiendommer, herunder lån til renovering av hus, med begrensning av klimaendringer som mål.</w:t>
      </w:r>
    </w:p>
    <w:p w14:paraId="32120BA3" w14:textId="77777777" w:rsidR="00A54846" w:rsidRDefault="008A2731">
      <w:pPr>
        <w:pStyle w:val="AnnexNumberedText"/>
        <w:ind w:left="293" w:hanging="293"/>
      </w:pPr>
      <w:r>
        <w:t>d)</w:t>
      </w:r>
      <w:r>
        <w:tab/>
        <w:t>GAR for billån til privatpersoner, med begrensning av klimaendringer som mål.</w:t>
      </w:r>
    </w:p>
    <w:p w14:paraId="7955411B" w14:textId="77777777" w:rsidR="00A54846" w:rsidRDefault="008A2731">
      <w:pPr>
        <w:pStyle w:val="AnnexNumberedText"/>
        <w:ind w:left="293" w:hanging="293"/>
      </w:pPr>
      <w:r>
        <w:t>e)</w:t>
      </w:r>
      <w:r>
        <w:tab/>
        <w:t>GAR for lån til lokale myndigheter for å finansiere boliger og andre lån for spesielle formål.</w:t>
      </w:r>
    </w:p>
    <w:p w14:paraId="56AFA14B" w14:textId="77777777" w:rsidR="00A54846" w:rsidRDefault="008A2731">
      <w:pPr>
        <w:pStyle w:val="AnnexNumberedText"/>
        <w:ind w:left="293" w:hanging="293"/>
      </w:pPr>
      <w:r>
        <w:t>f)</w:t>
      </w:r>
      <w:r>
        <w:tab/>
        <w:t>GAR for overtatte sikkerheter i næringseiendommer og boligeiendommer som holdes for salg.</w:t>
      </w:r>
    </w:p>
    <w:p w14:paraId="2ACB9715" w14:textId="77777777" w:rsidR="00A54846" w:rsidRDefault="008A2731">
      <w:pPr>
        <w:pStyle w:val="AnnexNormal"/>
        <w:spacing w:after="0"/>
      </w:pPr>
      <w:r>
        <w:t>Sammen med samlet GAR skal kredittinstitusjoner legge fram opplysninger om hvor stor prosentdel av deres eiendeler som ikke er tatt med i telleren i GAR i samsvar med artikkel 7 nr. 2 og 3 i denne forordningen og avsnitt 1.1.2 i dette vedlegget.</w:t>
      </w:r>
      <w:r>
        <w:br w:type="page"/>
      </w:r>
    </w:p>
    <w:p w14:paraId="5F6FDC7D" w14:textId="77777777" w:rsidR="00A54846" w:rsidRDefault="008A2731">
      <w:pPr>
        <w:pStyle w:val="AnnexNumberedText"/>
        <w:ind w:left="684" w:hanging="684"/>
      </w:pPr>
      <w:r>
        <w:lastRenderedPageBreak/>
        <w:t>1.2.2.</w:t>
      </w:r>
      <w:r>
        <w:rPr>
          <w:i/>
        </w:rPr>
        <w:tab/>
        <w:t>KPI for eksponeringer utenfor balansen</w:t>
      </w:r>
    </w:p>
    <w:p w14:paraId="616A9BC6" w14:textId="77777777" w:rsidR="00A54846" w:rsidRDefault="008A2731">
      <w:pPr>
        <w:pStyle w:val="AnnexNormal"/>
      </w:pPr>
      <w:r>
        <w:t>Kredittinstitusjoner skal legge fram en tilleggsbrøk når det gjelder i hvilken grad eksponeringene utenfor balansen er forbundet med taksonomiforenlige økonomiske aktiviteter, for eksponeringer som kredittinstitusjoner forvalter og kanaliserer eller bidrar til å kanalisere kapitalstrømmer mot økonomiske aktiviteter hvis miljømessige bærekraft kan vurderes i samsvar med forordning (EU) 2020/852:</w:t>
      </w:r>
    </w:p>
    <w:p w14:paraId="51E6D824" w14:textId="77777777" w:rsidR="00A54846" w:rsidRDefault="008A2731">
      <w:pPr>
        <w:pStyle w:val="AnnexNumberedText"/>
        <w:ind w:left="293" w:hanging="293"/>
      </w:pPr>
      <w:r>
        <w:t>a)</w:t>
      </w:r>
      <w:r>
        <w:tab/>
        <w:t>finansielle garantier for lån og forskudd og andre gjeldsinstrumenter rettet mot foretak, og</w:t>
      </w:r>
    </w:p>
    <w:p w14:paraId="1FFEB56C" w14:textId="77777777" w:rsidR="00A54846" w:rsidRDefault="008A2731">
      <w:pPr>
        <w:pStyle w:val="AnnexNumberedText"/>
        <w:ind w:left="293" w:hanging="293"/>
      </w:pPr>
      <w:r>
        <w:t>b)</w:t>
      </w:r>
      <w:r>
        <w:tab/>
        <w:t>eiendeler under forvaltning.</w:t>
      </w:r>
    </w:p>
    <w:p w14:paraId="0982A9A2" w14:textId="77777777" w:rsidR="00A54846" w:rsidRDefault="008A2731">
      <w:pPr>
        <w:pStyle w:val="AnnexNumberedText"/>
        <w:ind w:left="684" w:hanging="684"/>
      </w:pPr>
      <w:r>
        <w:t>1.2.2.1.</w:t>
      </w:r>
      <w:r>
        <w:tab/>
        <w:t>Grønn andel for finansielle garantier til finansielle og ikke-finansielle foretak (KPI for FinGuar)</w:t>
      </w:r>
    </w:p>
    <w:p w14:paraId="74B26492" w14:textId="77777777" w:rsidR="00A54846" w:rsidRDefault="008A2731">
      <w:pPr>
        <w:pStyle w:val="AnnexNormal"/>
      </w:pPr>
      <w:r>
        <w:t>Grønn andel for finansielle garantier til foretak skal defineres som den andelen finansielle garantier for gjeldsinstrumenter som finansierer taksonomiforenlige økonomiske aktiviteter, i forhold til alle finansielle garantier for gjeldsinstrumenter rettet mot foretak. Denne skal omfatte opplysninger om beholdninger og strømmer. Når det gjelder begrensning av klimaendringer, skal det også opplyses om hva som er muliggjørende aktiviteter og hva som er omstillingsaktiviteter. Når det gjelder tilpasning til klimaendringer, skal det opplyses om hva som er muliggjørende aktiviteter og hva som er omstillingsaktiviteter.</w:t>
      </w:r>
    </w:p>
    <w:p w14:paraId="7AC92222" w14:textId="77777777" w:rsidR="00A54846" w:rsidRDefault="008A2731">
      <w:pPr>
        <w:pStyle w:val="AnnexNormal"/>
      </w:pPr>
      <w:r>
        <w:t>Det skal brukes samme metode for beregning av KPI-en for finansielle garantier som den som er beskrevet for KPI-en for lån og forskudd og/eller gjeldsinstrumenter rettet mot foretak, men metoden skal anvendes på underliggende lån og forskudd / gjeldsinstrumenter som kredittinstitusjonen har garantert.</w:t>
      </w:r>
    </w:p>
    <w:p w14:paraId="112F5E2D" w14:textId="77777777" w:rsidR="00A54846" w:rsidRDefault="008A2731">
      <w:pPr>
        <w:pStyle w:val="AnnexNumberedText"/>
        <w:ind w:left="684" w:hanging="684"/>
      </w:pPr>
      <w:r>
        <w:t>1.2.2.2.</w:t>
      </w:r>
      <w:r>
        <w:tab/>
        <w:t>Grønn andel for eiendeler under forvaltning (KPI for AuM)</w:t>
      </w:r>
    </w:p>
    <w:p w14:paraId="613CA682" w14:textId="77777777" w:rsidR="00A54846" w:rsidRDefault="008A2731">
      <w:pPr>
        <w:pStyle w:val="AnnexNormal"/>
      </w:pPr>
      <w:r>
        <w:t>Grønn andel for eiendeler under forvaltning skal være andelen eiendeler under forvaltning (egenkapital- og gjeldsinstrumenter) som tilhører foretak som finansierer taksonomiforenlige økonomiske aktiviteter, i forhold til samlede eiendeler under forvaltning (egenkapital- og gjeldsinstrumenter). Denne skal omfatte opplysninger om beholdninger og strømmer. Når det gjelder begrensning av klimaendringer, skal det også opplyses om hva som er muliggjørende aktiviteter og hva som er omstillingsaktiviteter. Når det gjelder tilpasning til klimaendringer, skal det opplyses om hva som er muliggjørende aktiviteter og hva som er omstillingsaktiviteter.</w:t>
      </w:r>
    </w:p>
    <w:p w14:paraId="6ECCB1F9" w14:textId="77777777" w:rsidR="00A54846" w:rsidRDefault="008A2731">
      <w:pPr>
        <w:pStyle w:val="AnnexNormal"/>
      </w:pPr>
      <w:r>
        <w:t>Det skal brukes samme metode for beregning av KPI for AuM som for kapitalforvaltere i samsvar med vedlegg III til denne forordningen.</w:t>
      </w:r>
    </w:p>
    <w:p w14:paraId="3DD49B1D" w14:textId="77777777" w:rsidR="00A54846" w:rsidRDefault="008A2731">
      <w:pPr>
        <w:pStyle w:val="AnnexNumberedText"/>
        <w:ind w:left="684" w:hanging="684"/>
      </w:pPr>
      <w:r>
        <w:t>1.2.3.</w:t>
      </w:r>
      <w:r>
        <w:rPr>
          <w:i/>
        </w:rPr>
        <w:tab/>
        <w:t>KPI for andre tjenester enn utlån – gebyrer og provisjoner (KPI for F&amp;C)</w:t>
      </w:r>
    </w:p>
    <w:p w14:paraId="204F728A" w14:textId="77777777" w:rsidR="00A54846" w:rsidRDefault="008A2731">
      <w:pPr>
        <w:pStyle w:val="AnnexNormal"/>
      </w:pPr>
      <w:r>
        <w:t>KPI-en for inntekter fra gebyrer og provisjoner som er forbundet med foretakenes taksonomiforenlige økonomiske aktiviteter, skal defineres som den andelen av kredittinstitusjonens inntekter fra gebyrer og provisjoner fra foretak som kan henføres til andre produkter eller tjenester enn utlån forbundet med taksonomiforenlige aktiviteter, i forhold til samlede inntekter fra gebyrer og provisjoner fra foretak for andre produkter eller tjenester enn utlån.</w:t>
      </w:r>
    </w:p>
    <w:p w14:paraId="22E9EB28" w14:textId="77777777" w:rsidR="00A54846" w:rsidRDefault="008A2731">
      <w:pPr>
        <w:pStyle w:val="AnnexNormal"/>
      </w:pPr>
      <w:r>
        <w:t>Kredittinstitusjoner skal legge fram opplysninger om inntekter fra gebyrer og provisjoner som er knyttet til andre tjenester som er levert enn utlån og kapitalforvaltning, herunder følgende tjenester (slik de er innrapportert av institusjonene i samsvar med mal 22.1 «Gebyr- og provisjonsinntekter og -kostnader, etter aktivitet» i gjennomføringsforordning (EU) nr. 680/2014):</w:t>
      </w:r>
    </w:p>
    <w:p w14:paraId="02EF1AE7" w14:textId="77777777" w:rsidR="00A54846" w:rsidRDefault="008A2731">
      <w:pPr>
        <w:pStyle w:val="AnnexNumberedText"/>
        <w:ind w:left="293" w:hanging="293"/>
      </w:pPr>
      <w:r>
        <w:t>a)</w:t>
      </w:r>
      <w:r>
        <w:tab/>
        <w:t>Utstedelse eller andre tjenester knyttet til verdipapirer fra tredjeparter.</w:t>
      </w:r>
    </w:p>
    <w:p w14:paraId="29E7BA54" w14:textId="77777777" w:rsidR="00A54846" w:rsidRDefault="008A2731">
      <w:pPr>
        <w:pStyle w:val="AnnexNumberedText"/>
        <w:ind w:left="293" w:hanging="293"/>
      </w:pPr>
      <w:r>
        <w:t>b)</w:t>
      </w:r>
      <w:r>
        <w:tab/>
        <w:t>Mottak, formidling og utførelse av kundeordrer om kjøp eller salg av verdipapirer.</w:t>
      </w:r>
    </w:p>
    <w:p w14:paraId="39E3FB04" w14:textId="77777777" w:rsidR="00A54846" w:rsidRDefault="008A2731">
      <w:pPr>
        <w:pStyle w:val="AnnexNumberedText"/>
        <w:ind w:left="293" w:hanging="293"/>
      </w:pPr>
      <w:r>
        <w:t>c)</w:t>
      </w:r>
      <w:r>
        <w:tab/>
        <w:t>Rådgivningstjenester i forbindelse med fusjoner og overtakelser av foretak.</w:t>
      </w:r>
    </w:p>
    <w:p w14:paraId="7A219267" w14:textId="77777777" w:rsidR="00A54846" w:rsidRDefault="008A2731">
      <w:pPr>
        <w:pStyle w:val="AnnexNumberedText"/>
        <w:ind w:left="293" w:hanging="293"/>
      </w:pPr>
      <w:r>
        <w:t>d)</w:t>
      </w:r>
      <w:r>
        <w:tab/>
        <w:t>Tjenester i forbindelse med foretaksfinansiering knyttet til kapitalmarkedsrådgivning til foretakskunder eller andre.</w:t>
      </w:r>
    </w:p>
    <w:p w14:paraId="74FA8455" w14:textId="77777777" w:rsidR="00A54846" w:rsidRDefault="008A2731">
      <w:pPr>
        <w:pStyle w:val="AnnexNumberedText"/>
        <w:ind w:left="293" w:hanging="293"/>
      </w:pPr>
      <w:r>
        <w:t>e)</w:t>
      </w:r>
      <w:r>
        <w:tab/>
        <w:t>Gebyrer knyttet til bankvirksomhet for privatkunder.</w:t>
      </w:r>
    </w:p>
    <w:p w14:paraId="49B3A817" w14:textId="77777777" w:rsidR="00A54846" w:rsidRDefault="008A2731">
      <w:pPr>
        <w:pStyle w:val="AnnexNumberedText"/>
        <w:ind w:left="293" w:hanging="293"/>
      </w:pPr>
      <w:r>
        <w:t>f)</w:t>
      </w:r>
      <w:r>
        <w:tab/>
        <w:t>Clearing- og oppgjørstjenester.</w:t>
      </w:r>
    </w:p>
    <w:p w14:paraId="0C4453E6" w14:textId="77777777" w:rsidR="00A54846" w:rsidRDefault="008A2731">
      <w:pPr>
        <w:pStyle w:val="AnnexNumberedText"/>
        <w:ind w:left="293" w:hanging="293"/>
      </w:pPr>
      <w:r>
        <w:t>g)</w:t>
      </w:r>
      <w:r>
        <w:tab/>
        <w:t>Depottjenester og andre tjenester i den forbindelse.</w:t>
      </w:r>
    </w:p>
    <w:p w14:paraId="3453545B" w14:textId="77777777" w:rsidR="00A54846" w:rsidRDefault="008A2731">
      <w:pPr>
        <w:pStyle w:val="AnnexNumberedText"/>
        <w:spacing w:after="0"/>
        <w:ind w:left="293" w:hanging="293"/>
      </w:pPr>
      <w:r>
        <w:t>h)</w:t>
      </w:r>
      <w:r>
        <w:tab/>
        <w:t>Betalingstjenester.</w:t>
      </w:r>
    </w:p>
    <w:p w14:paraId="7BD7EA91" w14:textId="77777777" w:rsidR="00A54846" w:rsidRDefault="00A54846">
      <w:pPr>
        <w:pStyle w:val="AnnexNumberedText"/>
        <w:ind w:left="293" w:hanging="293"/>
        <w:sectPr w:rsidR="00A54846">
          <w:footnotePr>
            <w:pos w:val="beneathText"/>
            <w:numRestart w:val="eachSect"/>
          </w:footnotePr>
          <w:pgSz w:w="11906" w:h="16838" w:code="9"/>
          <w:pgMar w:top="1680" w:right="1333" w:bottom="840" w:left="1333" w:header="920" w:footer="280" w:gutter="0"/>
          <w:cols w:space="708"/>
          <w:vAlign w:val="both"/>
          <w:docGrid w:linePitch="360"/>
        </w:sectPr>
      </w:pPr>
    </w:p>
    <w:p w14:paraId="254EAFC5" w14:textId="77777777" w:rsidR="00A54846" w:rsidRDefault="008A2731">
      <w:pPr>
        <w:pStyle w:val="AnnexNumberedText"/>
        <w:ind w:left="293" w:hanging="293"/>
      </w:pPr>
      <w:r>
        <w:lastRenderedPageBreak/>
        <w:t>i)</w:t>
      </w:r>
      <w:r>
        <w:tab/>
        <w:t>Inntekter fra gebyrer og provisjoner for distribusjon av produkter utstedt av enheter utenfor tilsynsgruppen til dens eksisterende kunder.</w:t>
      </w:r>
    </w:p>
    <w:p w14:paraId="56B9CC0B" w14:textId="77777777" w:rsidR="00A54846" w:rsidRDefault="008A2731">
      <w:pPr>
        <w:pStyle w:val="AnnexNumberedText"/>
        <w:ind w:left="293" w:hanging="293"/>
      </w:pPr>
      <w:r>
        <w:t>j)</w:t>
      </w:r>
      <w:r>
        <w:tab/>
        <w:t>Aktiviteter i forbindelse med låneforvaltning.</w:t>
      </w:r>
    </w:p>
    <w:p w14:paraId="30D593AB" w14:textId="77777777" w:rsidR="00A54846" w:rsidRDefault="008A2731">
      <w:pPr>
        <w:pStyle w:val="AnnexNumberedText"/>
        <w:ind w:left="293" w:hanging="293"/>
      </w:pPr>
      <w:r>
        <w:t>k)</w:t>
      </w:r>
      <w:r>
        <w:tab/>
        <w:t>Valutatjenester og internasjonale transaksjoner.</w:t>
      </w:r>
    </w:p>
    <w:p w14:paraId="0C8EE084" w14:textId="77777777" w:rsidR="00A54846" w:rsidRDefault="008A2731">
      <w:pPr>
        <w:pStyle w:val="AnnexNormal"/>
      </w:pPr>
      <w:r>
        <w:t>Telleren i KPI-en skal inkludere gebyr- og provisjonsinntekter som beskrevet i vedlegg V punkt 284 i gjennomføringsforordning (EU) nr. 680/2014, fra andre tjenester til foretak enn utlåns- og kapitalforvaltningstjenester som er forbundet med taksonomiforenlige økonomiske aktiviteter. Dette skal beregnes ved at gebyr- og provisjonsinntektene fra hver motpart vektes med den andelen av omsetningen og investeringsutgiftene som er forbundet med de av foretakets taksonomiforenlige økonomiske aktiviteter som bidrar til det aktuelle miljømålet, på grunnlag av opplysningene foretaket har gitt i samsvar med artikkel 8 i forordning (EU) 2020/852. For finansforetak skal samme andel anvendes for motparten som for KPI-ene for disse foretakene.</w:t>
      </w:r>
    </w:p>
    <w:p w14:paraId="6047CFD0" w14:textId="77777777" w:rsidR="00A54846" w:rsidRDefault="008A2731">
      <w:pPr>
        <w:pStyle w:val="AnnexNormal"/>
      </w:pPr>
      <w:r>
        <w:t>Nevneren skal være samlet beløp for gebyr- og provisjonsinntekter fra foretakene for andre produkter eller tjenester enn utlån og kapitalforvaltning.</w:t>
      </w:r>
    </w:p>
    <w:p w14:paraId="3DFC50AE" w14:textId="77777777" w:rsidR="00A54846" w:rsidRDefault="008A2731">
      <w:pPr>
        <w:pStyle w:val="AnnexNumberedText"/>
        <w:ind w:left="684" w:hanging="684"/>
      </w:pPr>
      <w:r>
        <w:t>1.2.4.</w:t>
      </w:r>
      <w:r>
        <w:rPr>
          <w:i/>
        </w:rPr>
        <w:tab/>
        <w:t>Andre opplysninger som skal gis i GAR: GAR for handelsporteføljen</w:t>
      </w:r>
    </w:p>
    <w:p w14:paraId="13AFEF31" w14:textId="77777777" w:rsidR="00A54846" w:rsidRDefault="008A2731">
      <w:pPr>
        <w:pStyle w:val="AnnexNormal"/>
      </w:pPr>
      <w:r>
        <w:t>Handelsporteføljen skal ikke tas med i nevneren eller i samlet GAR.</w:t>
      </w:r>
    </w:p>
    <w:p w14:paraId="5F77E551" w14:textId="77777777" w:rsidR="00A54846" w:rsidRDefault="008A2731">
      <w:pPr>
        <w:pStyle w:val="AnnexNormal"/>
      </w:pPr>
      <w:r>
        <w:t>Kredittinstitusjoner skal redegjøre for sin investeringsstrategi for handelsporteføljen og dens overordnede sammensetning samt om eventuelle trender med hensyn til dominerende sektorer og hvordan de er forbundet med taksonomiforenlige økonomiske aktiviteter. De skal også beskrive eventuelle begrensninger med hensyn til klima- og miljørisikoene og i hvilken grad de er forbundet med taksonomiforenlige økonomiske aktiviteter, samt hvordan de håndterer miljørisikoer som kan påvirke porteføljens verdi.</w:t>
      </w:r>
    </w:p>
    <w:p w14:paraId="15A54F50" w14:textId="77777777" w:rsidR="00A54846" w:rsidRDefault="008A2731">
      <w:pPr>
        <w:pStyle w:val="AnnexNormal"/>
      </w:pPr>
      <w:r>
        <w:t>Dersom en handelsportefølje spiller en viktig rolle i kredittinstitusjonens forretningsmodell, og særlig dersom kredittinstitusjonen ikke oppfyller vilkårene fastsatt i artikkel 94 nr. 1 i forordning (EU) nr. 575/2013 eller vilkårene fastsatt i artikkel 325a nr. 1 i samme forordning, skal kredittinstitusjonen legge fram kvantitative opplysninger og KPI-er som viser i hvilken grad institusjonen handler med miljømessig bærekraftige eiendeler, og i hvilken grad den bidrar til å fremme handelen med denne typen eiendeler.</w:t>
      </w:r>
    </w:p>
    <w:p w14:paraId="01E05F59" w14:textId="77777777" w:rsidR="00A54846" w:rsidRDefault="008A2731">
      <w:pPr>
        <w:pStyle w:val="AnnexNormal"/>
      </w:pPr>
      <w:r>
        <w:t>Kredittinstitusjoner skal legge fram følgende opplysninger:</w:t>
      </w:r>
    </w:p>
    <w:p w14:paraId="17B67E0D" w14:textId="77777777" w:rsidR="00A54846" w:rsidRDefault="008A2731">
      <w:pPr>
        <w:pStyle w:val="AnnexNumberedText"/>
        <w:ind w:left="293" w:hanging="293"/>
      </w:pPr>
      <w:r>
        <w:t>a)</w:t>
      </w:r>
      <w:r>
        <w:tab/>
        <w:t>All handel med taksonomiforenlige instrumenter i den perioden opplysningene gjelder, herunder absolutte kjøp pluss absolutte salg av miljømessig bærekraftige verdipapirer.</w:t>
      </w:r>
    </w:p>
    <w:p w14:paraId="4F0E6C5A" w14:textId="77777777" w:rsidR="00A54846" w:rsidRDefault="008A2731">
      <w:pPr>
        <w:pStyle w:val="AnnexNumberedText"/>
        <w:ind w:left="293" w:hanging="293"/>
      </w:pPr>
      <w:r>
        <w:t>b)</w:t>
      </w:r>
      <w:r>
        <w:tab/>
        <w:t>All handel med verdipapirer i den perioden opplysningene gjelder, herunder samlede absolutte kjøp pluss samlede absolutte salg av verdipapirer.</w:t>
      </w:r>
    </w:p>
    <w:p w14:paraId="775F88F1" w14:textId="77777777" w:rsidR="00A54846" w:rsidRDefault="008A2731">
      <w:pPr>
        <w:pStyle w:val="AnnexNormal"/>
      </w:pPr>
      <w:r>
        <w:t>Absolutte kjøp pluss absolutte salg av miljømessig bærekraftige verdipapirer skal inngå i telleren for den spesifikke grønne brøken (GAR) for kredittinstitusjonens handelsportefølje. Samlede absolutte kjøp pluss samlede absolutte salg av verdipapirer skal inngå i nevneren i GAR for handelsporteføljen.</w:t>
      </w:r>
    </w:p>
    <w:p w14:paraId="271573FF" w14:textId="77777777" w:rsidR="00A54846" w:rsidRDefault="008A2731">
      <w:pPr>
        <w:pStyle w:val="AnnexNormal"/>
        <w:spacing w:after="400"/>
      </w:pPr>
      <w:r>
        <w:t>Den delen av telleren i GAR som gjelder handelsporteføljen, skal beregnes ved at den balanseførte verdien av gjeldsinstrumenter og egenkapitalinstrumenter som er kjøpt og/eller solgt fra hver motpart, vektes med den andelen av omsetningen og investeringsutgiftene som er forbundet med de av foretakets taksonomiforenlige økonomiske aktiviteter som bidrar til det aktuelle miljømålet, på grunnlag av opplysningene foretaket har gitt i samsvar med artikkel 8 i forordning (EU) 2020/852 og denne forordningen. For finansforetak skal samme andel anvendes for motparten som for de relevante KPI-ene for disse motpartene.</w:t>
      </w:r>
    </w:p>
    <w:p w14:paraId="7D0FCD95" w14:textId="77777777" w:rsidR="00A54846" w:rsidRDefault="008A2731">
      <w:pPr>
        <w:pStyle w:val="line2"/>
        <w:pBdr>
          <w:bottom w:val="none" w:sz="0" w:space="0" w:color="auto"/>
        </w:pBdr>
        <w:tabs>
          <w:tab w:val="left" w:leader="underscore" w:pos="522"/>
        </w:tabs>
        <w:ind w:left="0" w:right="0"/>
      </w:pPr>
      <w:r>
        <w:tab/>
      </w:r>
    </w:p>
    <w:p w14:paraId="624EC610" w14:textId="77777777" w:rsidR="00A54846" w:rsidRDefault="00A54846">
      <w:pPr>
        <w:pStyle w:val="AnnexTI"/>
        <w:sectPr w:rsidR="00A54846">
          <w:footnotePr>
            <w:pos w:val="beneathText"/>
            <w:numRestart w:val="eachSect"/>
          </w:footnotePr>
          <w:pgSz w:w="11906" w:h="16838" w:code="9"/>
          <w:pgMar w:top="1680" w:right="1333" w:bottom="840" w:left="1333" w:header="920" w:footer="280" w:gutter="0"/>
          <w:cols w:space="708"/>
          <w:docGrid w:linePitch="360"/>
        </w:sectPr>
      </w:pPr>
    </w:p>
    <w:p w14:paraId="03113440" w14:textId="77777777" w:rsidR="00A54846" w:rsidRDefault="008A2731">
      <w:pPr>
        <w:pStyle w:val="AnnexTI"/>
        <w:spacing w:after="360"/>
      </w:pPr>
      <w:r>
        <w:lastRenderedPageBreak/>
        <w:t>VEDLEGG VI</w:t>
      </w:r>
    </w:p>
    <w:p w14:paraId="460E25F6" w14:textId="77777777" w:rsidR="00A54846" w:rsidRDefault="008A2731">
      <w:pPr>
        <w:pStyle w:val="AnnexSTI"/>
        <w:spacing w:line="200" w:lineRule="exact"/>
        <w:rPr>
          <w:sz w:val="16"/>
        </w:rPr>
      </w:pPr>
      <w:r>
        <w:rPr>
          <w:sz w:val="16"/>
        </w:rPr>
        <w:t>MAL FOR KPI-er FOR KREDITTINSTITUSJONER</w:t>
      </w:r>
    </w:p>
    <w:tbl>
      <w:tblPr>
        <w:tblStyle w:val="EFTATable"/>
        <w:tblW w:w="14324" w:type="dxa"/>
        <w:tblLayout w:type="fixed"/>
        <w:tblLook w:val="04A0" w:firstRow="1" w:lastRow="0" w:firstColumn="1" w:lastColumn="0" w:noHBand="0" w:noVBand="1"/>
      </w:tblPr>
      <w:tblGrid>
        <w:gridCol w:w="1200"/>
        <w:gridCol w:w="13124"/>
      </w:tblGrid>
      <w:tr w:rsidR="00A54846" w14:paraId="05D545CF" w14:textId="77777777">
        <w:trPr>
          <w:trHeight w:val="240"/>
          <w:tblHeader/>
        </w:trPr>
        <w:tc>
          <w:tcPr>
            <w:tcW w:w="1200" w:type="dxa"/>
            <w:shd w:val="clear" w:color="auto" w:fill="CCCCCC"/>
            <w:tcMar>
              <w:top w:w="60" w:type="dxa"/>
              <w:left w:w="0" w:type="dxa"/>
              <w:bottom w:w="60" w:type="dxa"/>
            </w:tcMar>
            <w:vAlign w:val="center"/>
          </w:tcPr>
          <w:p w14:paraId="27D31661" w14:textId="77777777" w:rsidR="00A54846" w:rsidRDefault="008A2731">
            <w:pPr>
              <w:pStyle w:val="AnnexTableHeader"/>
              <w:spacing w:line="200" w:lineRule="exact"/>
            </w:pPr>
            <w:r>
              <w:t>Malnr.</w:t>
            </w:r>
          </w:p>
        </w:tc>
        <w:tc>
          <w:tcPr>
            <w:tcW w:w="13124" w:type="dxa"/>
            <w:shd w:val="clear" w:color="auto" w:fill="CCCCCC"/>
            <w:tcMar>
              <w:top w:w="60" w:type="dxa"/>
              <w:bottom w:w="60" w:type="dxa"/>
            </w:tcMar>
            <w:vAlign w:val="center"/>
          </w:tcPr>
          <w:p w14:paraId="680E40B5" w14:textId="77777777" w:rsidR="00A54846" w:rsidRDefault="008A2731">
            <w:pPr>
              <w:pStyle w:val="AnnexTableHeader"/>
              <w:spacing w:line="200" w:lineRule="exact"/>
            </w:pPr>
            <w:r>
              <w:t>Betegnelse</w:t>
            </w:r>
          </w:p>
        </w:tc>
      </w:tr>
      <w:tr w:rsidR="00A54846" w14:paraId="3A352C9F" w14:textId="77777777">
        <w:trPr>
          <w:trHeight w:val="240"/>
        </w:trPr>
        <w:tc>
          <w:tcPr>
            <w:tcW w:w="1200" w:type="dxa"/>
            <w:tcMar>
              <w:left w:w="0" w:type="dxa"/>
            </w:tcMar>
          </w:tcPr>
          <w:p w14:paraId="61E3D8CF" w14:textId="77777777" w:rsidR="00A54846" w:rsidRDefault="008A2731">
            <w:pPr>
              <w:pStyle w:val="AnnexTableCellLeft"/>
              <w:jc w:val="center"/>
            </w:pPr>
            <w:r>
              <w:t>0</w:t>
            </w:r>
          </w:p>
        </w:tc>
        <w:tc>
          <w:tcPr>
            <w:tcW w:w="13124" w:type="dxa"/>
          </w:tcPr>
          <w:p w14:paraId="7D016964" w14:textId="77777777" w:rsidR="00A54846" w:rsidRDefault="008A2731">
            <w:pPr>
              <w:pStyle w:val="AnnexTableCellLeft"/>
            </w:pPr>
            <w:r>
              <w:t>Sammendrag av KPI-er</w:t>
            </w:r>
          </w:p>
        </w:tc>
      </w:tr>
      <w:tr w:rsidR="00A54846" w14:paraId="54E5EB28" w14:textId="77777777">
        <w:trPr>
          <w:trHeight w:val="240"/>
        </w:trPr>
        <w:tc>
          <w:tcPr>
            <w:tcW w:w="1200" w:type="dxa"/>
            <w:tcMar>
              <w:left w:w="0" w:type="dxa"/>
            </w:tcMar>
          </w:tcPr>
          <w:p w14:paraId="24FD9D04" w14:textId="77777777" w:rsidR="00A54846" w:rsidRDefault="008A2731">
            <w:pPr>
              <w:pStyle w:val="AnnexTableCellLeft"/>
              <w:jc w:val="center"/>
            </w:pPr>
            <w:r>
              <w:t>1</w:t>
            </w:r>
          </w:p>
        </w:tc>
        <w:tc>
          <w:tcPr>
            <w:tcW w:w="13124" w:type="dxa"/>
          </w:tcPr>
          <w:p w14:paraId="307D6058" w14:textId="77777777" w:rsidR="00A54846" w:rsidRDefault="008A2731">
            <w:pPr>
              <w:pStyle w:val="AnnexTableCellLeft"/>
            </w:pPr>
            <w:r>
              <w:t>Eiendeler som inngår i beregningen av GAR</w:t>
            </w:r>
          </w:p>
        </w:tc>
      </w:tr>
      <w:tr w:rsidR="00A54846" w14:paraId="424F284B" w14:textId="77777777">
        <w:trPr>
          <w:trHeight w:val="240"/>
        </w:trPr>
        <w:tc>
          <w:tcPr>
            <w:tcW w:w="1200" w:type="dxa"/>
            <w:tcMar>
              <w:left w:w="0" w:type="dxa"/>
            </w:tcMar>
          </w:tcPr>
          <w:p w14:paraId="137B398C" w14:textId="77777777" w:rsidR="00A54846" w:rsidRDefault="008A2731">
            <w:pPr>
              <w:pStyle w:val="AnnexTableCellLeft"/>
              <w:jc w:val="center"/>
            </w:pPr>
            <w:r>
              <w:t>2</w:t>
            </w:r>
          </w:p>
        </w:tc>
        <w:tc>
          <w:tcPr>
            <w:tcW w:w="13124" w:type="dxa"/>
          </w:tcPr>
          <w:p w14:paraId="795B656E" w14:textId="77777777" w:rsidR="00A54846" w:rsidRDefault="008A2731">
            <w:pPr>
              <w:pStyle w:val="AnnexTableCellLeft"/>
            </w:pPr>
            <w:r>
              <w:t>GAR – sektoropplysninger</w:t>
            </w:r>
          </w:p>
        </w:tc>
      </w:tr>
      <w:tr w:rsidR="00A54846" w14:paraId="34CC642C" w14:textId="77777777">
        <w:trPr>
          <w:trHeight w:val="240"/>
        </w:trPr>
        <w:tc>
          <w:tcPr>
            <w:tcW w:w="1200" w:type="dxa"/>
            <w:tcMar>
              <w:left w:w="0" w:type="dxa"/>
            </w:tcMar>
          </w:tcPr>
          <w:p w14:paraId="71C99E7C" w14:textId="77777777" w:rsidR="00A54846" w:rsidRDefault="008A2731">
            <w:pPr>
              <w:pStyle w:val="AnnexTableCellLeft"/>
              <w:jc w:val="center"/>
            </w:pPr>
            <w:r>
              <w:t>3</w:t>
            </w:r>
          </w:p>
        </w:tc>
        <w:tc>
          <w:tcPr>
            <w:tcW w:w="13124" w:type="dxa"/>
          </w:tcPr>
          <w:p w14:paraId="5ED1E1B2" w14:textId="77777777" w:rsidR="00A54846" w:rsidRDefault="008A2731">
            <w:pPr>
              <w:pStyle w:val="AnnexTableCellLeft"/>
            </w:pPr>
            <w:r>
              <w:t>GAR – KPI for beholdninger</w:t>
            </w:r>
          </w:p>
        </w:tc>
      </w:tr>
      <w:tr w:rsidR="00A54846" w14:paraId="4032ED87" w14:textId="77777777">
        <w:trPr>
          <w:trHeight w:val="240"/>
        </w:trPr>
        <w:tc>
          <w:tcPr>
            <w:tcW w:w="1200" w:type="dxa"/>
            <w:tcMar>
              <w:left w:w="0" w:type="dxa"/>
            </w:tcMar>
          </w:tcPr>
          <w:p w14:paraId="202BC527" w14:textId="77777777" w:rsidR="00A54846" w:rsidRDefault="008A2731">
            <w:pPr>
              <w:pStyle w:val="AnnexTableCellLeft"/>
              <w:jc w:val="center"/>
            </w:pPr>
            <w:r>
              <w:t>4</w:t>
            </w:r>
          </w:p>
        </w:tc>
        <w:tc>
          <w:tcPr>
            <w:tcW w:w="13124" w:type="dxa"/>
          </w:tcPr>
          <w:p w14:paraId="4A37227D" w14:textId="77777777" w:rsidR="00A54846" w:rsidRDefault="008A2731">
            <w:pPr>
              <w:pStyle w:val="AnnexTableCellLeft"/>
            </w:pPr>
            <w:r>
              <w:t>GAR – KPI for strømmer</w:t>
            </w:r>
          </w:p>
        </w:tc>
      </w:tr>
      <w:tr w:rsidR="00A54846" w14:paraId="47FAB356" w14:textId="77777777">
        <w:trPr>
          <w:trHeight w:val="240"/>
        </w:trPr>
        <w:tc>
          <w:tcPr>
            <w:tcW w:w="1200" w:type="dxa"/>
            <w:tcMar>
              <w:left w:w="0" w:type="dxa"/>
            </w:tcMar>
          </w:tcPr>
          <w:p w14:paraId="7CCF1EE5" w14:textId="77777777" w:rsidR="00A54846" w:rsidRDefault="008A2731">
            <w:pPr>
              <w:pStyle w:val="AnnexTableCellLeft"/>
              <w:jc w:val="center"/>
            </w:pPr>
            <w:r>
              <w:t>5</w:t>
            </w:r>
          </w:p>
        </w:tc>
        <w:tc>
          <w:tcPr>
            <w:tcW w:w="13124" w:type="dxa"/>
          </w:tcPr>
          <w:p w14:paraId="30E122A4" w14:textId="77777777" w:rsidR="00A54846" w:rsidRDefault="008A2731">
            <w:pPr>
              <w:pStyle w:val="AnnexTableCellLeft"/>
            </w:pPr>
            <w:r>
              <w:t>KPI for eksponeringer utenfor balansen</w:t>
            </w:r>
          </w:p>
        </w:tc>
      </w:tr>
      <w:tr w:rsidR="00A54846" w14:paraId="172BC26D" w14:textId="77777777">
        <w:trPr>
          <w:trHeight w:val="240"/>
        </w:trPr>
        <w:tc>
          <w:tcPr>
            <w:tcW w:w="1200" w:type="dxa"/>
            <w:tcMar>
              <w:left w:w="0" w:type="dxa"/>
            </w:tcMar>
          </w:tcPr>
          <w:p w14:paraId="77BEC833" w14:textId="77777777" w:rsidR="00A54846" w:rsidRDefault="008A2731">
            <w:pPr>
              <w:pStyle w:val="AnnexTableCellLeft"/>
              <w:jc w:val="center"/>
            </w:pPr>
            <w:r>
              <w:t>6</w:t>
            </w:r>
          </w:p>
        </w:tc>
        <w:tc>
          <w:tcPr>
            <w:tcW w:w="13124" w:type="dxa"/>
          </w:tcPr>
          <w:p w14:paraId="6D13442F" w14:textId="77777777" w:rsidR="00A54846" w:rsidRDefault="008A2731">
            <w:pPr>
              <w:pStyle w:val="AnnexTableCellLeft"/>
            </w:pPr>
            <w:r>
              <w:t>KPI for gebyr- og provisjonsinntekter fra andre tjenester enn utlån og kapitalforvaltning</w:t>
            </w:r>
          </w:p>
        </w:tc>
      </w:tr>
      <w:tr w:rsidR="00A54846" w14:paraId="6BC80264" w14:textId="77777777">
        <w:trPr>
          <w:trHeight w:val="240"/>
        </w:trPr>
        <w:tc>
          <w:tcPr>
            <w:tcW w:w="1200" w:type="dxa"/>
            <w:tcMar>
              <w:left w:w="0" w:type="dxa"/>
            </w:tcMar>
          </w:tcPr>
          <w:p w14:paraId="04CE931D" w14:textId="77777777" w:rsidR="00A54846" w:rsidRDefault="008A2731">
            <w:pPr>
              <w:pStyle w:val="AnnexTableCellLeft"/>
              <w:jc w:val="center"/>
            </w:pPr>
            <w:r>
              <w:t>7</w:t>
            </w:r>
          </w:p>
        </w:tc>
        <w:tc>
          <w:tcPr>
            <w:tcW w:w="13124" w:type="dxa"/>
          </w:tcPr>
          <w:p w14:paraId="03EE65E7" w14:textId="77777777" w:rsidR="00A54846" w:rsidRDefault="008A2731">
            <w:pPr>
              <w:pStyle w:val="AnnexTableCellLeft"/>
            </w:pPr>
            <w:r>
              <w:t>KPI for handelsporteføljen</w:t>
            </w:r>
          </w:p>
        </w:tc>
      </w:tr>
    </w:tbl>
    <w:p w14:paraId="7310AE5C" w14:textId="77777777" w:rsidR="00A54846" w:rsidRDefault="008A2731">
      <w:pPr>
        <w:pStyle w:val="AnnexNumberedText"/>
        <w:spacing w:before="500"/>
        <w:ind w:left="279" w:hanging="279"/>
      </w:pPr>
      <w:r>
        <w:t>0.</w:t>
      </w:r>
      <w:r>
        <w:rPr>
          <w:b/>
        </w:rPr>
        <w:tab/>
        <w:t>Sammendrag av KPI-er som skal legges fram av kredittinstitusjoner i henhold til artikkel 8 i taksonomiforordningen</w:t>
      </w:r>
    </w:p>
    <w:tbl>
      <w:tblPr>
        <w:tblOverlap w:val="never"/>
        <w:tblW w:w="0" w:type="auto"/>
        <w:tblInd w:w="340" w:type="dxa"/>
        <w:tblLayout w:type="fixed"/>
        <w:tblCellMar>
          <w:left w:w="10" w:type="dxa"/>
          <w:right w:w="10" w:type="dxa"/>
        </w:tblCellMar>
        <w:tblLook w:val="04A0" w:firstRow="1" w:lastRow="0" w:firstColumn="1" w:lastColumn="0" w:noHBand="0" w:noVBand="1"/>
      </w:tblPr>
      <w:tblGrid>
        <w:gridCol w:w="1332"/>
        <w:gridCol w:w="2640"/>
        <w:gridCol w:w="5304"/>
        <w:gridCol w:w="906"/>
        <w:gridCol w:w="906"/>
        <w:gridCol w:w="2928"/>
      </w:tblGrid>
      <w:tr w:rsidR="00A54846" w14:paraId="6105C7BE" w14:textId="77777777">
        <w:tc>
          <w:tcPr>
            <w:tcW w:w="3972" w:type="dxa"/>
            <w:gridSpan w:val="2"/>
            <w:tcBorders>
              <w:top w:val="single" w:sz="4" w:space="0" w:color="auto"/>
              <w:left w:val="single" w:sz="4" w:space="0" w:color="auto"/>
              <w:bottom w:val="nil"/>
              <w:right w:val="nil"/>
            </w:tcBorders>
            <w:shd w:val="clear" w:color="auto" w:fill="E1E1E1"/>
            <w:tcMar>
              <w:top w:w="20" w:type="dxa"/>
              <w:left w:w="40" w:type="dxa"/>
              <w:bottom w:w="20" w:type="dxa"/>
              <w:right w:w="40" w:type="dxa"/>
            </w:tcMar>
          </w:tcPr>
          <w:p w14:paraId="61FDFF5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b/>
                <w:color w:val="000000"/>
                <w:sz w:val="16"/>
                <w:szCs w:val="16"/>
                <w:lang w:bidi="en-US"/>
              </w:rPr>
            </w:pPr>
          </w:p>
        </w:tc>
        <w:tc>
          <w:tcPr>
            <w:tcW w:w="5304" w:type="dxa"/>
            <w:tcBorders>
              <w:top w:val="single" w:sz="4" w:space="0" w:color="auto"/>
              <w:left w:val="single" w:sz="4" w:space="0" w:color="auto"/>
              <w:bottom w:val="nil"/>
              <w:right w:val="nil"/>
            </w:tcBorders>
            <w:shd w:val="clear" w:color="auto" w:fill="E1E1E1"/>
            <w:tcMar>
              <w:top w:w="20" w:type="dxa"/>
              <w:left w:w="40" w:type="dxa"/>
              <w:bottom w:w="20" w:type="dxa"/>
              <w:right w:w="40" w:type="dxa"/>
            </w:tcMar>
            <w:vAlign w:val="bottom"/>
            <w:hideMark/>
          </w:tcPr>
          <w:p w14:paraId="6838EF63" w14:textId="77777777" w:rsidR="00A54846" w:rsidRDefault="008A2731">
            <w:pPr>
              <w:widowControl w:val="0"/>
              <w:shd w:val="clear" w:color="auto" w:fill="auto"/>
              <w:spacing w:after="0" w:line="240" w:lineRule="auto"/>
              <w:jc w:val="left"/>
              <w:rPr>
                <w:rFonts w:ascii="Helvetica" w:eastAsia="Arial Unicode MS" w:hAnsi="Helvetica" w:cs="Arial Unicode MS"/>
                <w:b/>
                <w:color w:val="000000"/>
                <w:sz w:val="16"/>
                <w:szCs w:val="16"/>
              </w:rPr>
            </w:pPr>
            <w:r>
              <w:rPr>
                <w:rFonts w:ascii="Helvetica" w:hAnsi="Helvetica"/>
                <w:b/>
                <w:color w:val="000000"/>
                <w:sz w:val="16"/>
              </w:rPr>
              <w:t>Sum miljømessig bærekraftige eiendeler</w:t>
            </w:r>
          </w:p>
        </w:tc>
        <w:tc>
          <w:tcPr>
            <w:tcW w:w="906" w:type="dxa"/>
            <w:tcBorders>
              <w:top w:val="single" w:sz="4" w:space="0" w:color="auto"/>
              <w:left w:val="single" w:sz="4" w:space="0" w:color="auto"/>
              <w:bottom w:val="nil"/>
              <w:right w:val="nil"/>
            </w:tcBorders>
            <w:shd w:val="clear" w:color="auto" w:fill="E1E1E1"/>
            <w:tcMar>
              <w:top w:w="20" w:type="dxa"/>
              <w:left w:w="40" w:type="dxa"/>
              <w:bottom w:w="20" w:type="dxa"/>
              <w:right w:w="40" w:type="dxa"/>
            </w:tcMar>
            <w:vAlign w:val="bottom"/>
            <w:hideMark/>
          </w:tcPr>
          <w:p w14:paraId="6B4499CE" w14:textId="77777777" w:rsidR="00A54846" w:rsidRDefault="008A2731">
            <w:pPr>
              <w:widowControl w:val="0"/>
              <w:shd w:val="clear" w:color="auto" w:fill="auto"/>
              <w:spacing w:after="0" w:line="240" w:lineRule="auto"/>
              <w:jc w:val="left"/>
              <w:rPr>
                <w:rFonts w:ascii="Helvetica" w:eastAsia="Arial Unicode MS" w:hAnsi="Helvetica" w:cs="Arial Unicode MS"/>
                <w:b/>
                <w:color w:val="000000"/>
                <w:sz w:val="16"/>
                <w:szCs w:val="16"/>
              </w:rPr>
            </w:pPr>
            <w:r>
              <w:rPr>
                <w:rFonts w:ascii="Helvetica" w:hAnsi="Helvetica"/>
                <w:b/>
                <w:color w:val="000000"/>
                <w:sz w:val="16"/>
              </w:rPr>
              <w:t>KPI****</w:t>
            </w:r>
          </w:p>
        </w:tc>
        <w:tc>
          <w:tcPr>
            <w:tcW w:w="906" w:type="dxa"/>
            <w:tcBorders>
              <w:top w:val="single" w:sz="4" w:space="0" w:color="auto"/>
              <w:left w:val="single" w:sz="4" w:space="0" w:color="auto"/>
              <w:bottom w:val="nil"/>
              <w:right w:val="single" w:sz="4" w:space="0" w:color="auto"/>
            </w:tcBorders>
            <w:shd w:val="clear" w:color="auto" w:fill="E1E1E1"/>
            <w:tcMar>
              <w:top w:w="20" w:type="dxa"/>
              <w:left w:w="40" w:type="dxa"/>
              <w:bottom w:w="20" w:type="dxa"/>
              <w:right w:w="40" w:type="dxa"/>
            </w:tcMar>
            <w:vAlign w:val="bottom"/>
            <w:hideMark/>
          </w:tcPr>
          <w:p w14:paraId="41CD62CE" w14:textId="77777777" w:rsidR="00A54846" w:rsidRDefault="008A2731">
            <w:pPr>
              <w:widowControl w:val="0"/>
              <w:shd w:val="clear" w:color="auto" w:fill="auto"/>
              <w:spacing w:after="0" w:line="240" w:lineRule="auto"/>
              <w:jc w:val="left"/>
              <w:rPr>
                <w:rFonts w:ascii="Helvetica" w:eastAsia="Arial Unicode MS" w:hAnsi="Helvetica" w:cs="Arial Unicode MS"/>
                <w:b/>
                <w:color w:val="000000"/>
                <w:sz w:val="16"/>
                <w:szCs w:val="16"/>
              </w:rPr>
            </w:pPr>
            <w:r>
              <w:rPr>
                <w:rFonts w:ascii="Helvetica" w:hAnsi="Helvetica"/>
                <w:b/>
                <w:color w:val="000000"/>
                <w:sz w:val="16"/>
              </w:rPr>
              <w:t>KPI*****</w:t>
            </w:r>
          </w:p>
        </w:tc>
        <w:tc>
          <w:tcPr>
            <w:tcW w:w="2928" w:type="dxa"/>
            <w:tcBorders>
              <w:top w:val="single" w:sz="4" w:space="0" w:color="auto"/>
              <w:left w:val="single" w:sz="4" w:space="0" w:color="auto"/>
              <w:bottom w:val="nil"/>
              <w:right w:val="single" w:sz="4" w:space="0" w:color="auto"/>
            </w:tcBorders>
            <w:shd w:val="clear" w:color="auto" w:fill="E1E1E1"/>
            <w:tcMar>
              <w:top w:w="0" w:type="dxa"/>
              <w:left w:w="40" w:type="dxa"/>
              <w:bottom w:w="0" w:type="dxa"/>
              <w:right w:w="10" w:type="dxa"/>
            </w:tcMar>
            <w:vAlign w:val="bottom"/>
            <w:hideMark/>
          </w:tcPr>
          <w:p w14:paraId="7F54531F" w14:textId="77777777" w:rsidR="00A54846" w:rsidRDefault="008A2731">
            <w:pPr>
              <w:widowControl w:val="0"/>
              <w:shd w:val="clear" w:color="auto" w:fill="auto"/>
              <w:spacing w:after="0" w:line="240" w:lineRule="auto"/>
              <w:jc w:val="left"/>
              <w:rPr>
                <w:rFonts w:ascii="Helvetica" w:eastAsia="Arial Unicode MS" w:hAnsi="Helvetica" w:cs="Arial Unicode MS"/>
                <w:b/>
                <w:color w:val="000000"/>
                <w:sz w:val="16"/>
                <w:szCs w:val="16"/>
              </w:rPr>
            </w:pPr>
            <w:r>
              <w:rPr>
                <w:rFonts w:ascii="Helvetica" w:hAnsi="Helvetica"/>
                <w:b/>
                <w:color w:val="000000"/>
                <w:sz w:val="16"/>
              </w:rPr>
              <w:t>% dekning (av samlede eiendeler)***</w:t>
            </w:r>
          </w:p>
        </w:tc>
      </w:tr>
      <w:tr w:rsidR="00A54846" w14:paraId="6B29FDE1" w14:textId="77777777">
        <w:tc>
          <w:tcPr>
            <w:tcW w:w="133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35CCAB0D" w14:textId="77777777" w:rsidR="00A54846" w:rsidRDefault="008A2731">
            <w:pPr>
              <w:widowControl w:val="0"/>
              <w:shd w:val="clear" w:color="auto" w:fill="auto"/>
              <w:spacing w:after="0" w:line="240" w:lineRule="auto"/>
              <w:jc w:val="left"/>
              <w:rPr>
                <w:rFonts w:ascii="Helvetica" w:eastAsia="Arial Unicode MS" w:hAnsi="Helvetica" w:cs="Arial Unicode MS"/>
                <w:b/>
                <w:color w:val="000000"/>
                <w:sz w:val="16"/>
                <w:szCs w:val="16"/>
              </w:rPr>
            </w:pPr>
            <w:r>
              <w:rPr>
                <w:rFonts w:ascii="Helvetica" w:hAnsi="Helvetica"/>
                <w:b/>
                <w:color w:val="000000"/>
                <w:sz w:val="16"/>
              </w:rPr>
              <w:t>Hoved-KPI</w:t>
            </w:r>
          </w:p>
        </w:tc>
        <w:tc>
          <w:tcPr>
            <w:tcW w:w="2640"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07CAE233" w14:textId="77777777" w:rsidR="00A54846" w:rsidRDefault="008A2731">
            <w:pPr>
              <w:widowControl w:val="0"/>
              <w:shd w:val="clear" w:color="auto" w:fill="auto"/>
              <w:spacing w:after="0" w:line="240" w:lineRule="auto"/>
              <w:jc w:val="left"/>
              <w:rPr>
                <w:rFonts w:ascii="Helvetica" w:eastAsia="Arial Unicode MS" w:hAnsi="Helvetica" w:cs="Arial Unicode MS"/>
                <w:b/>
                <w:color w:val="000000"/>
                <w:sz w:val="16"/>
                <w:szCs w:val="16"/>
              </w:rPr>
            </w:pPr>
            <w:r>
              <w:rPr>
                <w:rFonts w:ascii="Helvetica" w:hAnsi="Helvetica"/>
                <w:b/>
                <w:color w:val="000000"/>
                <w:sz w:val="16"/>
              </w:rPr>
              <w:t>Grønn brøk (GAR) for beholdninger</w:t>
            </w:r>
          </w:p>
        </w:tc>
        <w:tc>
          <w:tcPr>
            <w:tcW w:w="530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0D54752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b/>
                <w:color w:val="000000"/>
                <w:sz w:val="16"/>
                <w:szCs w:val="16"/>
                <w:lang w:bidi="en-US"/>
              </w:rPr>
            </w:pPr>
          </w:p>
        </w:tc>
        <w:tc>
          <w:tcPr>
            <w:tcW w:w="90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C1F1C9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b/>
                <w:color w:val="000000"/>
                <w:sz w:val="16"/>
                <w:szCs w:val="16"/>
                <w:lang w:bidi="en-US"/>
              </w:rPr>
            </w:pPr>
          </w:p>
        </w:tc>
        <w:tc>
          <w:tcPr>
            <w:tcW w:w="906" w:type="dxa"/>
            <w:tcBorders>
              <w:top w:val="single" w:sz="4" w:space="0" w:color="auto"/>
              <w:left w:val="single" w:sz="4" w:space="0" w:color="auto"/>
              <w:bottom w:val="nil"/>
              <w:right w:val="single" w:sz="4" w:space="0" w:color="auto"/>
            </w:tcBorders>
            <w:shd w:val="clear" w:color="auto" w:fill="FFFFFF"/>
            <w:tcMar>
              <w:top w:w="20" w:type="dxa"/>
              <w:left w:w="40" w:type="dxa"/>
              <w:bottom w:w="20" w:type="dxa"/>
              <w:right w:w="40" w:type="dxa"/>
            </w:tcMar>
          </w:tcPr>
          <w:p w14:paraId="50992C1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b/>
                <w:color w:val="000000"/>
                <w:sz w:val="16"/>
                <w:szCs w:val="16"/>
                <w:lang w:bidi="en-US"/>
              </w:rPr>
            </w:pPr>
          </w:p>
        </w:tc>
        <w:tc>
          <w:tcPr>
            <w:tcW w:w="2928"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10" w:type="dxa"/>
            </w:tcMar>
          </w:tcPr>
          <w:p w14:paraId="1F3C663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b/>
                <w:color w:val="000000"/>
                <w:sz w:val="16"/>
                <w:szCs w:val="16"/>
                <w:lang w:bidi="en-US"/>
              </w:rPr>
            </w:pPr>
          </w:p>
        </w:tc>
      </w:tr>
      <w:tr w:rsidR="00A54846" w14:paraId="50EBD11B" w14:textId="77777777">
        <w:tc>
          <w:tcPr>
            <w:tcW w:w="14016" w:type="dxa"/>
            <w:gridSpan w:val="6"/>
            <w:tcBorders>
              <w:top w:val="single" w:sz="4" w:space="0" w:color="auto"/>
              <w:left w:val="nil"/>
              <w:bottom w:val="nil"/>
              <w:right w:val="nil"/>
            </w:tcBorders>
            <w:shd w:val="clear" w:color="auto" w:fill="FFFFFF"/>
            <w:tcMar>
              <w:top w:w="20" w:type="dxa"/>
              <w:left w:w="40" w:type="dxa"/>
              <w:bottom w:w="20" w:type="dxa"/>
              <w:right w:w="40" w:type="dxa"/>
            </w:tcMar>
          </w:tcPr>
          <w:p w14:paraId="44FD9FE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6"/>
                <w:szCs w:val="16"/>
                <w:lang w:bidi="en-US"/>
              </w:rPr>
            </w:pPr>
          </w:p>
        </w:tc>
      </w:tr>
      <w:tr w:rsidR="00A54846" w14:paraId="69C926A6" w14:textId="77777777">
        <w:tc>
          <w:tcPr>
            <w:tcW w:w="3972" w:type="dxa"/>
            <w:gridSpan w:val="2"/>
            <w:tcBorders>
              <w:top w:val="single" w:sz="4" w:space="0" w:color="auto"/>
              <w:left w:val="single" w:sz="4" w:space="0" w:color="auto"/>
              <w:bottom w:val="nil"/>
              <w:right w:val="nil"/>
            </w:tcBorders>
            <w:shd w:val="clear" w:color="auto" w:fill="E1E1E1"/>
            <w:tcMar>
              <w:top w:w="20" w:type="dxa"/>
              <w:left w:w="40" w:type="dxa"/>
              <w:bottom w:w="20" w:type="dxa"/>
              <w:right w:w="40" w:type="dxa"/>
            </w:tcMar>
          </w:tcPr>
          <w:p w14:paraId="01C1EC8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6"/>
                <w:szCs w:val="16"/>
                <w:lang w:bidi="en-US"/>
              </w:rPr>
            </w:pPr>
          </w:p>
        </w:tc>
        <w:tc>
          <w:tcPr>
            <w:tcW w:w="5304" w:type="dxa"/>
            <w:tcBorders>
              <w:top w:val="single" w:sz="4" w:space="0" w:color="auto"/>
              <w:left w:val="single" w:sz="4" w:space="0" w:color="auto"/>
              <w:bottom w:val="nil"/>
              <w:right w:val="nil"/>
            </w:tcBorders>
            <w:shd w:val="clear" w:color="auto" w:fill="E1E1E1"/>
            <w:tcMar>
              <w:top w:w="20" w:type="dxa"/>
              <w:left w:w="40" w:type="dxa"/>
              <w:bottom w:w="20" w:type="dxa"/>
              <w:right w:w="40" w:type="dxa"/>
            </w:tcMar>
            <w:vAlign w:val="bottom"/>
            <w:hideMark/>
          </w:tcPr>
          <w:p w14:paraId="079AAF5D"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6"/>
                <w:szCs w:val="16"/>
              </w:rPr>
            </w:pPr>
            <w:r>
              <w:rPr>
                <w:rFonts w:ascii="Helvetica" w:hAnsi="Helvetica"/>
                <w:color w:val="000000"/>
                <w:sz w:val="16"/>
              </w:rPr>
              <w:t>Sum miljømessig bærekraftige aktiviteter</w:t>
            </w:r>
          </w:p>
        </w:tc>
        <w:tc>
          <w:tcPr>
            <w:tcW w:w="906" w:type="dxa"/>
            <w:tcBorders>
              <w:top w:val="single" w:sz="4" w:space="0" w:color="auto"/>
              <w:left w:val="single" w:sz="4" w:space="0" w:color="auto"/>
              <w:bottom w:val="single" w:sz="4" w:space="0" w:color="auto"/>
              <w:right w:val="nil"/>
            </w:tcBorders>
            <w:shd w:val="clear" w:color="auto" w:fill="E1E1E1"/>
            <w:tcMar>
              <w:top w:w="20" w:type="dxa"/>
              <w:left w:w="40" w:type="dxa"/>
              <w:bottom w:w="20" w:type="dxa"/>
              <w:right w:w="40" w:type="dxa"/>
            </w:tcMar>
            <w:vAlign w:val="bottom"/>
            <w:hideMark/>
          </w:tcPr>
          <w:p w14:paraId="5446337D"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6"/>
                <w:szCs w:val="16"/>
              </w:rPr>
            </w:pPr>
            <w:r>
              <w:rPr>
                <w:rFonts w:ascii="Helvetica" w:hAnsi="Helvetica"/>
                <w:color w:val="000000"/>
                <w:sz w:val="16"/>
              </w:rPr>
              <w:t>KPI</w:t>
            </w:r>
          </w:p>
        </w:tc>
        <w:tc>
          <w:tcPr>
            <w:tcW w:w="906" w:type="dxa"/>
            <w:tcBorders>
              <w:top w:val="single" w:sz="4" w:space="0" w:color="auto"/>
              <w:left w:val="single" w:sz="4" w:space="0" w:color="auto"/>
              <w:bottom w:val="single" w:sz="4" w:space="0" w:color="auto"/>
              <w:right w:val="single" w:sz="4" w:space="0" w:color="auto"/>
            </w:tcBorders>
            <w:shd w:val="clear" w:color="auto" w:fill="E1E1E1"/>
            <w:tcMar>
              <w:top w:w="20" w:type="dxa"/>
              <w:left w:w="40" w:type="dxa"/>
              <w:bottom w:w="20" w:type="dxa"/>
              <w:right w:w="40" w:type="dxa"/>
            </w:tcMar>
            <w:vAlign w:val="bottom"/>
            <w:hideMark/>
          </w:tcPr>
          <w:p w14:paraId="243235CB"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6"/>
                <w:szCs w:val="16"/>
              </w:rPr>
            </w:pPr>
            <w:r>
              <w:rPr>
                <w:rFonts w:ascii="Helvetica" w:hAnsi="Helvetica"/>
                <w:color w:val="000000"/>
                <w:sz w:val="16"/>
              </w:rPr>
              <w:t>KPI</w:t>
            </w:r>
          </w:p>
        </w:tc>
        <w:tc>
          <w:tcPr>
            <w:tcW w:w="2928" w:type="dxa"/>
            <w:tcBorders>
              <w:top w:val="single" w:sz="4" w:space="0" w:color="auto"/>
              <w:left w:val="single" w:sz="4" w:space="0" w:color="auto"/>
              <w:bottom w:val="single" w:sz="4" w:space="0" w:color="auto"/>
              <w:right w:val="single" w:sz="4" w:space="0" w:color="auto"/>
            </w:tcBorders>
            <w:shd w:val="clear" w:color="auto" w:fill="E1E1E1"/>
            <w:tcMar>
              <w:top w:w="0" w:type="dxa"/>
              <w:left w:w="40" w:type="dxa"/>
              <w:bottom w:w="0" w:type="dxa"/>
              <w:right w:w="10" w:type="dxa"/>
            </w:tcMar>
            <w:vAlign w:val="bottom"/>
            <w:hideMark/>
          </w:tcPr>
          <w:p w14:paraId="35466CD0"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6"/>
                <w:szCs w:val="16"/>
              </w:rPr>
            </w:pPr>
            <w:r>
              <w:rPr>
                <w:rFonts w:ascii="Helvetica" w:hAnsi="Helvetica"/>
                <w:color w:val="000000"/>
                <w:sz w:val="16"/>
              </w:rPr>
              <w:t>% dekning (av samlede eiendeler)</w:t>
            </w:r>
          </w:p>
        </w:tc>
      </w:tr>
      <w:tr w:rsidR="00A54846" w14:paraId="105A7795" w14:textId="77777777">
        <w:tc>
          <w:tcPr>
            <w:tcW w:w="133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64DCAC42" w14:textId="77777777" w:rsidR="00A54846" w:rsidRDefault="008A2731">
            <w:pPr>
              <w:widowControl w:val="0"/>
              <w:shd w:val="clear" w:color="auto" w:fill="auto"/>
              <w:spacing w:after="0" w:line="240" w:lineRule="auto"/>
              <w:jc w:val="left"/>
              <w:rPr>
                <w:rFonts w:ascii="Helvetica" w:eastAsia="Arial Unicode MS" w:hAnsi="Helvetica" w:cs="Arial Unicode MS"/>
                <w:i/>
                <w:color w:val="000000"/>
                <w:sz w:val="16"/>
                <w:szCs w:val="16"/>
              </w:rPr>
            </w:pPr>
            <w:r>
              <w:rPr>
                <w:rFonts w:ascii="Helvetica" w:hAnsi="Helvetica"/>
                <w:i/>
                <w:color w:val="000000"/>
                <w:sz w:val="16"/>
              </w:rPr>
              <w:t>Andre KPI-er</w:t>
            </w:r>
          </w:p>
        </w:tc>
        <w:tc>
          <w:tcPr>
            <w:tcW w:w="2640"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00C946C8" w14:textId="77777777" w:rsidR="00A54846" w:rsidRDefault="008A2731">
            <w:pPr>
              <w:widowControl w:val="0"/>
              <w:shd w:val="clear" w:color="auto" w:fill="auto"/>
              <w:spacing w:after="0" w:line="240" w:lineRule="auto"/>
              <w:jc w:val="left"/>
              <w:rPr>
                <w:rFonts w:ascii="Helvetica" w:eastAsia="Arial Unicode MS" w:hAnsi="Helvetica" w:cs="Arial Unicode MS"/>
                <w:i/>
                <w:color w:val="000000"/>
                <w:sz w:val="16"/>
                <w:szCs w:val="16"/>
              </w:rPr>
            </w:pPr>
            <w:r>
              <w:rPr>
                <w:rFonts w:ascii="Helvetica" w:hAnsi="Helvetica"/>
                <w:i/>
                <w:color w:val="000000"/>
                <w:sz w:val="16"/>
              </w:rPr>
              <w:t>Grønn brøk (strømmer)</w:t>
            </w:r>
          </w:p>
        </w:tc>
        <w:tc>
          <w:tcPr>
            <w:tcW w:w="530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4AD223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906"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106CE0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906"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3D1BE33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2928"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10" w:type="dxa"/>
            </w:tcMar>
          </w:tcPr>
          <w:p w14:paraId="71E8F06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r>
      <w:tr w:rsidR="00A54846" w14:paraId="548A3201" w14:textId="77777777">
        <w:tc>
          <w:tcPr>
            <w:tcW w:w="133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9AA4766" w14:textId="77777777" w:rsidR="00A54846" w:rsidRDefault="00A54846">
            <w:pPr>
              <w:widowControl w:val="0"/>
              <w:shd w:val="clear" w:color="auto" w:fill="auto"/>
              <w:spacing w:after="0" w:line="240" w:lineRule="auto"/>
              <w:jc w:val="left"/>
              <w:rPr>
                <w:rFonts w:ascii="Helvetica" w:eastAsia="Arial Unicode MS" w:hAnsi="Helvetica" w:cs="Arial Unicode MS"/>
                <w:i/>
                <w:color w:val="000000"/>
                <w:sz w:val="16"/>
                <w:szCs w:val="16"/>
                <w:lang w:val="en-US" w:bidi="en-US"/>
              </w:rPr>
            </w:pPr>
          </w:p>
        </w:tc>
        <w:tc>
          <w:tcPr>
            <w:tcW w:w="2640"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1481FDB5" w14:textId="77777777" w:rsidR="00A54846" w:rsidRDefault="008A2731">
            <w:pPr>
              <w:widowControl w:val="0"/>
              <w:shd w:val="clear" w:color="auto" w:fill="auto"/>
              <w:spacing w:after="0" w:line="240" w:lineRule="auto"/>
              <w:jc w:val="left"/>
              <w:rPr>
                <w:rFonts w:ascii="Helvetica" w:eastAsia="Arial Unicode MS" w:hAnsi="Helvetica" w:cs="Arial Unicode MS"/>
                <w:i/>
                <w:color w:val="000000"/>
                <w:sz w:val="16"/>
                <w:szCs w:val="16"/>
              </w:rPr>
            </w:pPr>
            <w:r>
              <w:rPr>
                <w:rFonts w:ascii="Helvetica" w:hAnsi="Helvetica"/>
                <w:i/>
                <w:color w:val="000000"/>
                <w:sz w:val="16"/>
              </w:rPr>
              <w:t>Handelsportefølje*</w:t>
            </w:r>
          </w:p>
        </w:tc>
        <w:tc>
          <w:tcPr>
            <w:tcW w:w="530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9EEC0B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906"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7646D5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906"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22C3B7A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2928"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10" w:type="dxa"/>
            </w:tcMar>
          </w:tcPr>
          <w:p w14:paraId="4968CCE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r>
      <w:tr w:rsidR="00A54846" w14:paraId="7224C7E9" w14:textId="77777777">
        <w:tc>
          <w:tcPr>
            <w:tcW w:w="133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4AD3A03" w14:textId="77777777" w:rsidR="00A54846" w:rsidRDefault="00A54846">
            <w:pPr>
              <w:widowControl w:val="0"/>
              <w:shd w:val="clear" w:color="auto" w:fill="auto"/>
              <w:spacing w:after="0" w:line="240" w:lineRule="auto"/>
              <w:jc w:val="left"/>
              <w:rPr>
                <w:rFonts w:ascii="Helvetica" w:eastAsia="Arial Unicode MS" w:hAnsi="Helvetica" w:cs="Arial Unicode MS"/>
                <w:i/>
                <w:color w:val="000000"/>
                <w:sz w:val="16"/>
                <w:szCs w:val="16"/>
                <w:lang w:val="en-US" w:bidi="en-US"/>
              </w:rPr>
            </w:pPr>
          </w:p>
        </w:tc>
        <w:tc>
          <w:tcPr>
            <w:tcW w:w="2640"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14976347" w14:textId="77777777" w:rsidR="00A54846" w:rsidRDefault="008A2731">
            <w:pPr>
              <w:widowControl w:val="0"/>
              <w:shd w:val="clear" w:color="auto" w:fill="auto"/>
              <w:spacing w:after="0" w:line="240" w:lineRule="auto"/>
              <w:jc w:val="left"/>
              <w:rPr>
                <w:rFonts w:ascii="Helvetica" w:eastAsia="Arial Unicode MS" w:hAnsi="Helvetica" w:cs="Arial Unicode MS"/>
                <w:i/>
                <w:color w:val="000000"/>
                <w:sz w:val="16"/>
                <w:szCs w:val="16"/>
              </w:rPr>
            </w:pPr>
            <w:r>
              <w:rPr>
                <w:rFonts w:ascii="Helvetica" w:hAnsi="Helvetica"/>
                <w:i/>
                <w:color w:val="000000"/>
                <w:sz w:val="16"/>
              </w:rPr>
              <w:t>Finansielle garantier</w:t>
            </w:r>
          </w:p>
        </w:tc>
        <w:tc>
          <w:tcPr>
            <w:tcW w:w="530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0EC85AA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906"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749C96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906"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24C0320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2928"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10" w:type="dxa"/>
            </w:tcMar>
          </w:tcPr>
          <w:p w14:paraId="7C4B5C6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r>
      <w:tr w:rsidR="00A54846" w14:paraId="76D12856" w14:textId="77777777">
        <w:tc>
          <w:tcPr>
            <w:tcW w:w="133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08163673" w14:textId="77777777" w:rsidR="00A54846" w:rsidRDefault="00A54846">
            <w:pPr>
              <w:widowControl w:val="0"/>
              <w:shd w:val="clear" w:color="auto" w:fill="auto"/>
              <w:spacing w:after="0" w:line="240" w:lineRule="auto"/>
              <w:jc w:val="left"/>
              <w:rPr>
                <w:rFonts w:ascii="Helvetica" w:eastAsia="Arial Unicode MS" w:hAnsi="Helvetica" w:cs="Arial Unicode MS"/>
                <w:i/>
                <w:color w:val="000000"/>
                <w:sz w:val="16"/>
                <w:szCs w:val="16"/>
                <w:lang w:val="en-US" w:bidi="en-US"/>
              </w:rPr>
            </w:pPr>
          </w:p>
        </w:tc>
        <w:tc>
          <w:tcPr>
            <w:tcW w:w="2640"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5733968B" w14:textId="77777777" w:rsidR="00A54846" w:rsidRDefault="008A2731">
            <w:pPr>
              <w:widowControl w:val="0"/>
              <w:shd w:val="clear" w:color="auto" w:fill="auto"/>
              <w:spacing w:after="0" w:line="240" w:lineRule="auto"/>
              <w:jc w:val="left"/>
              <w:rPr>
                <w:rFonts w:ascii="Helvetica" w:eastAsia="Arial Unicode MS" w:hAnsi="Helvetica" w:cs="Arial Unicode MS"/>
                <w:i/>
                <w:color w:val="000000"/>
                <w:sz w:val="16"/>
                <w:szCs w:val="16"/>
              </w:rPr>
            </w:pPr>
            <w:r>
              <w:rPr>
                <w:rFonts w:ascii="Helvetica" w:hAnsi="Helvetica"/>
                <w:i/>
                <w:color w:val="000000"/>
                <w:sz w:val="16"/>
              </w:rPr>
              <w:t>Eiendeler under forvaltning</w:t>
            </w:r>
          </w:p>
        </w:tc>
        <w:tc>
          <w:tcPr>
            <w:tcW w:w="530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123383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906"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F31BC5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906"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62139F1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2928"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10" w:type="dxa"/>
            </w:tcMar>
          </w:tcPr>
          <w:p w14:paraId="25CAF97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r>
      <w:tr w:rsidR="00A54846" w14:paraId="0D1D7469" w14:textId="77777777">
        <w:tc>
          <w:tcPr>
            <w:tcW w:w="133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10570D7" w14:textId="77777777" w:rsidR="00A54846" w:rsidRDefault="00A54846">
            <w:pPr>
              <w:widowControl w:val="0"/>
              <w:shd w:val="clear" w:color="auto" w:fill="auto"/>
              <w:spacing w:after="0" w:line="240" w:lineRule="auto"/>
              <w:jc w:val="left"/>
              <w:rPr>
                <w:rFonts w:ascii="Helvetica" w:eastAsia="Arial Unicode MS" w:hAnsi="Helvetica" w:cs="Arial Unicode MS"/>
                <w:i/>
                <w:color w:val="000000"/>
                <w:sz w:val="16"/>
                <w:szCs w:val="16"/>
                <w:lang w:val="en-US" w:bidi="en-US"/>
              </w:rPr>
            </w:pPr>
          </w:p>
        </w:tc>
        <w:tc>
          <w:tcPr>
            <w:tcW w:w="2640"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hideMark/>
          </w:tcPr>
          <w:p w14:paraId="58C6BCD9" w14:textId="77777777" w:rsidR="00A54846" w:rsidRDefault="008A2731">
            <w:pPr>
              <w:widowControl w:val="0"/>
              <w:shd w:val="clear" w:color="auto" w:fill="auto"/>
              <w:spacing w:after="0" w:line="240" w:lineRule="auto"/>
              <w:jc w:val="left"/>
              <w:rPr>
                <w:rFonts w:ascii="Helvetica" w:eastAsia="Arial Unicode MS" w:hAnsi="Helvetica" w:cs="Arial Unicode MS"/>
                <w:i/>
                <w:color w:val="000000"/>
                <w:sz w:val="16"/>
                <w:szCs w:val="16"/>
              </w:rPr>
            </w:pPr>
            <w:r>
              <w:rPr>
                <w:rFonts w:ascii="Helvetica" w:hAnsi="Helvetica"/>
                <w:i/>
                <w:color w:val="000000"/>
                <w:sz w:val="16"/>
              </w:rPr>
              <w:t>Gebyr- og provisjonsinntekter**</w:t>
            </w:r>
          </w:p>
        </w:tc>
        <w:tc>
          <w:tcPr>
            <w:tcW w:w="53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B47BB6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906"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9EC5D5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906"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2BC4C78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c>
          <w:tcPr>
            <w:tcW w:w="2928" w:type="dxa"/>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10" w:type="dxa"/>
            </w:tcMar>
          </w:tcPr>
          <w:p w14:paraId="3727CE2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6"/>
                <w:szCs w:val="16"/>
                <w:lang w:val="en-US" w:bidi="en-US"/>
              </w:rPr>
            </w:pPr>
          </w:p>
        </w:tc>
      </w:tr>
      <w:tr w:rsidR="00A54846" w14:paraId="3F3CED93" w14:textId="77777777">
        <w:tc>
          <w:tcPr>
            <w:tcW w:w="14016" w:type="dxa"/>
            <w:gridSpan w:val="6"/>
            <w:tcBorders>
              <w:top w:val="single" w:sz="4" w:space="0" w:color="auto"/>
              <w:left w:val="nil"/>
              <w:bottom w:val="nil"/>
              <w:right w:val="nil"/>
            </w:tcBorders>
            <w:shd w:val="clear" w:color="auto" w:fill="FFFFFF"/>
            <w:tcMar>
              <w:top w:w="20" w:type="dxa"/>
              <w:left w:w="40" w:type="dxa"/>
              <w:bottom w:w="20" w:type="dxa"/>
              <w:right w:w="40" w:type="dxa"/>
            </w:tcMar>
            <w:vAlign w:val="bottom"/>
            <w:hideMark/>
          </w:tcPr>
          <w:p w14:paraId="3E078E60" w14:textId="77777777" w:rsidR="00A54846" w:rsidRDefault="008A2731">
            <w:pPr>
              <w:widowControl w:val="0"/>
              <w:shd w:val="clear" w:color="auto" w:fill="auto"/>
              <w:spacing w:before="300" w:after="100" w:line="240" w:lineRule="auto"/>
              <w:jc w:val="left"/>
              <w:rPr>
                <w:rFonts w:ascii="Helvetica" w:eastAsia="Arial Unicode MS" w:hAnsi="Helvetica" w:cs="Arial Unicode MS"/>
                <w:color w:val="000000"/>
                <w:sz w:val="14"/>
                <w:szCs w:val="16"/>
              </w:rPr>
            </w:pPr>
            <w:r>
              <w:rPr>
                <w:rFonts w:ascii="Helvetica" w:hAnsi="Helvetica"/>
                <w:color w:val="000000"/>
                <w:sz w:val="14"/>
              </w:rPr>
              <w:t>* For kredittinstitusjoner som ikke oppfyller vilkårene i artikkel 94 nr. 1 i CRR-forordningen eller vilkårene fastsatt i artikkel 325a nr. 1 i samme forordning</w:t>
            </w:r>
          </w:p>
          <w:p w14:paraId="42EDD57D" w14:textId="77777777" w:rsidR="00A54846" w:rsidRDefault="008A2731">
            <w:pPr>
              <w:widowControl w:val="0"/>
              <w:shd w:val="clear" w:color="auto" w:fill="auto"/>
              <w:spacing w:after="100" w:line="240" w:lineRule="auto"/>
              <w:jc w:val="left"/>
              <w:rPr>
                <w:rFonts w:ascii="Helvetica" w:eastAsia="Arial Unicode MS" w:hAnsi="Helvetica" w:cs="Arial Unicode MS"/>
                <w:color w:val="000000"/>
                <w:sz w:val="14"/>
                <w:szCs w:val="16"/>
              </w:rPr>
            </w:pPr>
            <w:r>
              <w:rPr>
                <w:rFonts w:ascii="Helvetica" w:hAnsi="Helvetica"/>
                <w:color w:val="000000"/>
                <w:sz w:val="14"/>
              </w:rPr>
              <w:t>** Gebyr- og provisjonsinntekter fra andre tjenester enn utlån og eiendeler under forvaltning</w:t>
            </w:r>
          </w:p>
          <w:p w14:paraId="3923E35E" w14:textId="77777777" w:rsidR="00A54846" w:rsidRDefault="008A2731">
            <w:pPr>
              <w:widowControl w:val="0"/>
              <w:shd w:val="clear" w:color="auto" w:fill="auto"/>
              <w:spacing w:after="100" w:line="240" w:lineRule="auto"/>
              <w:jc w:val="left"/>
              <w:rPr>
                <w:rFonts w:ascii="Helvetica" w:eastAsia="Arial Unicode MS" w:hAnsi="Helvetica" w:cs="Arial Unicode MS"/>
                <w:color w:val="000000"/>
                <w:sz w:val="14"/>
                <w:szCs w:val="16"/>
              </w:rPr>
            </w:pPr>
            <w:r>
              <w:rPr>
                <w:rFonts w:ascii="Helvetica" w:hAnsi="Helvetica"/>
                <w:color w:val="000000"/>
                <w:sz w:val="14"/>
              </w:rPr>
              <w:t>Institusjoner skal legge fram framoverskuende opplysninger for denne KPI-en, herunder opplysninger om mål, sammen med relevante redegjørelser for metodene som er brukt.</w:t>
            </w:r>
          </w:p>
          <w:p w14:paraId="30D66783" w14:textId="77777777" w:rsidR="00A54846" w:rsidRDefault="008A2731">
            <w:pPr>
              <w:widowControl w:val="0"/>
              <w:shd w:val="clear" w:color="auto" w:fill="auto"/>
              <w:spacing w:after="100" w:line="240" w:lineRule="auto"/>
              <w:jc w:val="left"/>
              <w:rPr>
                <w:rFonts w:ascii="Helvetica" w:eastAsia="Arial Unicode MS" w:hAnsi="Helvetica" w:cs="Arial Unicode MS"/>
                <w:color w:val="000000"/>
                <w:sz w:val="14"/>
                <w:szCs w:val="16"/>
              </w:rPr>
            </w:pPr>
            <w:r>
              <w:rPr>
                <w:rFonts w:ascii="Helvetica" w:hAnsi="Helvetica"/>
                <w:color w:val="000000"/>
                <w:sz w:val="14"/>
              </w:rPr>
              <w:t>*** % av eiendelene som dekkes av KPI-en, av bankens samlede eiendeler</w:t>
            </w:r>
          </w:p>
          <w:p w14:paraId="2C4DE8AE" w14:textId="77777777" w:rsidR="00A54846" w:rsidRDefault="008A2731">
            <w:pPr>
              <w:widowControl w:val="0"/>
              <w:shd w:val="clear" w:color="auto" w:fill="auto"/>
              <w:spacing w:after="100" w:line="240" w:lineRule="auto"/>
              <w:jc w:val="left"/>
              <w:rPr>
                <w:rFonts w:ascii="Helvetica" w:eastAsia="Arial Unicode MS" w:hAnsi="Helvetica" w:cs="Arial Unicode MS"/>
                <w:color w:val="000000"/>
                <w:sz w:val="14"/>
                <w:szCs w:val="16"/>
              </w:rPr>
            </w:pPr>
            <w:r>
              <w:rPr>
                <w:rFonts w:ascii="Helvetica" w:hAnsi="Helvetica"/>
                <w:color w:val="000000"/>
                <w:sz w:val="14"/>
              </w:rPr>
              <w:t>**** basert på motpartens KPI for omsetning</w:t>
            </w:r>
          </w:p>
          <w:p w14:paraId="43E417C1" w14:textId="77777777" w:rsidR="00A54846" w:rsidRDefault="008A2731">
            <w:pPr>
              <w:widowControl w:val="0"/>
              <w:shd w:val="clear" w:color="auto" w:fill="auto"/>
              <w:spacing w:after="100" w:line="240" w:lineRule="auto"/>
              <w:jc w:val="left"/>
              <w:rPr>
                <w:rFonts w:ascii="Helvetica" w:eastAsia="Arial Unicode MS" w:hAnsi="Helvetica" w:cs="Arial Unicode MS"/>
                <w:color w:val="000000"/>
                <w:sz w:val="14"/>
                <w:szCs w:val="16"/>
              </w:rPr>
            </w:pPr>
            <w:r>
              <w:rPr>
                <w:rFonts w:ascii="Helvetica" w:hAnsi="Helvetica"/>
                <w:color w:val="000000"/>
                <w:sz w:val="14"/>
              </w:rPr>
              <w:t>***** basert på motpartens KPI for investeringsutgifter, med unntak av utlånsaktiviteter, der KPI-en for omsetning for generelle lån skal legges til grunn</w:t>
            </w:r>
          </w:p>
          <w:p w14:paraId="207017F7" w14:textId="77777777" w:rsidR="00A54846" w:rsidRDefault="008A2731">
            <w:pPr>
              <w:widowControl w:val="0"/>
              <w:shd w:val="clear" w:color="auto" w:fill="auto"/>
              <w:spacing w:after="100" w:line="240" w:lineRule="auto"/>
              <w:jc w:val="left"/>
              <w:rPr>
                <w:rFonts w:ascii="Helvetica" w:eastAsia="Arial Unicode MS" w:hAnsi="Helvetica" w:cs="Arial Unicode MS"/>
                <w:b/>
                <w:color w:val="000000"/>
                <w:sz w:val="14"/>
                <w:szCs w:val="16"/>
              </w:rPr>
            </w:pPr>
            <w:r>
              <w:rPr>
                <w:rFonts w:ascii="Helvetica" w:hAnsi="Helvetica"/>
                <w:b/>
                <w:color w:val="000000"/>
                <w:sz w:val="14"/>
              </w:rPr>
              <w:t>Merknad 1: For alle rapporteringsmaler: Svarte felt skal ikke fylles ut.</w:t>
            </w:r>
          </w:p>
          <w:p w14:paraId="075411D6"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4"/>
                <w:szCs w:val="16"/>
              </w:rPr>
            </w:pPr>
            <w:r>
              <w:rPr>
                <w:rFonts w:ascii="Helvetica" w:hAnsi="Helvetica"/>
                <w:b/>
                <w:color w:val="000000"/>
                <w:sz w:val="14"/>
              </w:rPr>
              <w:t>Merknad 2: KPI for gebyrer og provisjoner (ark 6) og handelsportefølje (ark 7) skal ikke legges fram før i 2026. SMB-er skal bare tas med i denne KPI-en dersom resultatet av konsekvensanalysen er positivt.</w:t>
            </w:r>
          </w:p>
        </w:tc>
      </w:tr>
    </w:tbl>
    <w:p w14:paraId="1F72E809" w14:textId="77777777" w:rsidR="00A54846" w:rsidRDefault="008A2731">
      <w:pPr>
        <w:pStyle w:val="Para"/>
        <w:spacing w:line="240" w:lineRule="auto"/>
        <w:jc w:val="left"/>
      </w:pPr>
      <w:r>
        <w:br w:type="page"/>
      </w:r>
    </w:p>
    <w:p w14:paraId="163C6DA0" w14:textId="77777777" w:rsidR="00A54846" w:rsidRDefault="008A2731">
      <w:pPr>
        <w:pStyle w:val="AnnexNumberedText"/>
        <w:ind w:left="279" w:hanging="279"/>
      </w:pPr>
      <w:r>
        <w:lastRenderedPageBreak/>
        <w:t>1.</w:t>
      </w:r>
      <w:r>
        <w:rPr>
          <w:b/>
        </w:rPr>
        <w:tab/>
        <w:t>Eiendeler som inngår i beregningen av GAR</w:t>
      </w:r>
    </w:p>
    <w:tbl>
      <w:tblPr>
        <w:tblOverlap w:val="never"/>
        <w:tblW w:w="0" w:type="auto"/>
        <w:tblInd w:w="316" w:type="dxa"/>
        <w:tblLayout w:type="fixed"/>
        <w:tblCellMar>
          <w:left w:w="10" w:type="dxa"/>
          <w:right w:w="10" w:type="dxa"/>
        </w:tblCellMar>
        <w:tblLook w:val="04A0" w:firstRow="1" w:lastRow="0" w:firstColumn="1" w:lastColumn="0" w:noHBand="0" w:noVBand="1"/>
      </w:tblPr>
      <w:tblGrid>
        <w:gridCol w:w="756"/>
        <w:gridCol w:w="1957"/>
        <w:gridCol w:w="417"/>
        <w:gridCol w:w="1"/>
        <w:gridCol w:w="5"/>
        <w:gridCol w:w="253"/>
        <w:gridCol w:w="4"/>
        <w:gridCol w:w="29"/>
        <w:gridCol w:w="296"/>
        <w:gridCol w:w="4"/>
        <w:gridCol w:w="420"/>
        <w:gridCol w:w="7"/>
        <w:gridCol w:w="383"/>
        <w:gridCol w:w="10"/>
        <w:gridCol w:w="478"/>
        <w:gridCol w:w="7"/>
        <w:gridCol w:w="12"/>
        <w:gridCol w:w="225"/>
        <w:gridCol w:w="15"/>
        <w:gridCol w:w="7"/>
        <w:gridCol w:w="9"/>
        <w:gridCol w:w="264"/>
        <w:gridCol w:w="7"/>
        <w:gridCol w:w="3"/>
        <w:gridCol w:w="373"/>
        <w:gridCol w:w="14"/>
        <w:gridCol w:w="364"/>
        <w:gridCol w:w="14"/>
        <w:gridCol w:w="317"/>
        <w:gridCol w:w="16"/>
        <w:gridCol w:w="251"/>
        <w:gridCol w:w="16"/>
        <w:gridCol w:w="6"/>
        <w:gridCol w:w="247"/>
        <w:gridCol w:w="8"/>
        <w:gridCol w:w="13"/>
        <w:gridCol w:w="394"/>
        <w:gridCol w:w="21"/>
        <w:gridCol w:w="406"/>
        <w:gridCol w:w="21"/>
        <w:gridCol w:w="305"/>
        <w:gridCol w:w="24"/>
        <w:gridCol w:w="329"/>
        <w:gridCol w:w="7"/>
        <w:gridCol w:w="17"/>
        <w:gridCol w:w="7"/>
        <w:gridCol w:w="242"/>
        <w:gridCol w:w="24"/>
        <w:gridCol w:w="7"/>
        <w:gridCol w:w="294"/>
        <w:gridCol w:w="12"/>
        <w:gridCol w:w="24"/>
        <w:gridCol w:w="11"/>
        <w:gridCol w:w="361"/>
        <w:gridCol w:w="7"/>
        <w:gridCol w:w="11"/>
        <w:gridCol w:w="11"/>
        <w:gridCol w:w="359"/>
        <w:gridCol w:w="9"/>
        <w:gridCol w:w="23"/>
        <w:gridCol w:w="309"/>
        <w:gridCol w:w="29"/>
        <w:gridCol w:w="230"/>
        <w:gridCol w:w="8"/>
        <w:gridCol w:w="21"/>
        <w:gridCol w:w="8"/>
        <w:gridCol w:w="301"/>
        <w:gridCol w:w="11"/>
        <w:gridCol w:w="18"/>
        <w:gridCol w:w="388"/>
        <w:gridCol w:w="29"/>
        <w:gridCol w:w="346"/>
        <w:gridCol w:w="6"/>
        <w:gridCol w:w="35"/>
        <w:gridCol w:w="331"/>
        <w:gridCol w:w="240"/>
        <w:gridCol w:w="460"/>
        <w:gridCol w:w="19"/>
        <w:gridCol w:w="17"/>
        <w:gridCol w:w="12"/>
        <w:gridCol w:w="324"/>
        <w:gridCol w:w="6"/>
        <w:gridCol w:w="23"/>
        <w:gridCol w:w="13"/>
        <w:gridCol w:w="389"/>
        <w:gridCol w:w="39"/>
        <w:gridCol w:w="306"/>
      </w:tblGrid>
      <w:tr w:rsidR="00A54846" w14:paraId="5D825C5E" w14:textId="77777777">
        <w:trPr>
          <w:trHeight w:val="75"/>
        </w:trPr>
        <w:tc>
          <w:tcPr>
            <w:tcW w:w="2713" w:type="dxa"/>
            <w:gridSpan w:val="2"/>
            <w:shd w:val="clear" w:color="auto" w:fill="FFFFFF"/>
            <w:tcMar>
              <w:top w:w="10" w:type="dxa"/>
              <w:left w:w="40" w:type="dxa"/>
              <w:bottom w:w="10" w:type="dxa"/>
              <w:right w:w="40" w:type="dxa"/>
            </w:tcMar>
          </w:tcPr>
          <w:p w14:paraId="27464A2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3" w:type="dxa"/>
            <w:gridSpan w:val="3"/>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vAlign w:val="bottom"/>
            <w:hideMark/>
          </w:tcPr>
          <w:p w14:paraId="4E966D8A"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w:t>
            </w:r>
          </w:p>
        </w:tc>
        <w:tc>
          <w:tcPr>
            <w:tcW w:w="286" w:type="dxa"/>
            <w:gridSpan w:val="3"/>
            <w:tcBorders>
              <w:top w:val="single" w:sz="4" w:space="0" w:color="auto"/>
              <w:left w:val="single" w:sz="4" w:space="0" w:color="auto"/>
              <w:bottom w:val="nil"/>
              <w:right w:val="single" w:sz="4" w:space="0" w:color="auto"/>
            </w:tcBorders>
            <w:shd w:val="clear" w:color="auto" w:fill="FFFFFF"/>
            <w:vAlign w:val="bottom"/>
            <w:hideMark/>
          </w:tcPr>
          <w:p w14:paraId="7BF51EA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b</w:t>
            </w:r>
          </w:p>
        </w:tc>
        <w:tc>
          <w:tcPr>
            <w:tcW w:w="296" w:type="dxa"/>
            <w:tcBorders>
              <w:top w:val="single" w:sz="4" w:space="0" w:color="auto"/>
              <w:left w:val="single" w:sz="4" w:space="0" w:color="auto"/>
              <w:bottom w:val="nil"/>
              <w:right w:val="single" w:sz="4" w:space="0" w:color="auto"/>
            </w:tcBorders>
            <w:shd w:val="clear" w:color="auto" w:fill="FFFFFF"/>
            <w:vAlign w:val="bottom"/>
            <w:hideMark/>
          </w:tcPr>
          <w:p w14:paraId="05A5A624"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c</w:t>
            </w:r>
          </w:p>
        </w:tc>
        <w:tc>
          <w:tcPr>
            <w:tcW w:w="424" w:type="dxa"/>
            <w:gridSpan w:val="2"/>
            <w:tcBorders>
              <w:top w:val="single" w:sz="4" w:space="0" w:color="auto"/>
              <w:left w:val="single" w:sz="4" w:space="0" w:color="auto"/>
              <w:bottom w:val="nil"/>
              <w:right w:val="single" w:sz="4" w:space="0" w:color="auto"/>
            </w:tcBorders>
            <w:shd w:val="clear" w:color="auto" w:fill="FFFFFF"/>
            <w:vAlign w:val="bottom"/>
            <w:hideMark/>
          </w:tcPr>
          <w:p w14:paraId="3EE372D8"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d</w:t>
            </w:r>
          </w:p>
        </w:tc>
        <w:tc>
          <w:tcPr>
            <w:tcW w:w="390" w:type="dxa"/>
            <w:gridSpan w:val="2"/>
            <w:tcBorders>
              <w:top w:val="single" w:sz="4" w:space="0" w:color="auto"/>
              <w:left w:val="single" w:sz="4" w:space="0" w:color="auto"/>
              <w:bottom w:val="nil"/>
              <w:right w:val="single" w:sz="4" w:space="0" w:color="auto"/>
            </w:tcBorders>
            <w:shd w:val="clear" w:color="auto" w:fill="FFFFFF"/>
            <w:vAlign w:val="bottom"/>
            <w:hideMark/>
          </w:tcPr>
          <w:p w14:paraId="36B9920D"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e</w:t>
            </w:r>
          </w:p>
        </w:tc>
        <w:tc>
          <w:tcPr>
            <w:tcW w:w="488" w:type="dxa"/>
            <w:gridSpan w:val="2"/>
            <w:tcBorders>
              <w:top w:val="single" w:sz="4" w:space="0" w:color="auto"/>
              <w:left w:val="single" w:sz="4" w:space="0" w:color="auto"/>
              <w:bottom w:val="nil"/>
              <w:right w:val="single" w:sz="4" w:space="0" w:color="auto"/>
            </w:tcBorders>
            <w:shd w:val="clear" w:color="auto" w:fill="FFFFFF"/>
            <w:vAlign w:val="bottom"/>
            <w:hideMark/>
          </w:tcPr>
          <w:p w14:paraId="0824BE70"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f</w:t>
            </w:r>
          </w:p>
        </w:tc>
        <w:tc>
          <w:tcPr>
            <w:tcW w:w="244" w:type="dxa"/>
            <w:gridSpan w:val="3"/>
            <w:tcBorders>
              <w:top w:val="single" w:sz="4" w:space="0" w:color="auto"/>
              <w:left w:val="single" w:sz="4" w:space="0" w:color="auto"/>
              <w:bottom w:val="nil"/>
              <w:right w:val="single" w:sz="4" w:space="0" w:color="auto"/>
            </w:tcBorders>
            <w:shd w:val="clear" w:color="auto" w:fill="FFFFFF"/>
            <w:vAlign w:val="bottom"/>
            <w:hideMark/>
          </w:tcPr>
          <w:p w14:paraId="04AA8DA2"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g</w:t>
            </w:r>
          </w:p>
        </w:tc>
        <w:tc>
          <w:tcPr>
            <w:tcW w:w="305" w:type="dxa"/>
            <w:gridSpan w:val="6"/>
            <w:tcBorders>
              <w:top w:val="single" w:sz="4" w:space="0" w:color="auto"/>
              <w:left w:val="single" w:sz="4" w:space="0" w:color="auto"/>
              <w:bottom w:val="nil"/>
              <w:right w:val="single" w:sz="4" w:space="0" w:color="auto"/>
            </w:tcBorders>
            <w:shd w:val="clear" w:color="auto" w:fill="FFFFFF"/>
            <w:vAlign w:val="bottom"/>
            <w:hideMark/>
          </w:tcPr>
          <w:p w14:paraId="1E08232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w:t>
            </w:r>
          </w:p>
        </w:tc>
        <w:tc>
          <w:tcPr>
            <w:tcW w:w="373" w:type="dxa"/>
            <w:tcBorders>
              <w:top w:val="single" w:sz="4" w:space="0" w:color="auto"/>
              <w:left w:val="single" w:sz="4" w:space="0" w:color="auto"/>
              <w:bottom w:val="nil"/>
              <w:right w:val="single" w:sz="4" w:space="0" w:color="auto"/>
            </w:tcBorders>
            <w:shd w:val="clear" w:color="auto" w:fill="FFFFFF"/>
            <w:vAlign w:val="bottom"/>
            <w:hideMark/>
          </w:tcPr>
          <w:p w14:paraId="39390B1F" w14:textId="2EFBB6DC" w:rsidR="00A54846" w:rsidRDefault="005B4732">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I</w:t>
            </w:r>
          </w:p>
        </w:tc>
        <w:tc>
          <w:tcPr>
            <w:tcW w:w="378" w:type="dxa"/>
            <w:gridSpan w:val="2"/>
            <w:tcBorders>
              <w:top w:val="single" w:sz="4" w:space="0" w:color="auto"/>
              <w:left w:val="single" w:sz="4" w:space="0" w:color="auto"/>
              <w:bottom w:val="nil"/>
              <w:right w:val="single" w:sz="4" w:space="0" w:color="auto"/>
            </w:tcBorders>
            <w:shd w:val="clear" w:color="auto" w:fill="FFFFFF"/>
            <w:vAlign w:val="bottom"/>
            <w:hideMark/>
          </w:tcPr>
          <w:p w14:paraId="5C6C8571"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j</w:t>
            </w:r>
          </w:p>
        </w:tc>
        <w:tc>
          <w:tcPr>
            <w:tcW w:w="331" w:type="dxa"/>
            <w:gridSpan w:val="2"/>
            <w:tcBorders>
              <w:top w:val="single" w:sz="4" w:space="0" w:color="auto"/>
              <w:left w:val="single" w:sz="4" w:space="0" w:color="auto"/>
              <w:bottom w:val="nil"/>
              <w:right w:val="single" w:sz="4" w:space="0" w:color="auto"/>
            </w:tcBorders>
            <w:shd w:val="clear" w:color="auto" w:fill="FFFFFF"/>
            <w:vAlign w:val="bottom"/>
            <w:hideMark/>
          </w:tcPr>
          <w:p w14:paraId="4A483071"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k</w:t>
            </w:r>
          </w:p>
        </w:tc>
        <w:tc>
          <w:tcPr>
            <w:tcW w:w="267" w:type="dxa"/>
            <w:gridSpan w:val="2"/>
            <w:tcBorders>
              <w:top w:val="single" w:sz="4" w:space="0" w:color="auto"/>
              <w:left w:val="single" w:sz="4" w:space="0" w:color="auto"/>
              <w:bottom w:val="nil"/>
              <w:right w:val="single" w:sz="4" w:space="0" w:color="auto"/>
            </w:tcBorders>
            <w:shd w:val="clear" w:color="auto" w:fill="FFFFFF"/>
            <w:vAlign w:val="bottom"/>
            <w:hideMark/>
          </w:tcPr>
          <w:p w14:paraId="4E774A93"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l</w:t>
            </w:r>
          </w:p>
        </w:tc>
        <w:tc>
          <w:tcPr>
            <w:tcW w:w="277" w:type="dxa"/>
            <w:gridSpan w:val="4"/>
            <w:tcBorders>
              <w:top w:val="single" w:sz="4" w:space="0" w:color="auto"/>
              <w:left w:val="single" w:sz="4" w:space="0" w:color="auto"/>
              <w:bottom w:val="nil"/>
              <w:right w:val="single" w:sz="4" w:space="0" w:color="auto"/>
            </w:tcBorders>
            <w:shd w:val="clear" w:color="auto" w:fill="FFFFFF"/>
            <w:vAlign w:val="bottom"/>
            <w:hideMark/>
          </w:tcPr>
          <w:p w14:paraId="5174B5FA"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m</w:t>
            </w:r>
          </w:p>
        </w:tc>
        <w:tc>
          <w:tcPr>
            <w:tcW w:w="407" w:type="dxa"/>
            <w:gridSpan w:val="2"/>
            <w:tcBorders>
              <w:top w:val="single" w:sz="4" w:space="0" w:color="auto"/>
              <w:left w:val="single" w:sz="4" w:space="0" w:color="auto"/>
              <w:bottom w:val="nil"/>
              <w:right w:val="single" w:sz="4" w:space="0" w:color="auto"/>
            </w:tcBorders>
            <w:shd w:val="clear" w:color="auto" w:fill="FFFFFF"/>
            <w:vAlign w:val="bottom"/>
            <w:hideMark/>
          </w:tcPr>
          <w:p w14:paraId="05762A17"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n</w:t>
            </w:r>
          </w:p>
        </w:tc>
        <w:tc>
          <w:tcPr>
            <w:tcW w:w="427" w:type="dxa"/>
            <w:gridSpan w:val="2"/>
            <w:tcBorders>
              <w:top w:val="single" w:sz="4" w:space="0" w:color="auto"/>
              <w:left w:val="single" w:sz="4" w:space="0" w:color="auto"/>
              <w:bottom w:val="nil"/>
              <w:right w:val="single" w:sz="4" w:space="0" w:color="auto"/>
            </w:tcBorders>
            <w:shd w:val="clear" w:color="auto" w:fill="FFFFFF"/>
            <w:vAlign w:val="bottom"/>
            <w:hideMark/>
          </w:tcPr>
          <w:p w14:paraId="213967E9"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o</w:t>
            </w:r>
          </w:p>
        </w:tc>
        <w:tc>
          <w:tcPr>
            <w:tcW w:w="326" w:type="dxa"/>
            <w:gridSpan w:val="2"/>
            <w:tcBorders>
              <w:top w:val="single" w:sz="4" w:space="0" w:color="auto"/>
              <w:left w:val="single" w:sz="4" w:space="0" w:color="auto"/>
              <w:bottom w:val="nil"/>
              <w:right w:val="single" w:sz="4" w:space="0" w:color="auto"/>
            </w:tcBorders>
            <w:shd w:val="clear" w:color="auto" w:fill="FFFFFF"/>
            <w:vAlign w:val="bottom"/>
            <w:hideMark/>
          </w:tcPr>
          <w:p w14:paraId="325407EC"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p</w:t>
            </w:r>
          </w:p>
        </w:tc>
        <w:tc>
          <w:tcPr>
            <w:tcW w:w="353" w:type="dxa"/>
            <w:gridSpan w:val="2"/>
            <w:tcBorders>
              <w:top w:val="single" w:sz="4" w:space="0" w:color="auto"/>
              <w:left w:val="single" w:sz="4" w:space="0" w:color="auto"/>
              <w:bottom w:val="nil"/>
              <w:right w:val="single" w:sz="4" w:space="0" w:color="auto"/>
            </w:tcBorders>
            <w:shd w:val="clear" w:color="auto" w:fill="FFFFFF"/>
            <w:vAlign w:val="bottom"/>
            <w:hideMark/>
          </w:tcPr>
          <w:p w14:paraId="5CC0BE00"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q</w:t>
            </w:r>
          </w:p>
        </w:tc>
        <w:tc>
          <w:tcPr>
            <w:tcW w:w="273" w:type="dxa"/>
            <w:gridSpan w:val="4"/>
            <w:tcBorders>
              <w:top w:val="single" w:sz="4" w:space="0" w:color="auto"/>
              <w:left w:val="single" w:sz="4" w:space="0" w:color="auto"/>
              <w:bottom w:val="nil"/>
              <w:right w:val="single" w:sz="4" w:space="0" w:color="auto"/>
            </w:tcBorders>
            <w:shd w:val="clear" w:color="auto" w:fill="FFFFFF"/>
            <w:vAlign w:val="bottom"/>
            <w:hideMark/>
          </w:tcPr>
          <w:p w14:paraId="6945FAF6"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r</w:t>
            </w:r>
          </w:p>
        </w:tc>
        <w:tc>
          <w:tcPr>
            <w:tcW w:w="325" w:type="dxa"/>
            <w:gridSpan w:val="3"/>
            <w:tcBorders>
              <w:top w:val="single" w:sz="4" w:space="0" w:color="auto"/>
              <w:left w:val="single" w:sz="4" w:space="0" w:color="auto"/>
              <w:bottom w:val="nil"/>
              <w:right w:val="single" w:sz="4" w:space="0" w:color="auto"/>
            </w:tcBorders>
            <w:shd w:val="clear" w:color="auto" w:fill="FFFFFF"/>
            <w:vAlign w:val="bottom"/>
            <w:hideMark/>
          </w:tcPr>
          <w:p w14:paraId="3CB99DF6"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s</w:t>
            </w:r>
          </w:p>
        </w:tc>
        <w:tc>
          <w:tcPr>
            <w:tcW w:w="415" w:type="dxa"/>
            <w:gridSpan w:val="5"/>
            <w:tcBorders>
              <w:top w:val="single" w:sz="4" w:space="0" w:color="auto"/>
              <w:left w:val="single" w:sz="4" w:space="0" w:color="auto"/>
              <w:bottom w:val="nil"/>
              <w:right w:val="single" w:sz="4" w:space="0" w:color="auto"/>
            </w:tcBorders>
            <w:shd w:val="clear" w:color="auto" w:fill="FFFFFF"/>
            <w:vAlign w:val="bottom"/>
            <w:hideMark/>
          </w:tcPr>
          <w:p w14:paraId="37EDC41A"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t</w:t>
            </w:r>
          </w:p>
        </w:tc>
        <w:tc>
          <w:tcPr>
            <w:tcW w:w="390" w:type="dxa"/>
            <w:gridSpan w:val="4"/>
            <w:tcBorders>
              <w:top w:val="single" w:sz="4" w:space="0" w:color="auto"/>
              <w:left w:val="single" w:sz="4" w:space="0" w:color="auto"/>
              <w:bottom w:val="nil"/>
              <w:right w:val="single" w:sz="4" w:space="0" w:color="auto"/>
            </w:tcBorders>
            <w:shd w:val="clear" w:color="auto" w:fill="FFFFFF"/>
            <w:vAlign w:val="bottom"/>
            <w:hideMark/>
          </w:tcPr>
          <w:p w14:paraId="3788FC34"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u</w:t>
            </w:r>
          </w:p>
        </w:tc>
        <w:tc>
          <w:tcPr>
            <w:tcW w:w="332" w:type="dxa"/>
            <w:gridSpan w:val="2"/>
            <w:tcBorders>
              <w:top w:val="single" w:sz="4" w:space="0" w:color="auto"/>
              <w:left w:val="single" w:sz="4" w:space="0" w:color="auto"/>
              <w:bottom w:val="nil"/>
              <w:right w:val="single" w:sz="4" w:space="0" w:color="auto"/>
            </w:tcBorders>
            <w:shd w:val="clear" w:color="auto" w:fill="FFFFFF"/>
            <w:vAlign w:val="bottom"/>
            <w:hideMark/>
          </w:tcPr>
          <w:p w14:paraId="1D4019CE"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v</w:t>
            </w:r>
          </w:p>
        </w:tc>
        <w:tc>
          <w:tcPr>
            <w:tcW w:w="267" w:type="dxa"/>
            <w:gridSpan w:val="3"/>
            <w:tcBorders>
              <w:top w:val="single" w:sz="4" w:space="0" w:color="auto"/>
              <w:left w:val="single" w:sz="4" w:space="0" w:color="auto"/>
              <w:bottom w:val="nil"/>
              <w:right w:val="single" w:sz="4" w:space="0" w:color="auto"/>
            </w:tcBorders>
            <w:shd w:val="clear" w:color="auto" w:fill="FFFFFF"/>
            <w:vAlign w:val="bottom"/>
            <w:hideMark/>
          </w:tcPr>
          <w:p w14:paraId="3F2AAF2E"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w</w:t>
            </w:r>
          </w:p>
        </w:tc>
        <w:tc>
          <w:tcPr>
            <w:tcW w:w="341" w:type="dxa"/>
            <w:gridSpan w:val="4"/>
            <w:tcBorders>
              <w:top w:val="single" w:sz="4" w:space="0" w:color="auto"/>
              <w:left w:val="single" w:sz="4" w:space="0" w:color="auto"/>
              <w:bottom w:val="nil"/>
              <w:right w:val="single" w:sz="4" w:space="0" w:color="auto"/>
            </w:tcBorders>
            <w:shd w:val="clear" w:color="auto" w:fill="FFFFFF"/>
            <w:vAlign w:val="bottom"/>
            <w:hideMark/>
          </w:tcPr>
          <w:p w14:paraId="638F4C27"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x</w:t>
            </w:r>
          </w:p>
        </w:tc>
        <w:tc>
          <w:tcPr>
            <w:tcW w:w="406" w:type="dxa"/>
            <w:gridSpan w:val="2"/>
            <w:tcBorders>
              <w:top w:val="single" w:sz="4" w:space="0" w:color="auto"/>
              <w:left w:val="single" w:sz="4" w:space="0" w:color="auto"/>
              <w:bottom w:val="nil"/>
              <w:right w:val="single" w:sz="4" w:space="0" w:color="auto"/>
            </w:tcBorders>
            <w:shd w:val="clear" w:color="auto" w:fill="FFFFFF"/>
            <w:vAlign w:val="bottom"/>
            <w:hideMark/>
          </w:tcPr>
          <w:p w14:paraId="0B696936"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y</w:t>
            </w:r>
          </w:p>
        </w:tc>
        <w:tc>
          <w:tcPr>
            <w:tcW w:w="375" w:type="dxa"/>
            <w:gridSpan w:val="2"/>
            <w:tcBorders>
              <w:top w:val="single" w:sz="4" w:space="0" w:color="auto"/>
              <w:left w:val="single" w:sz="4" w:space="0" w:color="auto"/>
              <w:bottom w:val="nil"/>
              <w:right w:val="single" w:sz="4" w:space="0" w:color="auto"/>
            </w:tcBorders>
            <w:shd w:val="clear" w:color="auto" w:fill="FFFFFF"/>
            <w:vAlign w:val="bottom"/>
            <w:hideMark/>
          </w:tcPr>
          <w:p w14:paraId="65F5E573"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z</w:t>
            </w:r>
          </w:p>
        </w:tc>
        <w:tc>
          <w:tcPr>
            <w:tcW w:w="372" w:type="dxa"/>
            <w:gridSpan w:val="3"/>
            <w:tcBorders>
              <w:top w:val="single" w:sz="4" w:space="0" w:color="auto"/>
              <w:left w:val="single" w:sz="4" w:space="0" w:color="auto"/>
              <w:bottom w:val="nil"/>
              <w:right w:val="single" w:sz="4" w:space="0" w:color="auto"/>
            </w:tcBorders>
            <w:shd w:val="clear" w:color="auto" w:fill="FFFFFF"/>
            <w:vAlign w:val="bottom"/>
            <w:hideMark/>
          </w:tcPr>
          <w:p w14:paraId="25706CC2"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aa</w:t>
            </w:r>
          </w:p>
        </w:tc>
        <w:tc>
          <w:tcPr>
            <w:tcW w:w="240" w:type="dxa"/>
            <w:tcBorders>
              <w:top w:val="single" w:sz="4" w:space="0" w:color="auto"/>
              <w:left w:val="single" w:sz="4" w:space="0" w:color="auto"/>
              <w:bottom w:val="nil"/>
              <w:right w:val="single" w:sz="4" w:space="0" w:color="auto"/>
            </w:tcBorders>
            <w:shd w:val="clear" w:color="auto" w:fill="FFFFFF"/>
            <w:vAlign w:val="bottom"/>
            <w:hideMark/>
          </w:tcPr>
          <w:p w14:paraId="65090B3E"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ab</w:t>
            </w:r>
          </w:p>
        </w:tc>
        <w:tc>
          <w:tcPr>
            <w:tcW w:w="479" w:type="dxa"/>
            <w:gridSpan w:val="2"/>
            <w:tcBorders>
              <w:top w:val="single" w:sz="4" w:space="0" w:color="auto"/>
              <w:left w:val="single" w:sz="4" w:space="0" w:color="auto"/>
              <w:bottom w:val="nil"/>
              <w:right w:val="single" w:sz="4" w:space="0" w:color="auto"/>
            </w:tcBorders>
            <w:shd w:val="clear" w:color="auto" w:fill="FFFFFF"/>
            <w:vAlign w:val="bottom"/>
            <w:hideMark/>
          </w:tcPr>
          <w:p w14:paraId="27012F47"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ac</w:t>
            </w:r>
          </w:p>
        </w:tc>
        <w:tc>
          <w:tcPr>
            <w:tcW w:w="353" w:type="dxa"/>
            <w:gridSpan w:val="3"/>
            <w:tcBorders>
              <w:top w:val="single" w:sz="4" w:space="0" w:color="auto"/>
              <w:left w:val="single" w:sz="4" w:space="0" w:color="auto"/>
              <w:bottom w:val="nil"/>
              <w:right w:val="single" w:sz="4" w:space="0" w:color="auto"/>
            </w:tcBorders>
            <w:shd w:val="clear" w:color="auto" w:fill="FFFFFF"/>
            <w:vAlign w:val="bottom"/>
            <w:hideMark/>
          </w:tcPr>
          <w:p w14:paraId="737F83E4"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ad</w:t>
            </w:r>
          </w:p>
        </w:tc>
        <w:tc>
          <w:tcPr>
            <w:tcW w:w="431" w:type="dxa"/>
            <w:gridSpan w:val="4"/>
            <w:tcBorders>
              <w:top w:val="single" w:sz="4" w:space="0" w:color="auto"/>
              <w:left w:val="single" w:sz="4" w:space="0" w:color="auto"/>
              <w:bottom w:val="nil"/>
              <w:right w:val="single" w:sz="4" w:space="0" w:color="auto"/>
            </w:tcBorders>
            <w:shd w:val="clear" w:color="auto" w:fill="FFFFFF"/>
            <w:vAlign w:val="bottom"/>
            <w:hideMark/>
          </w:tcPr>
          <w:p w14:paraId="7DF3BE81"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ae</w:t>
            </w:r>
          </w:p>
        </w:tc>
        <w:tc>
          <w:tcPr>
            <w:tcW w:w="345" w:type="dxa"/>
            <w:gridSpan w:val="2"/>
            <w:tcBorders>
              <w:top w:val="single" w:sz="4" w:space="0" w:color="auto"/>
              <w:left w:val="single" w:sz="4" w:space="0" w:color="auto"/>
              <w:bottom w:val="nil"/>
              <w:right w:val="single" w:sz="4" w:space="0" w:color="auto"/>
            </w:tcBorders>
            <w:shd w:val="clear" w:color="auto" w:fill="FFFFFF"/>
            <w:vAlign w:val="bottom"/>
            <w:hideMark/>
          </w:tcPr>
          <w:p w14:paraId="0AE064A9"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af</w:t>
            </w:r>
          </w:p>
        </w:tc>
      </w:tr>
      <w:tr w:rsidR="00A54846" w14:paraId="42296B51" w14:textId="77777777">
        <w:trPr>
          <w:trHeight w:val="75"/>
        </w:trPr>
        <w:tc>
          <w:tcPr>
            <w:tcW w:w="2713" w:type="dxa"/>
            <w:gridSpan w:val="2"/>
            <w:vMerge w:val="restart"/>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6D1E6C18"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Millioner euro</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tcPr>
          <w:p w14:paraId="4325CEC7" w14:textId="77777777" w:rsidR="00A54846" w:rsidRDefault="00A54846">
            <w:pPr>
              <w:widowControl w:val="0"/>
              <w:shd w:val="clear" w:color="auto" w:fill="auto"/>
              <w:spacing w:after="0" w:line="240" w:lineRule="auto"/>
              <w:jc w:val="center"/>
              <w:rPr>
                <w:rFonts w:ascii="Helvetica" w:eastAsia="Arial Unicode MS" w:hAnsi="Helvetica" w:cs="Helvetica"/>
                <w:color w:val="000000"/>
                <w:sz w:val="6"/>
                <w:szCs w:val="6"/>
                <w:lang w:val="en-US" w:bidi="en-US"/>
              </w:rPr>
            </w:pPr>
          </w:p>
        </w:tc>
        <w:tc>
          <w:tcPr>
            <w:tcW w:w="5225" w:type="dxa"/>
            <w:gridSpan w:val="38"/>
            <w:tcBorders>
              <w:top w:val="single" w:sz="4" w:space="0" w:color="auto"/>
              <w:left w:val="nil"/>
              <w:bottom w:val="nil"/>
              <w:right w:val="nil"/>
            </w:tcBorders>
            <w:shd w:val="clear" w:color="auto" w:fill="FFFFFF"/>
            <w:tcMar>
              <w:top w:w="10" w:type="dxa"/>
              <w:left w:w="40" w:type="dxa"/>
              <w:bottom w:w="10" w:type="dxa"/>
              <w:right w:w="40" w:type="dxa"/>
            </w:tcMar>
            <w:vAlign w:val="center"/>
            <w:hideMark/>
          </w:tcPr>
          <w:p w14:paraId="1C7A7E17"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Referansedato for opplysningene T</w:t>
            </w:r>
          </w:p>
        </w:tc>
        <w:tc>
          <w:tcPr>
            <w:tcW w:w="360" w:type="dxa"/>
            <w:gridSpan w:val="3"/>
            <w:vMerge w:val="restart"/>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2243EB02" w14:textId="74E4557D"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Samlet brutto balanse</w:t>
            </w:r>
            <w:r w:rsidR="005B4732">
              <w:rPr>
                <w:rFonts w:ascii="Helvetica" w:hAnsi="Helvetica"/>
                <w:color w:val="000000"/>
                <w:sz w:val="6"/>
              </w:rPr>
              <w:softHyphen/>
            </w:r>
            <w:r>
              <w:rPr>
                <w:rFonts w:ascii="Helvetica" w:hAnsi="Helvetica"/>
                <w:color w:val="000000"/>
                <w:sz w:val="6"/>
              </w:rPr>
              <w:t>ført verdi</w:t>
            </w:r>
          </w:p>
        </w:tc>
        <w:tc>
          <w:tcPr>
            <w:tcW w:w="5337" w:type="dxa"/>
            <w:gridSpan w:val="43"/>
            <w:tcBorders>
              <w:top w:val="single" w:sz="4" w:space="0" w:color="auto"/>
              <w:left w:val="nil"/>
              <w:bottom w:val="nil"/>
              <w:right w:val="single" w:sz="4" w:space="0" w:color="auto"/>
            </w:tcBorders>
            <w:shd w:val="clear" w:color="auto" w:fill="FFFFFF"/>
            <w:tcMar>
              <w:top w:w="10" w:type="dxa"/>
              <w:left w:w="40" w:type="dxa"/>
              <w:bottom w:w="10" w:type="dxa"/>
              <w:right w:w="40" w:type="dxa"/>
            </w:tcMar>
            <w:vAlign w:val="center"/>
            <w:hideMark/>
          </w:tcPr>
          <w:p w14:paraId="229B7D7A"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Referansedato for opplysningene T-1</w:t>
            </w:r>
          </w:p>
        </w:tc>
      </w:tr>
      <w:tr w:rsidR="00A54846" w14:paraId="1FCD129A" w14:textId="77777777">
        <w:trPr>
          <w:trHeight w:val="100"/>
        </w:trPr>
        <w:tc>
          <w:tcPr>
            <w:tcW w:w="2713" w:type="dxa"/>
            <w:gridSpan w:val="2"/>
            <w:vMerge/>
            <w:tcBorders>
              <w:top w:val="single" w:sz="4" w:space="0" w:color="auto"/>
              <w:left w:val="single" w:sz="4" w:space="0" w:color="auto"/>
              <w:bottom w:val="nil"/>
              <w:right w:val="nil"/>
            </w:tcBorders>
            <w:vAlign w:val="center"/>
            <w:hideMark/>
          </w:tcPr>
          <w:p w14:paraId="4A06CC8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vMerge w:val="restart"/>
            <w:tcBorders>
              <w:top w:val="nil"/>
              <w:left w:val="single" w:sz="4" w:space="0" w:color="auto"/>
              <w:bottom w:val="nil"/>
              <w:right w:val="nil"/>
            </w:tcBorders>
            <w:shd w:val="clear" w:color="auto" w:fill="FFFFFF"/>
            <w:tcMar>
              <w:top w:w="10" w:type="dxa"/>
              <w:left w:w="40" w:type="dxa"/>
              <w:bottom w:w="10" w:type="dxa"/>
              <w:right w:w="40" w:type="dxa"/>
            </w:tcMar>
            <w:vAlign w:val="center"/>
            <w:hideMark/>
          </w:tcPr>
          <w:p w14:paraId="01E1498A"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Samlet brutto balanseført verdi</w:t>
            </w:r>
          </w:p>
        </w:tc>
        <w:tc>
          <w:tcPr>
            <w:tcW w:w="1890" w:type="dxa"/>
            <w:gridSpan w:val="12"/>
            <w:tcBorders>
              <w:top w:val="single" w:sz="4" w:space="0" w:color="auto"/>
              <w:left w:val="single" w:sz="4" w:space="0" w:color="auto"/>
              <w:bottom w:val="nil"/>
              <w:right w:val="nil"/>
            </w:tcBorders>
            <w:shd w:val="clear" w:color="auto" w:fill="B5B5B5"/>
            <w:tcMar>
              <w:top w:w="10" w:type="dxa"/>
              <w:left w:w="40" w:type="dxa"/>
              <w:bottom w:w="10" w:type="dxa"/>
              <w:right w:w="40" w:type="dxa"/>
            </w:tcMar>
            <w:vAlign w:val="center"/>
            <w:hideMark/>
          </w:tcPr>
          <w:p w14:paraId="3ACED53A" w14:textId="77777777" w:rsidR="00A54846" w:rsidRDefault="008A2731">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Begrensning av klimaendringer</w:t>
            </w:r>
          </w:p>
        </w:tc>
        <w:tc>
          <w:tcPr>
            <w:tcW w:w="1631" w:type="dxa"/>
            <w:gridSpan w:val="14"/>
            <w:tcBorders>
              <w:top w:val="single" w:sz="4" w:space="0" w:color="auto"/>
              <w:left w:val="single" w:sz="4" w:space="0" w:color="auto"/>
              <w:bottom w:val="nil"/>
              <w:right w:val="nil"/>
            </w:tcBorders>
            <w:shd w:val="clear" w:color="auto" w:fill="B5B5B5"/>
            <w:tcMar>
              <w:top w:w="10" w:type="dxa"/>
              <w:left w:w="40" w:type="dxa"/>
              <w:bottom w:w="10" w:type="dxa"/>
              <w:right w:w="40" w:type="dxa"/>
            </w:tcMar>
            <w:vAlign w:val="center"/>
            <w:hideMark/>
          </w:tcPr>
          <w:p w14:paraId="2BD6DE5A" w14:textId="77777777" w:rsidR="00A54846" w:rsidRDefault="008A2731">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Tilpasning til klimaendringer</w:t>
            </w:r>
          </w:p>
        </w:tc>
        <w:tc>
          <w:tcPr>
            <w:tcW w:w="1704" w:type="dxa"/>
            <w:gridSpan w:val="12"/>
            <w:tcBorders>
              <w:top w:val="single" w:sz="4" w:space="0" w:color="auto"/>
              <w:left w:val="single" w:sz="4" w:space="0" w:color="auto"/>
              <w:bottom w:val="nil"/>
              <w:right w:val="nil"/>
            </w:tcBorders>
            <w:shd w:val="clear" w:color="auto" w:fill="B5B5B5"/>
            <w:tcMar>
              <w:top w:w="10" w:type="dxa"/>
              <w:left w:w="40" w:type="dxa"/>
              <w:bottom w:w="10" w:type="dxa"/>
              <w:right w:w="40" w:type="dxa"/>
            </w:tcMar>
            <w:vAlign w:val="center"/>
            <w:hideMark/>
          </w:tcPr>
          <w:p w14:paraId="6D1CE9BA" w14:textId="77777777" w:rsidR="00A54846" w:rsidRDefault="008A2731">
            <w:pPr>
              <w:widowControl w:val="0"/>
              <w:shd w:val="clear" w:color="auto" w:fill="auto"/>
              <w:spacing w:after="0" w:line="240" w:lineRule="auto"/>
              <w:jc w:val="center"/>
              <w:rPr>
                <w:rFonts w:ascii="Helvetica" w:eastAsia="Arial Unicode MS" w:hAnsi="Helvetica" w:cs="Helvetica"/>
                <w:b/>
                <w:color w:val="000000"/>
                <w:sz w:val="6"/>
                <w:szCs w:val="6"/>
              </w:rPr>
            </w:pPr>
            <w:r>
              <w:rPr>
                <w:rFonts w:ascii="Helvetica" w:hAnsi="Helvetica"/>
                <w:b/>
                <w:color w:val="000000"/>
                <w:sz w:val="6"/>
              </w:rPr>
              <w:t>SUM (begrensning + tilpasning)</w:t>
            </w:r>
          </w:p>
        </w:tc>
        <w:tc>
          <w:tcPr>
            <w:tcW w:w="360" w:type="dxa"/>
            <w:gridSpan w:val="3"/>
            <w:vMerge/>
            <w:tcBorders>
              <w:top w:val="single" w:sz="4" w:space="0" w:color="auto"/>
              <w:left w:val="single" w:sz="4" w:space="0" w:color="auto"/>
              <w:bottom w:val="nil"/>
              <w:right w:val="nil"/>
            </w:tcBorders>
            <w:vAlign w:val="center"/>
            <w:hideMark/>
          </w:tcPr>
          <w:p w14:paraId="093F65E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728" w:type="dxa"/>
            <w:gridSpan w:val="17"/>
            <w:tcBorders>
              <w:top w:val="single" w:sz="4" w:space="0" w:color="auto"/>
              <w:left w:val="single" w:sz="4" w:space="0" w:color="auto"/>
              <w:bottom w:val="nil"/>
              <w:right w:val="nil"/>
            </w:tcBorders>
            <w:shd w:val="clear" w:color="auto" w:fill="B5B5B5"/>
            <w:tcMar>
              <w:top w:w="10" w:type="dxa"/>
              <w:left w:w="40" w:type="dxa"/>
              <w:bottom w:w="10" w:type="dxa"/>
              <w:right w:w="40" w:type="dxa"/>
            </w:tcMar>
            <w:vAlign w:val="center"/>
            <w:hideMark/>
          </w:tcPr>
          <w:p w14:paraId="603526F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b/>
                <w:color w:val="000000"/>
                <w:sz w:val="6"/>
              </w:rPr>
              <w:t>Begrensning av klimaendringer</w:t>
            </w:r>
          </w:p>
        </w:tc>
        <w:tc>
          <w:tcPr>
            <w:tcW w:w="1761" w:type="dxa"/>
            <w:gridSpan w:val="14"/>
            <w:tcBorders>
              <w:top w:val="single" w:sz="4" w:space="0" w:color="auto"/>
              <w:left w:val="single" w:sz="4" w:space="0" w:color="auto"/>
              <w:bottom w:val="nil"/>
              <w:right w:val="nil"/>
            </w:tcBorders>
            <w:shd w:val="clear" w:color="auto" w:fill="B5B5B5"/>
            <w:tcMar>
              <w:top w:w="10" w:type="dxa"/>
              <w:left w:w="40" w:type="dxa"/>
              <w:bottom w:w="10" w:type="dxa"/>
              <w:right w:w="40" w:type="dxa"/>
            </w:tcMar>
            <w:vAlign w:val="center"/>
            <w:hideMark/>
          </w:tcPr>
          <w:p w14:paraId="72246F40"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b/>
                <w:color w:val="000000"/>
                <w:sz w:val="6"/>
              </w:rPr>
              <w:t>Tilpasning til klimaendringer</w:t>
            </w:r>
          </w:p>
        </w:tc>
        <w:tc>
          <w:tcPr>
            <w:tcW w:w="1848" w:type="dxa"/>
            <w:gridSpan w:val="12"/>
            <w:tcBorders>
              <w:top w:val="single" w:sz="4" w:space="0" w:color="auto"/>
              <w:left w:val="single" w:sz="4" w:space="0" w:color="auto"/>
              <w:bottom w:val="nil"/>
              <w:right w:val="single" w:sz="4" w:space="0" w:color="auto"/>
            </w:tcBorders>
            <w:shd w:val="clear" w:color="auto" w:fill="B5B5B5"/>
            <w:tcMar>
              <w:top w:w="10" w:type="dxa"/>
              <w:left w:w="40" w:type="dxa"/>
              <w:bottom w:w="10" w:type="dxa"/>
              <w:right w:w="40" w:type="dxa"/>
            </w:tcMar>
            <w:vAlign w:val="center"/>
            <w:hideMark/>
          </w:tcPr>
          <w:p w14:paraId="7ACCD9D1"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b/>
                <w:color w:val="000000"/>
                <w:sz w:val="6"/>
              </w:rPr>
              <w:t>SUM (begrensning + tilpasning)</w:t>
            </w:r>
          </w:p>
        </w:tc>
      </w:tr>
      <w:tr w:rsidR="00A54846" w14:paraId="3CD05962" w14:textId="77777777">
        <w:trPr>
          <w:trHeight w:val="164"/>
        </w:trPr>
        <w:tc>
          <w:tcPr>
            <w:tcW w:w="2713" w:type="dxa"/>
            <w:gridSpan w:val="2"/>
            <w:vMerge/>
            <w:tcBorders>
              <w:top w:val="single" w:sz="4" w:space="0" w:color="auto"/>
              <w:left w:val="single" w:sz="4" w:space="0" w:color="auto"/>
              <w:bottom w:val="nil"/>
              <w:right w:val="nil"/>
            </w:tcBorders>
            <w:vAlign w:val="center"/>
            <w:hideMark/>
          </w:tcPr>
          <w:p w14:paraId="194F522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vMerge/>
            <w:tcBorders>
              <w:top w:val="nil"/>
              <w:left w:val="single" w:sz="4" w:space="0" w:color="auto"/>
              <w:bottom w:val="nil"/>
              <w:right w:val="nil"/>
            </w:tcBorders>
            <w:vAlign w:val="center"/>
            <w:hideMark/>
          </w:tcPr>
          <w:p w14:paraId="13102C9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890" w:type="dxa"/>
            <w:gridSpan w:val="1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6E8C5993"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1631" w:type="dxa"/>
            <w:gridSpan w:val="14"/>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195554BD"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1704" w:type="dxa"/>
            <w:gridSpan w:val="1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79A0A5B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360" w:type="dxa"/>
            <w:gridSpan w:val="3"/>
            <w:vMerge/>
            <w:tcBorders>
              <w:top w:val="single" w:sz="4" w:space="0" w:color="auto"/>
              <w:left w:val="single" w:sz="4" w:space="0" w:color="auto"/>
              <w:bottom w:val="nil"/>
              <w:right w:val="nil"/>
            </w:tcBorders>
            <w:vAlign w:val="center"/>
            <w:hideMark/>
          </w:tcPr>
          <w:p w14:paraId="230202C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1728" w:type="dxa"/>
            <w:gridSpan w:val="17"/>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1F32114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1761" w:type="dxa"/>
            <w:gridSpan w:val="14"/>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5ECD50A4"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c>
          <w:tcPr>
            <w:tcW w:w="1848" w:type="dxa"/>
            <w:gridSpan w:val="1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vAlign w:val="center"/>
            <w:hideMark/>
          </w:tcPr>
          <w:p w14:paraId="059B95D9"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mot taksonomirelevante sektorer (omfattet av taksonomien)</w:t>
            </w:r>
          </w:p>
        </w:tc>
      </w:tr>
      <w:tr w:rsidR="00A54846" w14:paraId="4D4F01CF" w14:textId="77777777">
        <w:trPr>
          <w:trHeight w:val="176"/>
        </w:trPr>
        <w:tc>
          <w:tcPr>
            <w:tcW w:w="2713" w:type="dxa"/>
            <w:gridSpan w:val="2"/>
            <w:vMerge/>
            <w:tcBorders>
              <w:top w:val="single" w:sz="4" w:space="0" w:color="auto"/>
              <w:left w:val="single" w:sz="4" w:space="0" w:color="auto"/>
              <w:bottom w:val="nil"/>
              <w:right w:val="nil"/>
            </w:tcBorders>
            <w:vAlign w:val="center"/>
            <w:hideMark/>
          </w:tcPr>
          <w:p w14:paraId="2001DD3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7" w:type="dxa"/>
            <w:vMerge/>
            <w:tcBorders>
              <w:top w:val="nil"/>
              <w:left w:val="single" w:sz="4" w:space="0" w:color="auto"/>
              <w:bottom w:val="nil"/>
              <w:right w:val="nil"/>
            </w:tcBorders>
            <w:vAlign w:val="center"/>
            <w:hideMark/>
          </w:tcPr>
          <w:p w14:paraId="029168C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3"/>
            <w:vMerge w:val="restart"/>
            <w:tcBorders>
              <w:top w:val="nil"/>
              <w:left w:val="single" w:sz="4" w:space="0" w:color="auto"/>
              <w:bottom w:val="nil"/>
              <w:right w:val="nil"/>
            </w:tcBorders>
            <w:shd w:val="clear" w:color="auto" w:fill="FFFFFF"/>
            <w:tcMar>
              <w:top w:w="10" w:type="dxa"/>
              <w:left w:w="40" w:type="dxa"/>
              <w:bottom w:w="10" w:type="dxa"/>
              <w:right w:w="40" w:type="dxa"/>
            </w:tcMar>
            <w:vAlign w:val="center"/>
          </w:tcPr>
          <w:p w14:paraId="1F6E0259" w14:textId="77777777" w:rsidR="00A54846" w:rsidRPr="006A792F" w:rsidRDefault="00A54846">
            <w:pPr>
              <w:widowControl w:val="0"/>
              <w:shd w:val="clear" w:color="auto" w:fill="auto"/>
              <w:spacing w:after="0" w:line="240" w:lineRule="auto"/>
              <w:jc w:val="center"/>
              <w:rPr>
                <w:rFonts w:ascii="Helvetica" w:eastAsia="Arial Unicode MS" w:hAnsi="Helvetica" w:cs="Helvetica"/>
                <w:color w:val="000000"/>
                <w:sz w:val="6"/>
                <w:szCs w:val="6"/>
                <w:lang w:bidi="en-US"/>
              </w:rPr>
            </w:pPr>
          </w:p>
        </w:tc>
        <w:tc>
          <w:tcPr>
            <w:tcW w:w="1631" w:type="dxa"/>
            <w:gridSpan w:val="9"/>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5A5CD890"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miljømessig bærekraftige (taksonomiforenlige)</w:t>
            </w:r>
          </w:p>
        </w:tc>
        <w:tc>
          <w:tcPr>
            <w:tcW w:w="259" w:type="dxa"/>
            <w:gridSpan w:val="4"/>
            <w:vMerge w:val="restart"/>
            <w:tcBorders>
              <w:top w:val="nil"/>
              <w:left w:val="single" w:sz="4" w:space="0" w:color="auto"/>
              <w:bottom w:val="nil"/>
              <w:right w:val="nil"/>
            </w:tcBorders>
            <w:shd w:val="clear" w:color="auto" w:fill="FFFFFF"/>
            <w:tcMar>
              <w:top w:w="10" w:type="dxa"/>
              <w:left w:w="40" w:type="dxa"/>
              <w:bottom w:w="10" w:type="dxa"/>
              <w:right w:w="40" w:type="dxa"/>
            </w:tcMar>
            <w:vAlign w:val="center"/>
          </w:tcPr>
          <w:p w14:paraId="36ED010D" w14:textId="77777777" w:rsidR="00A54846" w:rsidRDefault="00A54846">
            <w:pPr>
              <w:widowControl w:val="0"/>
              <w:shd w:val="clear" w:color="auto" w:fill="auto"/>
              <w:spacing w:after="0" w:line="240" w:lineRule="auto"/>
              <w:jc w:val="center"/>
              <w:rPr>
                <w:rFonts w:ascii="Helvetica" w:eastAsia="Arial Unicode MS" w:hAnsi="Helvetica" w:cs="Helvetica"/>
                <w:color w:val="000000"/>
                <w:sz w:val="6"/>
                <w:szCs w:val="6"/>
                <w:lang w:val="en-US" w:bidi="en-US"/>
              </w:rPr>
            </w:pPr>
          </w:p>
        </w:tc>
        <w:tc>
          <w:tcPr>
            <w:tcW w:w="1372" w:type="dxa"/>
            <w:gridSpan w:val="10"/>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3D4E296A"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miljømessig bærekraftige (taksonomiforenlige)</w:t>
            </w:r>
          </w:p>
        </w:tc>
        <w:tc>
          <w:tcPr>
            <w:tcW w:w="267" w:type="dxa"/>
            <w:gridSpan w:val="2"/>
            <w:vMerge w:val="restart"/>
            <w:tcBorders>
              <w:top w:val="nil"/>
              <w:left w:val="single" w:sz="4" w:space="0" w:color="auto"/>
              <w:bottom w:val="nil"/>
              <w:right w:val="nil"/>
            </w:tcBorders>
            <w:shd w:val="clear" w:color="auto" w:fill="FFFFFF"/>
            <w:tcMar>
              <w:top w:w="10" w:type="dxa"/>
              <w:left w:w="40" w:type="dxa"/>
              <w:bottom w:w="10" w:type="dxa"/>
              <w:right w:w="40" w:type="dxa"/>
            </w:tcMar>
            <w:vAlign w:val="center"/>
          </w:tcPr>
          <w:p w14:paraId="7A978B3D" w14:textId="77777777" w:rsidR="00A54846" w:rsidRDefault="00A54846">
            <w:pPr>
              <w:widowControl w:val="0"/>
              <w:shd w:val="clear" w:color="auto" w:fill="auto"/>
              <w:spacing w:after="0" w:line="240" w:lineRule="auto"/>
              <w:jc w:val="center"/>
              <w:rPr>
                <w:rFonts w:ascii="Helvetica" w:eastAsia="Arial Unicode MS" w:hAnsi="Helvetica" w:cs="Helvetica"/>
                <w:color w:val="000000"/>
                <w:sz w:val="6"/>
                <w:szCs w:val="6"/>
                <w:lang w:val="en-US" w:bidi="en-US"/>
              </w:rPr>
            </w:pPr>
          </w:p>
        </w:tc>
        <w:tc>
          <w:tcPr>
            <w:tcW w:w="1437" w:type="dxa"/>
            <w:gridSpan w:val="10"/>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22C5AB28"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miljømessig bærekraftige (taksonomiforenlige)</w:t>
            </w:r>
          </w:p>
        </w:tc>
        <w:tc>
          <w:tcPr>
            <w:tcW w:w="360" w:type="dxa"/>
            <w:gridSpan w:val="3"/>
            <w:vMerge/>
            <w:tcBorders>
              <w:top w:val="single" w:sz="4" w:space="0" w:color="auto"/>
              <w:left w:val="single" w:sz="4" w:space="0" w:color="auto"/>
              <w:bottom w:val="nil"/>
              <w:right w:val="nil"/>
            </w:tcBorders>
            <w:vAlign w:val="center"/>
            <w:hideMark/>
          </w:tcPr>
          <w:p w14:paraId="1443EB1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vMerge w:val="restart"/>
            <w:tcBorders>
              <w:top w:val="nil"/>
              <w:left w:val="single" w:sz="4" w:space="0" w:color="auto"/>
              <w:bottom w:val="nil"/>
              <w:right w:val="nil"/>
            </w:tcBorders>
            <w:shd w:val="clear" w:color="auto" w:fill="FFFFFF"/>
            <w:tcMar>
              <w:top w:w="10" w:type="dxa"/>
              <w:left w:w="40" w:type="dxa"/>
              <w:bottom w:w="10" w:type="dxa"/>
              <w:right w:w="40" w:type="dxa"/>
            </w:tcMar>
            <w:vAlign w:val="center"/>
          </w:tcPr>
          <w:p w14:paraId="0C9E5E65" w14:textId="77777777" w:rsidR="00A54846" w:rsidRDefault="00A54846">
            <w:pPr>
              <w:widowControl w:val="0"/>
              <w:shd w:val="clear" w:color="auto" w:fill="auto"/>
              <w:spacing w:after="0" w:line="240" w:lineRule="auto"/>
              <w:jc w:val="center"/>
              <w:rPr>
                <w:rFonts w:ascii="Helvetica" w:eastAsia="Arial Unicode MS" w:hAnsi="Helvetica" w:cs="Helvetica"/>
                <w:color w:val="000000"/>
                <w:sz w:val="6"/>
                <w:szCs w:val="6"/>
                <w:lang w:val="en-US" w:bidi="en-US"/>
              </w:rPr>
            </w:pPr>
          </w:p>
        </w:tc>
        <w:tc>
          <w:tcPr>
            <w:tcW w:w="1462" w:type="dxa"/>
            <w:gridSpan w:val="14"/>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3298136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miljømessig bærekraftige (taksonomiforenlige)</w:t>
            </w:r>
          </w:p>
        </w:tc>
        <w:tc>
          <w:tcPr>
            <w:tcW w:w="267" w:type="dxa"/>
            <w:gridSpan w:val="3"/>
            <w:tcBorders>
              <w:top w:val="nil"/>
              <w:left w:val="single" w:sz="4" w:space="0" w:color="auto"/>
              <w:bottom w:val="nil"/>
              <w:right w:val="nil"/>
            </w:tcBorders>
            <w:shd w:val="clear" w:color="auto" w:fill="FFFFFF"/>
            <w:tcMar>
              <w:top w:w="10" w:type="dxa"/>
              <w:left w:w="40" w:type="dxa"/>
              <w:bottom w:w="10" w:type="dxa"/>
              <w:right w:w="40" w:type="dxa"/>
            </w:tcMar>
            <w:vAlign w:val="center"/>
          </w:tcPr>
          <w:p w14:paraId="0F2CE735" w14:textId="77777777" w:rsidR="00A54846" w:rsidRDefault="00A54846">
            <w:pPr>
              <w:widowControl w:val="0"/>
              <w:shd w:val="clear" w:color="auto" w:fill="auto"/>
              <w:spacing w:after="0" w:line="240" w:lineRule="auto"/>
              <w:jc w:val="center"/>
              <w:rPr>
                <w:rFonts w:ascii="Helvetica" w:eastAsia="Arial Unicode MS" w:hAnsi="Helvetica" w:cs="Helvetica"/>
                <w:color w:val="000000"/>
                <w:sz w:val="6"/>
                <w:szCs w:val="6"/>
                <w:lang w:val="en-US" w:bidi="en-US"/>
              </w:rPr>
            </w:pPr>
          </w:p>
        </w:tc>
        <w:tc>
          <w:tcPr>
            <w:tcW w:w="1494" w:type="dxa"/>
            <w:gridSpan w:val="11"/>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48AE83BE"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miljømessig bærekraftige (taksonomiforenlige)</w:t>
            </w:r>
          </w:p>
        </w:tc>
        <w:tc>
          <w:tcPr>
            <w:tcW w:w="240" w:type="dxa"/>
            <w:vMerge w:val="restart"/>
            <w:tcBorders>
              <w:top w:val="nil"/>
              <w:left w:val="single" w:sz="4" w:space="0" w:color="auto"/>
              <w:right w:val="nil"/>
            </w:tcBorders>
            <w:shd w:val="clear" w:color="auto" w:fill="FFFFFF"/>
            <w:tcMar>
              <w:top w:w="10" w:type="dxa"/>
              <w:left w:w="40" w:type="dxa"/>
              <w:bottom w:w="10" w:type="dxa"/>
              <w:right w:w="40" w:type="dxa"/>
            </w:tcMar>
            <w:vAlign w:val="center"/>
          </w:tcPr>
          <w:p w14:paraId="6A00DF4C" w14:textId="77777777" w:rsidR="00A54846" w:rsidRDefault="00A54846">
            <w:pPr>
              <w:widowControl w:val="0"/>
              <w:shd w:val="clear" w:color="auto" w:fill="auto"/>
              <w:spacing w:after="0" w:line="240" w:lineRule="auto"/>
              <w:jc w:val="center"/>
              <w:rPr>
                <w:rFonts w:ascii="Helvetica" w:eastAsia="Arial Unicode MS" w:hAnsi="Helvetica" w:cs="Helvetica"/>
                <w:color w:val="000000"/>
                <w:sz w:val="6"/>
                <w:szCs w:val="6"/>
                <w:lang w:val="en-US" w:bidi="en-US"/>
              </w:rPr>
            </w:pPr>
          </w:p>
        </w:tc>
        <w:tc>
          <w:tcPr>
            <w:tcW w:w="1608" w:type="dxa"/>
            <w:gridSpan w:val="11"/>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vAlign w:val="center"/>
            <w:hideMark/>
          </w:tcPr>
          <w:p w14:paraId="3E834731"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Hvorav miljømessig bærekraftige (taksonomiforenlige)</w:t>
            </w:r>
          </w:p>
        </w:tc>
      </w:tr>
      <w:tr w:rsidR="00A54846" w14:paraId="46A9FF1D" w14:textId="77777777">
        <w:trPr>
          <w:trHeight w:val="303"/>
        </w:trPr>
        <w:tc>
          <w:tcPr>
            <w:tcW w:w="2713" w:type="dxa"/>
            <w:gridSpan w:val="2"/>
            <w:vMerge/>
            <w:tcBorders>
              <w:top w:val="single" w:sz="4" w:space="0" w:color="auto"/>
              <w:left w:val="single" w:sz="4" w:space="0" w:color="auto"/>
              <w:bottom w:val="nil"/>
              <w:right w:val="nil"/>
            </w:tcBorders>
            <w:vAlign w:val="center"/>
            <w:hideMark/>
          </w:tcPr>
          <w:p w14:paraId="6B05485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vMerge/>
            <w:tcBorders>
              <w:top w:val="nil"/>
              <w:left w:val="single" w:sz="4" w:space="0" w:color="auto"/>
              <w:bottom w:val="nil"/>
              <w:right w:val="nil"/>
            </w:tcBorders>
            <w:vAlign w:val="center"/>
            <w:hideMark/>
          </w:tcPr>
          <w:p w14:paraId="44B4881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vMerge/>
            <w:tcBorders>
              <w:top w:val="nil"/>
              <w:left w:val="single" w:sz="4" w:space="0" w:color="auto"/>
              <w:bottom w:val="nil"/>
              <w:right w:val="nil"/>
            </w:tcBorders>
            <w:vAlign w:val="center"/>
            <w:hideMark/>
          </w:tcPr>
          <w:p w14:paraId="5CD5E8F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nil"/>
              <w:left w:val="single" w:sz="4" w:space="0" w:color="auto"/>
              <w:bottom w:val="nil"/>
              <w:right w:val="nil"/>
            </w:tcBorders>
            <w:shd w:val="clear" w:color="auto" w:fill="FFFFFF"/>
            <w:tcMar>
              <w:top w:w="10" w:type="dxa"/>
              <w:left w:w="40" w:type="dxa"/>
              <w:bottom w:w="10" w:type="dxa"/>
              <w:right w:w="40" w:type="dxa"/>
            </w:tcMar>
            <w:vAlign w:val="center"/>
          </w:tcPr>
          <w:p w14:paraId="155658CB" w14:textId="77777777" w:rsidR="00A54846" w:rsidRDefault="00A54846">
            <w:pPr>
              <w:widowControl w:val="0"/>
              <w:shd w:val="clear" w:color="auto" w:fill="auto"/>
              <w:spacing w:after="0" w:line="240" w:lineRule="auto"/>
              <w:jc w:val="center"/>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2C992529" w14:textId="77777777"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lån for spesielle formål</w:t>
            </w: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0A335F54" w14:textId="77777777"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omstilling</w:t>
            </w: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6FDCCD4A" w14:textId="77777777"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muliggjørende</w:t>
            </w:r>
          </w:p>
        </w:tc>
        <w:tc>
          <w:tcPr>
            <w:tcW w:w="259" w:type="dxa"/>
            <w:gridSpan w:val="4"/>
            <w:vMerge/>
            <w:tcBorders>
              <w:top w:val="single" w:sz="4" w:space="0" w:color="auto"/>
              <w:left w:val="single" w:sz="4" w:space="0" w:color="auto"/>
              <w:bottom w:val="nil"/>
              <w:right w:val="nil"/>
            </w:tcBorders>
            <w:vAlign w:val="center"/>
            <w:hideMark/>
          </w:tcPr>
          <w:p w14:paraId="04BC7D6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nil"/>
              <w:left w:val="single" w:sz="4" w:space="0" w:color="auto"/>
              <w:bottom w:val="nil"/>
              <w:right w:val="nil"/>
            </w:tcBorders>
            <w:shd w:val="clear" w:color="auto" w:fill="FFFFFF"/>
            <w:tcMar>
              <w:top w:w="10" w:type="dxa"/>
              <w:left w:w="40" w:type="dxa"/>
              <w:bottom w:w="10" w:type="dxa"/>
              <w:right w:w="40" w:type="dxa"/>
            </w:tcMar>
            <w:vAlign w:val="center"/>
          </w:tcPr>
          <w:p w14:paraId="4E24AE0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7034AD1C" w14:textId="77777777"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lån for spesielle formål</w:t>
            </w: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2FE20D53" w14:textId="09A2E2E1"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tilpasnings</w:t>
            </w:r>
            <w:r w:rsidR="005B4732">
              <w:rPr>
                <w:rFonts w:ascii="Helvetica" w:hAnsi="Helvetica"/>
                <w:color w:val="000000"/>
                <w:sz w:val="6"/>
              </w:rPr>
              <w:softHyphen/>
            </w:r>
            <w:r>
              <w:rPr>
                <w:rFonts w:ascii="Helvetica" w:hAnsi="Helvetica"/>
                <w:color w:val="000000"/>
                <w:sz w:val="6"/>
              </w:rPr>
              <w:t>aktiviteter</w:t>
            </w: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0E25F043" w14:textId="48E67F42"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mulig</w:t>
            </w:r>
            <w:r w:rsidR="005B4732">
              <w:rPr>
                <w:rFonts w:ascii="Helvetica" w:hAnsi="Helvetica"/>
                <w:color w:val="000000"/>
                <w:sz w:val="6"/>
              </w:rPr>
              <w:softHyphen/>
            </w:r>
            <w:r>
              <w:rPr>
                <w:rFonts w:ascii="Helvetica" w:hAnsi="Helvetica"/>
                <w:color w:val="000000"/>
                <w:sz w:val="6"/>
              </w:rPr>
              <w:t>gjørende</w:t>
            </w:r>
          </w:p>
        </w:tc>
        <w:tc>
          <w:tcPr>
            <w:tcW w:w="267" w:type="dxa"/>
            <w:gridSpan w:val="2"/>
            <w:vMerge/>
            <w:tcBorders>
              <w:top w:val="nil"/>
              <w:left w:val="single" w:sz="4" w:space="0" w:color="auto"/>
              <w:bottom w:val="nil"/>
              <w:right w:val="nil"/>
            </w:tcBorders>
            <w:vAlign w:val="center"/>
            <w:hideMark/>
          </w:tcPr>
          <w:p w14:paraId="607EFC4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nil"/>
              <w:left w:val="single" w:sz="4" w:space="0" w:color="auto"/>
              <w:bottom w:val="nil"/>
              <w:right w:val="nil"/>
            </w:tcBorders>
            <w:shd w:val="clear" w:color="auto" w:fill="FFFFFF"/>
            <w:tcMar>
              <w:top w:w="10" w:type="dxa"/>
              <w:left w:w="40" w:type="dxa"/>
              <w:bottom w:w="10" w:type="dxa"/>
              <w:right w:w="40" w:type="dxa"/>
            </w:tcMar>
            <w:vAlign w:val="center"/>
          </w:tcPr>
          <w:p w14:paraId="02A103A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761567DE" w14:textId="77777777"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lån for spesielle formål</w:t>
            </w: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2E3E9FD2" w14:textId="4DACDAEF"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omstilling</w:t>
            </w:r>
            <w:r w:rsidR="005B4732">
              <w:t xml:space="preserve"> </w:t>
            </w:r>
            <w:r>
              <w:rPr>
                <w:rFonts w:ascii="Helvetica" w:hAnsi="Helvetica"/>
                <w:color w:val="000000"/>
                <w:sz w:val="6"/>
              </w:rPr>
              <w:t>/tilpasning</w:t>
            </w: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3386028C" w14:textId="7B57DDC9"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mulig</w:t>
            </w:r>
            <w:r w:rsidR="005B4732">
              <w:rPr>
                <w:rFonts w:ascii="Helvetica" w:hAnsi="Helvetica"/>
                <w:color w:val="000000"/>
                <w:sz w:val="6"/>
              </w:rPr>
              <w:softHyphen/>
            </w:r>
            <w:r>
              <w:rPr>
                <w:rFonts w:ascii="Helvetica" w:hAnsi="Helvetica"/>
                <w:color w:val="000000"/>
                <w:sz w:val="6"/>
              </w:rPr>
              <w:t>gjørende</w:t>
            </w:r>
          </w:p>
        </w:tc>
        <w:tc>
          <w:tcPr>
            <w:tcW w:w="360" w:type="dxa"/>
            <w:gridSpan w:val="3"/>
            <w:vMerge/>
            <w:tcBorders>
              <w:top w:val="single" w:sz="4" w:space="0" w:color="auto"/>
              <w:left w:val="single" w:sz="4" w:space="0" w:color="auto"/>
              <w:bottom w:val="nil"/>
              <w:right w:val="nil"/>
            </w:tcBorders>
            <w:vAlign w:val="center"/>
            <w:hideMark/>
          </w:tcPr>
          <w:p w14:paraId="371C84B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vMerge/>
            <w:tcBorders>
              <w:top w:val="nil"/>
              <w:left w:val="single" w:sz="4" w:space="0" w:color="auto"/>
              <w:bottom w:val="nil"/>
              <w:right w:val="nil"/>
            </w:tcBorders>
            <w:vAlign w:val="center"/>
            <w:hideMark/>
          </w:tcPr>
          <w:p w14:paraId="5C1CEBE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nil"/>
              <w:left w:val="single" w:sz="4" w:space="0" w:color="auto"/>
              <w:bottom w:val="nil"/>
              <w:right w:val="nil"/>
            </w:tcBorders>
            <w:shd w:val="clear" w:color="auto" w:fill="FFFFFF"/>
            <w:tcMar>
              <w:top w:w="10" w:type="dxa"/>
              <w:left w:w="40" w:type="dxa"/>
              <w:bottom w:w="10" w:type="dxa"/>
              <w:right w:w="40" w:type="dxa"/>
            </w:tcMar>
            <w:vAlign w:val="center"/>
          </w:tcPr>
          <w:p w14:paraId="5C92BAF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041B3222" w14:textId="77777777" w:rsidR="00A54846" w:rsidRDefault="008A2731">
            <w:pPr>
              <w:widowControl w:val="0"/>
              <w:shd w:val="clear" w:color="auto" w:fill="auto"/>
              <w:tabs>
                <w:tab w:val="left" w:leader="underscore" w:pos="347"/>
              </w:tabs>
              <w:spacing w:after="0" w:line="240" w:lineRule="auto"/>
              <w:jc w:val="left"/>
              <w:rPr>
                <w:rFonts w:ascii="Helvetica" w:eastAsia="Arial Unicode MS" w:hAnsi="Helvetica" w:cs="Helvetica"/>
                <w:color w:val="000000"/>
                <w:sz w:val="6"/>
                <w:szCs w:val="6"/>
              </w:rPr>
            </w:pPr>
            <w:r>
              <w:rPr>
                <w:rFonts w:ascii="Helvetica" w:hAnsi="Helvetica"/>
                <w:color w:val="000000"/>
                <w:sz w:val="6"/>
              </w:rPr>
              <w:t>Hvorav lån for spesielle formål</w:t>
            </w: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225EEFC3" w14:textId="77777777"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omstilling</w:t>
            </w: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2F20C22A" w14:textId="76B084C8"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mulig</w:t>
            </w:r>
            <w:r w:rsidR="005B4732">
              <w:rPr>
                <w:rFonts w:ascii="Helvetica" w:hAnsi="Helvetica"/>
                <w:color w:val="000000"/>
                <w:sz w:val="6"/>
              </w:rPr>
              <w:softHyphen/>
            </w:r>
            <w:r>
              <w:rPr>
                <w:rFonts w:ascii="Helvetica" w:hAnsi="Helvetica"/>
                <w:color w:val="000000"/>
                <w:sz w:val="6"/>
              </w:rPr>
              <w:t>gjørende</w:t>
            </w:r>
          </w:p>
        </w:tc>
        <w:tc>
          <w:tcPr>
            <w:tcW w:w="259" w:type="dxa"/>
            <w:gridSpan w:val="2"/>
            <w:tcBorders>
              <w:top w:val="nil"/>
              <w:left w:val="single" w:sz="4" w:space="0" w:color="auto"/>
              <w:bottom w:val="nil"/>
              <w:right w:val="nil"/>
            </w:tcBorders>
            <w:vAlign w:val="center"/>
            <w:hideMark/>
          </w:tcPr>
          <w:p w14:paraId="16C5933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nil"/>
              <w:left w:val="single" w:sz="4" w:space="0" w:color="auto"/>
              <w:bottom w:val="nil"/>
              <w:right w:val="nil"/>
            </w:tcBorders>
            <w:shd w:val="clear" w:color="auto" w:fill="FFFFFF"/>
            <w:tcMar>
              <w:top w:w="10" w:type="dxa"/>
              <w:left w:w="40" w:type="dxa"/>
              <w:bottom w:w="10" w:type="dxa"/>
              <w:right w:w="40" w:type="dxa"/>
            </w:tcMar>
            <w:vAlign w:val="center"/>
          </w:tcPr>
          <w:p w14:paraId="34AC485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505F27E3" w14:textId="77777777"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lån for spesielle formål</w:t>
            </w: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6D8A0ED9" w14:textId="6CE2EDE8"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tilpasnings</w:t>
            </w:r>
            <w:r w:rsidR="005B4732">
              <w:rPr>
                <w:rFonts w:ascii="Helvetica" w:hAnsi="Helvetica"/>
                <w:color w:val="000000"/>
                <w:sz w:val="6"/>
              </w:rPr>
              <w:softHyphen/>
            </w:r>
            <w:r>
              <w:rPr>
                <w:rFonts w:ascii="Helvetica" w:hAnsi="Helvetica"/>
                <w:color w:val="000000"/>
                <w:sz w:val="6"/>
              </w:rPr>
              <w:t>aktiviteter</w:t>
            </w: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64687D70" w14:textId="58CDC3DB"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mulig</w:t>
            </w:r>
            <w:r w:rsidR="005B4732">
              <w:rPr>
                <w:rFonts w:ascii="Helvetica" w:hAnsi="Helvetica"/>
                <w:color w:val="000000"/>
                <w:sz w:val="6"/>
              </w:rPr>
              <w:softHyphen/>
            </w:r>
            <w:r>
              <w:rPr>
                <w:rFonts w:ascii="Helvetica" w:hAnsi="Helvetica"/>
                <w:color w:val="000000"/>
                <w:sz w:val="6"/>
              </w:rPr>
              <w:t>gjørende</w:t>
            </w:r>
          </w:p>
        </w:tc>
        <w:tc>
          <w:tcPr>
            <w:tcW w:w="240" w:type="dxa"/>
            <w:vMerge/>
            <w:tcBorders>
              <w:left w:val="single" w:sz="4" w:space="0" w:color="auto"/>
              <w:bottom w:val="nil"/>
              <w:right w:val="nil"/>
            </w:tcBorders>
            <w:vAlign w:val="center"/>
            <w:hideMark/>
          </w:tcPr>
          <w:p w14:paraId="17A10D0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nil"/>
              <w:left w:val="single" w:sz="4" w:space="0" w:color="auto"/>
              <w:bottom w:val="nil"/>
              <w:right w:val="nil"/>
            </w:tcBorders>
            <w:shd w:val="clear" w:color="auto" w:fill="FFFFFF"/>
            <w:tcMar>
              <w:top w:w="10" w:type="dxa"/>
              <w:left w:w="40" w:type="dxa"/>
              <w:bottom w:w="10" w:type="dxa"/>
              <w:right w:w="40" w:type="dxa"/>
            </w:tcMar>
            <w:vAlign w:val="center"/>
          </w:tcPr>
          <w:p w14:paraId="187D892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23028AAF" w14:textId="77777777"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lån for spesielle formål</w:t>
            </w: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338F314B" w14:textId="68DF9C05"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omstilling</w:t>
            </w:r>
            <w:r w:rsidR="005B4732">
              <w:t xml:space="preserve"> </w:t>
            </w:r>
            <w:r>
              <w:rPr>
                <w:rFonts w:ascii="Helvetica" w:hAnsi="Helvetica"/>
                <w:color w:val="000000"/>
                <w:sz w:val="6"/>
              </w:rPr>
              <w:t>/tilpasning</w:t>
            </w: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vAlign w:val="center"/>
            <w:hideMark/>
          </w:tcPr>
          <w:p w14:paraId="1762DC4C" w14:textId="6571687F"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Hvorav mulig</w:t>
            </w:r>
            <w:r w:rsidR="005B4732">
              <w:rPr>
                <w:rFonts w:ascii="Helvetica" w:hAnsi="Helvetica"/>
                <w:color w:val="000000"/>
                <w:sz w:val="6"/>
              </w:rPr>
              <w:softHyphen/>
            </w:r>
            <w:r>
              <w:rPr>
                <w:rFonts w:ascii="Helvetica" w:hAnsi="Helvetica"/>
                <w:color w:val="000000"/>
                <w:sz w:val="6"/>
              </w:rPr>
              <w:t>gjørende</w:t>
            </w:r>
          </w:p>
        </w:tc>
      </w:tr>
      <w:tr w:rsidR="00A54846" w14:paraId="4EAF0607"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02ACDB86"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3C6E4AF1" w14:textId="77777777"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b/>
                <w:color w:val="000000"/>
                <w:sz w:val="6"/>
                <w:u w:val="single"/>
              </w:rPr>
              <w:t>GAR – dekkede eiendeler i både teller og nevner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E3DE04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6D22E1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83F96B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A85498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662036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92A487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2AA4D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D03B5F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267712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56C00F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B6EC95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43004B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132046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E08D8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A3771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D1DC7B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A84719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06256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4D5330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212D11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6EBE80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331F0E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DF37E8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14A964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573FE5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DF0C2D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8709D2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348FD1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221353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F044A9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2AF40A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384F20E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40066D85"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B8723E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A78CA80" w14:textId="77777777" w:rsidR="00A54846" w:rsidRDefault="008A2731">
            <w:pPr>
              <w:widowControl w:val="0"/>
              <w:shd w:val="clear" w:color="auto" w:fill="auto"/>
              <w:spacing w:after="0" w:line="240" w:lineRule="auto"/>
              <w:ind w:left="40"/>
              <w:jc w:val="left"/>
              <w:rPr>
                <w:rFonts w:ascii="Helvetica" w:eastAsia="Arial Unicode MS" w:hAnsi="Helvetica" w:cs="Helvetica"/>
                <w:color w:val="000000"/>
                <w:sz w:val="6"/>
                <w:szCs w:val="6"/>
              </w:rPr>
            </w:pPr>
            <w:r>
              <w:rPr>
                <w:rFonts w:ascii="Helvetica" w:hAnsi="Helvetica"/>
                <w:color w:val="000000"/>
                <w:sz w:val="6"/>
              </w:rPr>
              <w:t>Lån og forskudd, gjeldsinstrumenter og egenkapitalinstrumenter som ikke innehas for handelsformål, og som inngår i beregningen av GAR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6FD873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7380B7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C1D861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3ADE55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14505C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FFBEA8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E61163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D9DCEF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A18A56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E8D4C1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DABC2C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15C124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435FA7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5D5BA4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358585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F40CE1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42EA70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CC9FE7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C334BE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6F2E94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FED24D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7AAF4D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480BB4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99E137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05ED48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10B9C9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5829E5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00B7B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994879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223DC0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4BD607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6029D61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1B0FD64D"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51A46041"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A0D8EC2" w14:textId="77777777" w:rsidR="00A54846" w:rsidRDefault="008A2731">
            <w:pPr>
              <w:widowControl w:val="0"/>
              <w:shd w:val="clear" w:color="auto" w:fill="auto"/>
              <w:spacing w:after="0" w:line="240" w:lineRule="auto"/>
              <w:ind w:left="100"/>
              <w:jc w:val="left"/>
              <w:rPr>
                <w:rFonts w:ascii="Helvetica" w:eastAsia="Arial Unicode MS" w:hAnsi="Helvetica" w:cs="Helvetica"/>
                <w:b/>
                <w:color w:val="000000"/>
                <w:sz w:val="6"/>
                <w:szCs w:val="6"/>
              </w:rPr>
            </w:pPr>
            <w:r>
              <w:rPr>
                <w:rFonts w:ascii="Helvetica" w:hAnsi="Helvetica"/>
                <w:b/>
                <w:color w:val="000000"/>
                <w:sz w:val="6"/>
              </w:rPr>
              <w:t>Finansielle foretak</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52A669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6AE9EF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4149FE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648242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8A0034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AB62A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2F5B8E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7C2596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5EC407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3713D9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A53A99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69DA50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8D0C69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C5FB93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F525B5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585D32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A0300E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047319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645DE7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1757EE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392832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6BDD56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BB04AF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5381C2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49CCFC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EDB9CF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A21BF3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BB19B1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798843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1154CB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92C98F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7EF5141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54A0489E"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99D00D8"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4</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7363324" w14:textId="77777777" w:rsidR="00A54846" w:rsidRDefault="008A2731">
            <w:pPr>
              <w:widowControl w:val="0"/>
              <w:shd w:val="clear" w:color="auto" w:fill="auto"/>
              <w:spacing w:after="0" w:line="240" w:lineRule="auto"/>
              <w:ind w:left="140"/>
              <w:jc w:val="left"/>
              <w:rPr>
                <w:rFonts w:ascii="Helvetica" w:eastAsia="Arial Unicode MS" w:hAnsi="Helvetica" w:cs="Helvetica"/>
                <w:color w:val="000000"/>
                <w:sz w:val="6"/>
                <w:szCs w:val="6"/>
              </w:rPr>
            </w:pPr>
            <w:r>
              <w:rPr>
                <w:rFonts w:ascii="Helvetica" w:hAnsi="Helvetica"/>
                <w:color w:val="000000"/>
                <w:sz w:val="6"/>
              </w:rPr>
              <w:t>Kredittinstitusjoner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554A94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BEF8B7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FC56F2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4603C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D0CF17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498573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355E16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0B4BD6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0D3E15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B79231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145258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BE11B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AB9CF7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5585D4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A00036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D8E60C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A228EA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AC75B8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0F597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0E7AA4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27D532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CEB7FF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19A0D0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DF3035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ED3D7C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008D4F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DDED71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8EE01D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DC889F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16196C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7E3410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64420AA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10B71893"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40EB0F6"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2A7A5DB"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Lån og forskudd</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492B04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A80847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6643F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14AFF5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531F8C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920E9A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EB0172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747C8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3DAD0D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C89A01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6D06F9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5560C1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11B6B9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3FC068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9448F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1C0A56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95CFD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C53FF4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D75A7F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5B90EF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7FCC9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CD93CF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5047D5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4A241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574EE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37A2DB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138716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D62CDB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27B9F4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B9A5BE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BC4A97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32A5764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2045B92E"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5B367B4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6</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5423E4ED"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Gjeldsinstrumenter, herunder bruk av proveny</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012304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4D358B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AFED8B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DCCDE7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7F49F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945F85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C556A3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3D796F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0C67DC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9D4408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EBBE02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892BD5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0767A8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C47C1F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EA208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BEE295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AB5C49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A433BE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05DFA7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05E702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200BE7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196B2B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53032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4ABE21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10CF1F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8AC066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A7F27B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B23601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72A063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23CED6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66C739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299A51E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48BB433C"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DDDE983"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7</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35540B3A"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Egenkapitalinstrumenter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43F723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10E2A2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775248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nil"/>
              <w:left w:val="single" w:sz="4" w:space="0" w:color="auto"/>
              <w:bottom w:val="nil"/>
              <w:right w:val="nil"/>
            </w:tcBorders>
            <w:shd w:val="clear" w:color="auto" w:fill="000000"/>
            <w:tcMar>
              <w:top w:w="10" w:type="dxa"/>
              <w:left w:w="40" w:type="dxa"/>
              <w:bottom w:w="10" w:type="dxa"/>
              <w:right w:w="40" w:type="dxa"/>
            </w:tcMar>
          </w:tcPr>
          <w:p w14:paraId="4406B4D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053A01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331C7A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7C64DE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DA876A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32DBF02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A98F71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94AF40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B81B5B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A253E9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31E0071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A7CF96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7A0FB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0BA753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C308C1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D7BFE0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28CDA6B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4828A1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EF8374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36D44C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1F48A0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0D5FA1B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8CC5A7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2B6CD9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9FABFB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39A052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nil"/>
              <w:left w:val="single" w:sz="4" w:space="0" w:color="auto"/>
              <w:bottom w:val="nil"/>
              <w:right w:val="nil"/>
            </w:tcBorders>
            <w:shd w:val="clear" w:color="auto" w:fill="000000"/>
            <w:tcMar>
              <w:top w:w="10" w:type="dxa"/>
              <w:left w:w="40" w:type="dxa"/>
              <w:bottom w:w="10" w:type="dxa"/>
              <w:right w:w="40" w:type="dxa"/>
            </w:tcMar>
          </w:tcPr>
          <w:p w14:paraId="66C5A1F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6E4061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34CA1CA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337A4890"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530F309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8</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08C7B187" w14:textId="77777777" w:rsidR="00A54846" w:rsidRDefault="008A2731">
            <w:pPr>
              <w:widowControl w:val="0"/>
              <w:shd w:val="clear" w:color="auto" w:fill="auto"/>
              <w:spacing w:after="0" w:line="240" w:lineRule="auto"/>
              <w:ind w:left="140"/>
              <w:jc w:val="left"/>
              <w:rPr>
                <w:rFonts w:ascii="Helvetica" w:eastAsia="Arial Unicode MS" w:hAnsi="Helvetica" w:cs="Helvetica"/>
                <w:color w:val="000000"/>
                <w:sz w:val="6"/>
                <w:szCs w:val="6"/>
              </w:rPr>
            </w:pPr>
            <w:r>
              <w:rPr>
                <w:rFonts w:ascii="Helvetica" w:hAnsi="Helvetica"/>
                <w:color w:val="000000"/>
                <w:sz w:val="6"/>
              </w:rPr>
              <w:t>Andre finansielle foretak</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FF2430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C01A20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5B2D68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8DC613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98A5DF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C437E2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44CA66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B992C8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E4D8F1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077DFC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1D03DD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CE1409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876C96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018C0F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0AEBF8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AF79AE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7FE747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7C716A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BBCF69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B4BA96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0AE01D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E89B56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00120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1C0241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335F4E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8020F1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20B0F1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D4F0F1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01E8F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D53849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811FFB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458C53D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430F4CDB"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53E78C7"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9</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8AC5A88"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hvorav verdipapirforetak</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71A178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F0492B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7C808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C5C321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FA247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2551AE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5F6FD6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F64CD5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92713F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B34F65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9DC4A9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3275A6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7C3F47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385506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C6AE9A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C92319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F852EB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35F146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19E840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93C5E8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C044F2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C5D051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79974E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527E18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60480D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5CF8EC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6A6080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A8E6E7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530FCE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3625DA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AF39D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104BB29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4FE12999"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3D044D0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10</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690B7C06" w14:textId="77777777" w:rsidR="00A54846" w:rsidRDefault="008A2731">
            <w:pPr>
              <w:widowControl w:val="0"/>
              <w:shd w:val="clear" w:color="auto" w:fill="auto"/>
              <w:spacing w:after="0" w:line="240" w:lineRule="auto"/>
              <w:ind w:left="220"/>
              <w:jc w:val="left"/>
              <w:rPr>
                <w:rFonts w:ascii="Helvetica" w:eastAsia="Arial Unicode MS" w:hAnsi="Helvetica" w:cs="Helvetica"/>
                <w:color w:val="000000"/>
                <w:sz w:val="6"/>
                <w:szCs w:val="6"/>
              </w:rPr>
            </w:pPr>
            <w:r>
              <w:rPr>
                <w:rFonts w:ascii="Helvetica" w:hAnsi="Helvetica"/>
                <w:color w:val="000000"/>
                <w:sz w:val="6"/>
              </w:rPr>
              <w:t>Lån og forskudd</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A1EFC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777CFC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A6BBBB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20D705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9C768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57CE61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394360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EAA34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F86E61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535A72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5AFA0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B37D85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873084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01145A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1A960B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9F153C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A27012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5653B6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7A46AE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9A7133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997F36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5617D8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81965F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16A220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FA84A3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633505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99DA39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98F7F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A6CEBE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FA414A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4BA1D6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0307735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4342CB77"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0C05ADA0"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11</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50E291D7"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Gjeldsinstrumenter, herunder bruk av proveny</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F01C03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137F96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B672B0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FEA59C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C82DD9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37CC45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847A6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958512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C2E248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13D17D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FC7FB5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60295A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C33AEA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5BF78E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D8F3AD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AD252F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1C5419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7722DB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250F35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6932D7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744DDB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7F9B29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144CB7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73E0C5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26D22D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FDEE19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480E9A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08F401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29AAF8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34DEEC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CEC6A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4AA8A80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7038568C"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4847389"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12</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85150C6" w14:textId="77777777" w:rsidR="00A54846" w:rsidRDefault="008A2731">
            <w:pPr>
              <w:widowControl w:val="0"/>
              <w:shd w:val="clear" w:color="auto" w:fill="auto"/>
              <w:spacing w:after="0" w:line="240" w:lineRule="auto"/>
              <w:ind w:left="220"/>
              <w:jc w:val="left"/>
              <w:rPr>
                <w:rFonts w:ascii="Helvetica" w:eastAsia="Arial Unicode MS" w:hAnsi="Helvetica" w:cs="Helvetica"/>
                <w:color w:val="000000"/>
                <w:sz w:val="6"/>
                <w:szCs w:val="6"/>
              </w:rPr>
            </w:pPr>
            <w:r>
              <w:rPr>
                <w:rFonts w:ascii="Helvetica" w:hAnsi="Helvetica"/>
                <w:color w:val="000000"/>
                <w:sz w:val="6"/>
              </w:rPr>
              <w:t>Egenkapitalinstrumenter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294751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45D30A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61F3D3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nil"/>
              <w:left w:val="single" w:sz="4" w:space="0" w:color="auto"/>
              <w:bottom w:val="nil"/>
              <w:right w:val="nil"/>
            </w:tcBorders>
            <w:shd w:val="clear" w:color="auto" w:fill="000000"/>
            <w:tcMar>
              <w:top w:w="10" w:type="dxa"/>
              <w:left w:w="40" w:type="dxa"/>
              <w:bottom w:w="10" w:type="dxa"/>
              <w:right w:w="40" w:type="dxa"/>
            </w:tcMar>
          </w:tcPr>
          <w:p w14:paraId="077C8F0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08882F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014519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68BA36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608055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2CC309B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1599E2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615401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848B13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7C32C0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657CBFF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DDE36A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0E2CA0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6C6A9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542281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6085F7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1A42DD5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231A07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4E654A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34AF09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CFDEF0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44C8F07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BBE9D4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AA5DED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863347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0E0F9A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nil"/>
              <w:left w:val="single" w:sz="4" w:space="0" w:color="auto"/>
              <w:bottom w:val="nil"/>
              <w:right w:val="nil"/>
            </w:tcBorders>
            <w:shd w:val="clear" w:color="auto" w:fill="000000"/>
            <w:tcMar>
              <w:top w:w="10" w:type="dxa"/>
              <w:left w:w="40" w:type="dxa"/>
              <w:bottom w:w="10" w:type="dxa"/>
              <w:right w:w="40" w:type="dxa"/>
            </w:tcMar>
          </w:tcPr>
          <w:p w14:paraId="41D61A2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DB6945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7065108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0DAC9375"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3C5D1F96"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13</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5B919887"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hvorav forvaltningsselskaper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B95677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DAFBDD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A139B9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D4463D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3B8131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7C1324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9B3587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055926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DDDD2E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1F0DA2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FEF257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47C87A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86D6B4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8B8AF6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02DAF8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3B38ED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A7C45F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C950FD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D8D6F4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5F34EF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2290E8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C20399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B4E7E8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D58894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8978E9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946CF6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C8EE53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0FBC65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5F5F31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7CA01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31746A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5EFF92B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5065A1E5"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30A1B796"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14</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470CC54A" w14:textId="77777777" w:rsidR="00A54846" w:rsidRDefault="008A2731">
            <w:pPr>
              <w:widowControl w:val="0"/>
              <w:shd w:val="clear" w:color="auto" w:fill="auto"/>
              <w:spacing w:after="0" w:line="240" w:lineRule="auto"/>
              <w:ind w:left="220"/>
              <w:jc w:val="left"/>
              <w:rPr>
                <w:rFonts w:ascii="Helvetica" w:eastAsia="Arial Unicode MS" w:hAnsi="Helvetica" w:cs="Helvetica"/>
                <w:color w:val="000000"/>
                <w:sz w:val="6"/>
                <w:szCs w:val="6"/>
              </w:rPr>
            </w:pPr>
            <w:r>
              <w:rPr>
                <w:rFonts w:ascii="Helvetica" w:hAnsi="Helvetica"/>
                <w:color w:val="000000"/>
                <w:sz w:val="6"/>
              </w:rPr>
              <w:t>Lån og forskudd</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F992E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3484AA44" w14:textId="77777777" w:rsidR="00A54846" w:rsidRDefault="00A54846">
            <w:pPr>
              <w:widowControl w:val="0"/>
              <w:shd w:val="clear" w:color="auto" w:fill="auto"/>
              <w:tabs>
                <w:tab w:val="left" w:leader="underscore" w:pos="212"/>
              </w:tabs>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6084B517" w14:textId="77777777" w:rsidR="00A54846" w:rsidRDefault="00A54846">
            <w:pPr>
              <w:widowControl w:val="0"/>
              <w:shd w:val="clear" w:color="auto" w:fill="auto"/>
              <w:tabs>
                <w:tab w:val="left" w:leader="underscore" w:pos="297"/>
              </w:tabs>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E240AA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B94D3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AD4C2D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1F43E6AF" w14:textId="77777777" w:rsidR="00A54846" w:rsidRDefault="00A54846">
            <w:pPr>
              <w:widowControl w:val="0"/>
              <w:shd w:val="clear" w:color="auto" w:fill="auto"/>
              <w:tabs>
                <w:tab w:val="left" w:leader="underscore" w:pos="212"/>
              </w:tabs>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0AF597FA" w14:textId="77777777" w:rsidR="00A54846" w:rsidRDefault="00A54846">
            <w:pPr>
              <w:widowControl w:val="0"/>
              <w:shd w:val="clear" w:color="auto" w:fill="auto"/>
              <w:tabs>
                <w:tab w:val="left" w:leader="underscore" w:pos="255"/>
              </w:tabs>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AD4017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2496CE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55E2B91F" w14:textId="77777777" w:rsidR="00A54846" w:rsidRDefault="00A54846">
            <w:pPr>
              <w:widowControl w:val="0"/>
              <w:shd w:val="clear" w:color="auto" w:fill="auto"/>
              <w:tabs>
                <w:tab w:val="left" w:leader="underscore" w:pos="304"/>
              </w:tabs>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75E4BBBE" w14:textId="77777777" w:rsidR="00A54846" w:rsidRDefault="00A54846">
            <w:pPr>
              <w:widowControl w:val="0"/>
              <w:shd w:val="clear" w:color="auto" w:fill="auto"/>
              <w:tabs>
                <w:tab w:val="left" w:leader="underscore" w:pos="234"/>
              </w:tabs>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30364E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443D08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8A2E11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BA235B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48F30804" w14:textId="77777777" w:rsidR="00A54846" w:rsidRDefault="00A54846">
            <w:pPr>
              <w:widowControl w:val="0"/>
              <w:shd w:val="clear" w:color="auto" w:fill="auto"/>
              <w:tabs>
                <w:tab w:val="left" w:leader="underscore" w:pos="333"/>
              </w:tabs>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2E876230" w14:textId="77777777" w:rsidR="00A54846" w:rsidRDefault="00A54846">
            <w:pPr>
              <w:widowControl w:val="0"/>
              <w:shd w:val="clear" w:color="auto" w:fill="auto"/>
              <w:tabs>
                <w:tab w:val="left" w:leader="underscore" w:pos="219"/>
              </w:tabs>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ACE920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1C4A7B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0626EB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B3E69E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7470AFD5" w14:textId="77777777" w:rsidR="00A54846" w:rsidRDefault="00A54846">
            <w:pPr>
              <w:widowControl w:val="0"/>
              <w:shd w:val="clear" w:color="auto" w:fill="auto"/>
              <w:tabs>
                <w:tab w:val="left" w:leader="underscore" w:pos="216"/>
              </w:tabs>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216691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0C9F0E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E2C3A3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1C3325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286E2684" w14:textId="77777777" w:rsidR="00A54846" w:rsidRDefault="00A54846">
            <w:pPr>
              <w:widowControl w:val="0"/>
              <w:shd w:val="clear" w:color="auto" w:fill="auto"/>
              <w:tabs>
                <w:tab w:val="left" w:leader="underscore" w:pos="216"/>
              </w:tabs>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4C86EA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84A725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B11FDE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1C464F8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23841BF9"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66009C57"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15</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407AA0C1"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Gjeldsinstrumenter, herunder bruk av proveny</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B75DC3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338DE420" w14:textId="77777777" w:rsidR="00A54846" w:rsidRPr="006A792F" w:rsidRDefault="00A54846">
            <w:pPr>
              <w:widowControl w:val="0"/>
              <w:shd w:val="clear" w:color="auto" w:fill="auto"/>
              <w:tabs>
                <w:tab w:val="left" w:leader="underscore" w:pos="212"/>
              </w:tabs>
              <w:spacing w:after="0" w:line="240" w:lineRule="auto"/>
              <w:jc w:val="left"/>
              <w:rPr>
                <w:rFonts w:ascii="Helvetica" w:eastAsia="Arial Unicode MS" w:hAnsi="Helvetica" w:cs="Helvetica"/>
                <w:color w:val="000000"/>
                <w:sz w:val="6"/>
                <w:szCs w:val="6"/>
                <w:lang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657577AA" w14:textId="77777777" w:rsidR="00A54846" w:rsidRPr="006A792F" w:rsidRDefault="00A54846">
            <w:pPr>
              <w:widowControl w:val="0"/>
              <w:shd w:val="clear" w:color="auto" w:fill="auto"/>
              <w:tabs>
                <w:tab w:val="left" w:leader="underscore" w:pos="297"/>
              </w:tabs>
              <w:spacing w:after="0" w:line="240" w:lineRule="auto"/>
              <w:jc w:val="left"/>
              <w:rPr>
                <w:rFonts w:ascii="Helvetica" w:eastAsia="Arial Unicode MS" w:hAnsi="Helvetica" w:cs="Helvetica"/>
                <w:color w:val="000000"/>
                <w:sz w:val="6"/>
                <w:szCs w:val="6"/>
                <w:lang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7C9F0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5ECD8E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A4B0E0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2C6728FF" w14:textId="77777777" w:rsidR="00A54846" w:rsidRPr="006A792F" w:rsidRDefault="00A54846">
            <w:pPr>
              <w:widowControl w:val="0"/>
              <w:shd w:val="clear" w:color="auto" w:fill="auto"/>
              <w:tabs>
                <w:tab w:val="left" w:leader="underscore" w:pos="212"/>
              </w:tabs>
              <w:spacing w:after="0" w:line="240" w:lineRule="auto"/>
              <w:jc w:val="left"/>
              <w:rPr>
                <w:rFonts w:ascii="Helvetica" w:eastAsia="Arial Unicode MS" w:hAnsi="Helvetica" w:cs="Helvetica"/>
                <w:color w:val="000000"/>
                <w:sz w:val="6"/>
                <w:szCs w:val="6"/>
                <w:lang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0C9C867F" w14:textId="77777777" w:rsidR="00A54846" w:rsidRPr="006A792F" w:rsidRDefault="00A54846">
            <w:pPr>
              <w:widowControl w:val="0"/>
              <w:shd w:val="clear" w:color="auto" w:fill="auto"/>
              <w:tabs>
                <w:tab w:val="left" w:leader="underscore" w:pos="255"/>
              </w:tabs>
              <w:spacing w:after="0" w:line="240" w:lineRule="auto"/>
              <w:jc w:val="left"/>
              <w:rPr>
                <w:rFonts w:ascii="Helvetica" w:eastAsia="Arial Unicode MS" w:hAnsi="Helvetica" w:cs="Helvetica"/>
                <w:color w:val="000000"/>
                <w:sz w:val="6"/>
                <w:szCs w:val="6"/>
                <w:lang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BE0710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C5D10E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395E5565" w14:textId="77777777" w:rsidR="00A54846" w:rsidRPr="006A792F" w:rsidRDefault="00A54846">
            <w:pPr>
              <w:widowControl w:val="0"/>
              <w:shd w:val="clear" w:color="auto" w:fill="auto"/>
              <w:tabs>
                <w:tab w:val="left" w:leader="underscore" w:pos="304"/>
              </w:tabs>
              <w:spacing w:after="0" w:line="240" w:lineRule="auto"/>
              <w:jc w:val="left"/>
              <w:rPr>
                <w:rFonts w:ascii="Helvetica" w:eastAsia="Arial Unicode MS" w:hAnsi="Helvetica" w:cs="Helvetica"/>
                <w:color w:val="000000"/>
                <w:sz w:val="6"/>
                <w:szCs w:val="6"/>
                <w:lang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72FED79C" w14:textId="77777777" w:rsidR="00A54846" w:rsidRPr="006A792F" w:rsidRDefault="00A54846">
            <w:pPr>
              <w:widowControl w:val="0"/>
              <w:shd w:val="clear" w:color="auto" w:fill="auto"/>
              <w:tabs>
                <w:tab w:val="left" w:leader="underscore" w:pos="234"/>
              </w:tabs>
              <w:spacing w:after="0" w:line="240" w:lineRule="auto"/>
              <w:jc w:val="left"/>
              <w:rPr>
                <w:rFonts w:ascii="Helvetica" w:eastAsia="Arial Unicode MS" w:hAnsi="Helvetica" w:cs="Helvetica"/>
                <w:color w:val="000000"/>
                <w:sz w:val="6"/>
                <w:szCs w:val="6"/>
                <w:lang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5A2664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23B375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4C7EF1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52CD67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442C9681" w14:textId="77777777" w:rsidR="00A54846" w:rsidRPr="006A792F" w:rsidRDefault="00A54846">
            <w:pPr>
              <w:widowControl w:val="0"/>
              <w:shd w:val="clear" w:color="auto" w:fill="auto"/>
              <w:tabs>
                <w:tab w:val="left" w:leader="underscore" w:pos="333"/>
              </w:tabs>
              <w:spacing w:after="0" w:line="240" w:lineRule="auto"/>
              <w:jc w:val="left"/>
              <w:rPr>
                <w:rFonts w:ascii="Helvetica" w:eastAsia="Arial Unicode MS" w:hAnsi="Helvetica" w:cs="Helvetica"/>
                <w:color w:val="000000"/>
                <w:sz w:val="6"/>
                <w:szCs w:val="6"/>
                <w:lang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7D96B5B1" w14:textId="77777777" w:rsidR="00A54846" w:rsidRPr="006A792F" w:rsidRDefault="00A54846">
            <w:pPr>
              <w:widowControl w:val="0"/>
              <w:shd w:val="clear" w:color="auto" w:fill="auto"/>
              <w:tabs>
                <w:tab w:val="left" w:leader="underscore" w:pos="219"/>
              </w:tabs>
              <w:spacing w:after="0" w:line="240" w:lineRule="auto"/>
              <w:jc w:val="left"/>
              <w:rPr>
                <w:rFonts w:ascii="Helvetica" w:eastAsia="Arial Unicode MS" w:hAnsi="Helvetica" w:cs="Helvetica"/>
                <w:color w:val="000000"/>
                <w:sz w:val="6"/>
                <w:szCs w:val="6"/>
                <w:lang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9C5378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F0AD3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532933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04581B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558E04D3" w14:textId="77777777" w:rsidR="00A54846" w:rsidRPr="006A792F" w:rsidRDefault="00A54846">
            <w:pPr>
              <w:widowControl w:val="0"/>
              <w:shd w:val="clear" w:color="auto" w:fill="auto"/>
              <w:tabs>
                <w:tab w:val="left" w:leader="underscore" w:pos="216"/>
              </w:tabs>
              <w:spacing w:after="0" w:line="240" w:lineRule="auto"/>
              <w:jc w:val="left"/>
              <w:rPr>
                <w:rFonts w:ascii="Helvetica" w:eastAsia="Arial Unicode MS" w:hAnsi="Helvetica" w:cs="Helvetica"/>
                <w:color w:val="000000"/>
                <w:sz w:val="6"/>
                <w:szCs w:val="6"/>
                <w:lang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5BE71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4BD78C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3CE79A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31EBB7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tcPr>
          <w:p w14:paraId="2D0A8100" w14:textId="77777777" w:rsidR="00A54846" w:rsidRPr="006A792F" w:rsidRDefault="00A54846">
            <w:pPr>
              <w:widowControl w:val="0"/>
              <w:shd w:val="clear" w:color="auto" w:fill="auto"/>
              <w:tabs>
                <w:tab w:val="left" w:leader="underscore" w:pos="216"/>
              </w:tabs>
              <w:spacing w:after="0" w:line="240" w:lineRule="auto"/>
              <w:jc w:val="left"/>
              <w:rPr>
                <w:rFonts w:ascii="Helvetica" w:eastAsia="Arial Unicode MS" w:hAnsi="Helvetica" w:cs="Helvetica"/>
                <w:color w:val="000000"/>
                <w:sz w:val="6"/>
                <w:szCs w:val="6"/>
                <w:lang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7039C6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093756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40CD34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1B122E3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0FA8A13D"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E31DC14"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16</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9D49CB7" w14:textId="77777777" w:rsidR="00A54846" w:rsidRDefault="008A2731">
            <w:pPr>
              <w:widowControl w:val="0"/>
              <w:shd w:val="clear" w:color="auto" w:fill="auto"/>
              <w:spacing w:after="0" w:line="240" w:lineRule="auto"/>
              <w:ind w:left="220"/>
              <w:jc w:val="left"/>
              <w:rPr>
                <w:rFonts w:ascii="Helvetica" w:eastAsia="Arial Unicode MS" w:hAnsi="Helvetica" w:cs="Helvetica"/>
                <w:color w:val="000000"/>
                <w:sz w:val="6"/>
                <w:szCs w:val="6"/>
              </w:rPr>
            </w:pPr>
            <w:r>
              <w:rPr>
                <w:rFonts w:ascii="Helvetica" w:hAnsi="Helvetica"/>
                <w:color w:val="000000"/>
                <w:sz w:val="6"/>
              </w:rPr>
              <w:t>Egenkapitalinstrumenter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C8D142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B4C4B1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8E92FC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000000"/>
            <w:tcMar>
              <w:top w:w="10" w:type="dxa"/>
              <w:left w:w="40" w:type="dxa"/>
              <w:bottom w:w="10" w:type="dxa"/>
              <w:right w:w="40" w:type="dxa"/>
            </w:tcMar>
          </w:tcPr>
          <w:p w14:paraId="64DAECB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B6FE6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04A361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A0A028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D1087C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000000"/>
            <w:tcMar>
              <w:top w:w="10" w:type="dxa"/>
              <w:left w:w="40" w:type="dxa"/>
              <w:bottom w:w="10" w:type="dxa"/>
              <w:right w:w="40" w:type="dxa"/>
            </w:tcMar>
          </w:tcPr>
          <w:p w14:paraId="5E36C69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66DB07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9180A7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A556DE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A65795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000000"/>
            <w:tcMar>
              <w:top w:w="10" w:type="dxa"/>
              <w:left w:w="40" w:type="dxa"/>
              <w:bottom w:w="10" w:type="dxa"/>
              <w:right w:w="40" w:type="dxa"/>
            </w:tcMar>
          </w:tcPr>
          <w:p w14:paraId="41EC598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332FA2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5B3F59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3E1CE5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8B5BED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6712C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000000"/>
            <w:tcMar>
              <w:top w:w="10" w:type="dxa"/>
              <w:left w:w="40" w:type="dxa"/>
              <w:bottom w:w="10" w:type="dxa"/>
              <w:right w:w="40" w:type="dxa"/>
            </w:tcMar>
          </w:tcPr>
          <w:p w14:paraId="4048198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907796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ECA255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C072CC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A4ECF8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000000"/>
            <w:tcMar>
              <w:top w:w="10" w:type="dxa"/>
              <w:left w:w="40" w:type="dxa"/>
              <w:bottom w:w="10" w:type="dxa"/>
              <w:right w:w="40" w:type="dxa"/>
            </w:tcMar>
          </w:tcPr>
          <w:p w14:paraId="4C7B343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D8F369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A2D139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E54990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E7FD5A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000000"/>
            <w:tcMar>
              <w:top w:w="10" w:type="dxa"/>
              <w:left w:w="40" w:type="dxa"/>
              <w:bottom w:w="10" w:type="dxa"/>
              <w:right w:w="40" w:type="dxa"/>
            </w:tcMar>
          </w:tcPr>
          <w:p w14:paraId="3934F47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F92352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670D98B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6492CCDA"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533E6532"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17</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BBD064F"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hvorav forsikringsforetak</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A7C1B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7BE779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0FEE95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E49C63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F469E4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333B3C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184E84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2CEF55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8A6910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9176B0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271B41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F16102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C76541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28447D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7C44B3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0861D2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182B8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E4B41F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82DC19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E67E42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2A90F3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AB8FFC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6385BF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B2DE0B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A11895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DCFB54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46A9F1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965181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59AD5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95C39B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21F5AD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77ED459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7BE3175F"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EC9A6BA"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18</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490E1E1D" w14:textId="77777777" w:rsidR="00A54846" w:rsidRDefault="008A2731">
            <w:pPr>
              <w:widowControl w:val="0"/>
              <w:shd w:val="clear" w:color="auto" w:fill="auto"/>
              <w:spacing w:after="0" w:line="240" w:lineRule="auto"/>
              <w:ind w:left="220"/>
              <w:jc w:val="left"/>
              <w:rPr>
                <w:rFonts w:ascii="Helvetica" w:eastAsia="Arial Unicode MS" w:hAnsi="Helvetica" w:cs="Helvetica"/>
                <w:color w:val="000000"/>
                <w:sz w:val="6"/>
                <w:szCs w:val="6"/>
              </w:rPr>
            </w:pPr>
            <w:r>
              <w:rPr>
                <w:rFonts w:ascii="Helvetica" w:hAnsi="Helvetica"/>
                <w:color w:val="000000"/>
                <w:sz w:val="6"/>
              </w:rPr>
              <w:t>Lån og forskudd</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A611C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04F7E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4A829E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25B23A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72CC9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20061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F975C0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CB25C1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184FA8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58C3B8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FD56BA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98F16C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169532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0A7622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06E008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71662D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0DB270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276001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3EED23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C04647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F8F488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DE435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7C9B0A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F8AC6E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9FDED7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D8B4AF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3C6C42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B61279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939015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AF4F12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1D4EFE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1104B01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69012D78"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5204953E"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19</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4DE3D93"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Gjeldsinstrumenter, herunder bruk av proveny</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CECDFE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56A74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55BA95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7BDC3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2BD49D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2C64E6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CBB10C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F7F54D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2E7B9C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ECF5F0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7CCDC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2EE69E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F60FE3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70521C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AEEB18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21E66A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3542AB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EF7B4F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FE6B66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0EFA61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4C3AE0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1F8FF9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871252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7AB545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2CE404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D85AF8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CAAA01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8CB422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8B4CE4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B5AF91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C1221F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2EAE1FA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639C0F15"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D3A52B2"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20</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71836B66" w14:textId="77777777" w:rsidR="00A54846" w:rsidRDefault="008A2731">
            <w:pPr>
              <w:widowControl w:val="0"/>
              <w:shd w:val="clear" w:color="auto" w:fill="auto"/>
              <w:spacing w:after="0" w:line="240" w:lineRule="auto"/>
              <w:ind w:left="220"/>
              <w:jc w:val="left"/>
              <w:rPr>
                <w:rFonts w:ascii="Helvetica" w:eastAsia="Arial Unicode MS" w:hAnsi="Helvetica" w:cs="Helvetica"/>
                <w:color w:val="000000"/>
                <w:sz w:val="6"/>
                <w:szCs w:val="6"/>
              </w:rPr>
            </w:pPr>
            <w:r>
              <w:rPr>
                <w:rFonts w:ascii="Helvetica" w:hAnsi="Helvetica"/>
                <w:color w:val="000000"/>
                <w:sz w:val="6"/>
              </w:rPr>
              <w:t>Egenkapitalinstrumenter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9BC284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2613DB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789C29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nil"/>
              <w:left w:val="single" w:sz="4" w:space="0" w:color="auto"/>
              <w:bottom w:val="nil"/>
              <w:right w:val="nil"/>
            </w:tcBorders>
            <w:shd w:val="clear" w:color="auto" w:fill="000000"/>
            <w:tcMar>
              <w:top w:w="10" w:type="dxa"/>
              <w:left w:w="40" w:type="dxa"/>
              <w:bottom w:w="10" w:type="dxa"/>
              <w:right w:w="40" w:type="dxa"/>
            </w:tcMar>
          </w:tcPr>
          <w:p w14:paraId="4AF9FEC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3B00AC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39A897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A98D9A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4E378D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559FDCB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0E462F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4B5F7A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3E970B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951FA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1CEC0BF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6946C8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13864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3131D7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F5E6FF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4FA3BB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6ED26F7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A0A1B3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0C2ECD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103CD9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9F3E90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0D3EDDE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FD48BA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7FEC5E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3FC3F1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F0DF47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nil"/>
              <w:left w:val="single" w:sz="4" w:space="0" w:color="auto"/>
              <w:bottom w:val="nil"/>
              <w:right w:val="nil"/>
            </w:tcBorders>
            <w:shd w:val="clear" w:color="auto" w:fill="000000"/>
            <w:tcMar>
              <w:top w:w="10" w:type="dxa"/>
              <w:left w:w="40" w:type="dxa"/>
              <w:bottom w:w="10" w:type="dxa"/>
              <w:right w:w="40" w:type="dxa"/>
            </w:tcMar>
          </w:tcPr>
          <w:p w14:paraId="3568EE5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58B9F4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28691D7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457500E3"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4FB82F3"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21</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FDB9AD0" w14:textId="77777777" w:rsidR="00A54846" w:rsidRDefault="008A2731">
            <w:pPr>
              <w:widowControl w:val="0"/>
              <w:shd w:val="clear" w:color="auto" w:fill="auto"/>
              <w:spacing w:after="0" w:line="240" w:lineRule="auto"/>
              <w:ind w:left="100"/>
              <w:jc w:val="left"/>
              <w:rPr>
                <w:rFonts w:ascii="Helvetica" w:eastAsia="Arial Unicode MS" w:hAnsi="Helvetica" w:cs="Helvetica"/>
                <w:b/>
                <w:color w:val="000000"/>
                <w:sz w:val="6"/>
                <w:szCs w:val="6"/>
              </w:rPr>
            </w:pPr>
            <w:r>
              <w:rPr>
                <w:rFonts w:ascii="Helvetica" w:hAnsi="Helvetica"/>
                <w:b/>
                <w:color w:val="000000"/>
                <w:sz w:val="6"/>
              </w:rPr>
              <w:t>Ikke-finansielle foretak</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6CF053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F06E45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673D38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8597D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41DD6E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7C9918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AE040A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1C4BD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0971BE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017273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3494EC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E5F759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F2E16A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62758D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E87D99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CB44E0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C213A6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1CA6A8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D662A4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3704F6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6A27D4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2ABFCD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B103A0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88EB13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530D42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D46F7B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9904E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75D4C2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13F969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F81D71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325167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50DCE61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7BF34361"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34AFE533"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22</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5AF89C1C" w14:textId="77777777" w:rsidR="00A54846" w:rsidRDefault="008A2731">
            <w:pPr>
              <w:widowControl w:val="0"/>
              <w:shd w:val="clear" w:color="auto" w:fill="auto"/>
              <w:spacing w:after="0" w:line="240" w:lineRule="auto"/>
              <w:ind w:left="140"/>
              <w:jc w:val="left"/>
              <w:rPr>
                <w:rFonts w:ascii="Helvetica" w:eastAsia="Arial Unicode MS" w:hAnsi="Helvetica" w:cs="Helvetica"/>
                <w:color w:val="000000"/>
                <w:sz w:val="6"/>
                <w:szCs w:val="6"/>
              </w:rPr>
            </w:pPr>
            <w:r>
              <w:rPr>
                <w:rFonts w:ascii="Helvetica" w:hAnsi="Helvetica"/>
                <w:color w:val="000000"/>
                <w:sz w:val="6"/>
              </w:rPr>
              <w:t>Ikke-finansielle foretak som er omfattet av opplysningsplikten i direktivet om ikke-finansiell rapportering</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E89BC0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50055C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8E7945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732169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79A2C1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099A0B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0B7F8E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CD3AC8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F8D7F8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262D78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4F4372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7F5BC5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946831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120A39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C317AB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13E105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506444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C76541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285358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B6230F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0FE2A5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1AA05B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2AA48B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9B3C13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00907D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57DC1C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7FDBD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228EB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0C8FB3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95B0C0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4E9639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189DE1F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2F73B5BB"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3E6CE157"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23</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720D9F3E" w14:textId="77777777" w:rsidR="00A54846" w:rsidRDefault="008A2731">
            <w:pPr>
              <w:widowControl w:val="0"/>
              <w:shd w:val="clear" w:color="auto" w:fill="auto"/>
              <w:spacing w:after="0" w:line="240" w:lineRule="auto"/>
              <w:ind w:left="220"/>
              <w:jc w:val="left"/>
              <w:rPr>
                <w:rFonts w:ascii="Helvetica" w:eastAsia="Arial Unicode MS" w:hAnsi="Helvetica" w:cs="Helvetica"/>
                <w:color w:val="000000"/>
                <w:sz w:val="6"/>
                <w:szCs w:val="6"/>
              </w:rPr>
            </w:pPr>
            <w:r>
              <w:rPr>
                <w:rFonts w:ascii="Helvetica" w:hAnsi="Helvetica"/>
                <w:color w:val="000000"/>
                <w:sz w:val="6"/>
              </w:rPr>
              <w:t>Lån og forskudd</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FA3092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CA3124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7012A5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2C187C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583682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D40D36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AFBDC4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B3E8E4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9E4DE4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C305B9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6370EE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9441D6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528853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E8C04A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C9C04F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877405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1EBFD7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5673FA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501D4D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24E3D0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E880CF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466F86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D54BE7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1BD1D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14E138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B50D80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77C22E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0534DF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E294A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D6CE28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53ADE1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5E66F93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330E5485"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050F9F5A"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24</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361000F" w14:textId="77777777" w:rsidR="00A54846" w:rsidRDefault="008A2731">
            <w:pPr>
              <w:widowControl w:val="0"/>
              <w:shd w:val="clear" w:color="auto" w:fill="auto"/>
              <w:spacing w:after="0" w:line="240" w:lineRule="auto"/>
              <w:ind w:left="220"/>
              <w:jc w:val="left"/>
              <w:rPr>
                <w:rFonts w:ascii="Helvetica" w:eastAsia="Arial Unicode MS" w:hAnsi="Helvetica" w:cs="Helvetica"/>
                <w:color w:val="000000"/>
                <w:sz w:val="6"/>
                <w:szCs w:val="6"/>
              </w:rPr>
            </w:pPr>
            <w:r>
              <w:rPr>
                <w:rFonts w:ascii="Helvetica" w:hAnsi="Helvetica"/>
                <w:color w:val="000000"/>
                <w:sz w:val="6"/>
              </w:rPr>
              <w:t>Gjeldsinstrumenter, herunder bruk av proveny</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B4C1A6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19E1B9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9963E6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3E51CF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794C28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0F7F25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317BA4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0533AF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40A26D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481E64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66BB3D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CDE2F1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2C1813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486D83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420DF5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C25CD8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14A665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E442D0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81670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75B25F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ECBDF6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E4548A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30031C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981E78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79CBA4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2A4110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B2D6F4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913437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311424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28108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40F058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3F54CB7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00C95601"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7CD4650"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25</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90F364B" w14:textId="77777777" w:rsidR="00A54846" w:rsidRDefault="008A2731">
            <w:pPr>
              <w:widowControl w:val="0"/>
              <w:shd w:val="clear" w:color="auto" w:fill="auto"/>
              <w:spacing w:after="0" w:line="240" w:lineRule="auto"/>
              <w:ind w:left="220"/>
              <w:jc w:val="left"/>
              <w:rPr>
                <w:rFonts w:ascii="Helvetica" w:eastAsia="Arial Unicode MS" w:hAnsi="Helvetica" w:cs="Helvetica"/>
                <w:color w:val="000000"/>
                <w:sz w:val="6"/>
                <w:szCs w:val="6"/>
              </w:rPr>
            </w:pPr>
            <w:r>
              <w:rPr>
                <w:rFonts w:ascii="Helvetica" w:hAnsi="Helvetica"/>
                <w:color w:val="000000"/>
                <w:sz w:val="6"/>
              </w:rPr>
              <w:t>Egenkapitalinstrumenter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7A29CC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66889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C91F49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nil"/>
              <w:left w:val="single" w:sz="4" w:space="0" w:color="auto"/>
              <w:bottom w:val="nil"/>
              <w:right w:val="nil"/>
            </w:tcBorders>
            <w:shd w:val="clear" w:color="auto" w:fill="000000"/>
            <w:tcMar>
              <w:top w:w="10" w:type="dxa"/>
              <w:left w:w="40" w:type="dxa"/>
              <w:bottom w:w="10" w:type="dxa"/>
              <w:right w:w="40" w:type="dxa"/>
            </w:tcMar>
          </w:tcPr>
          <w:p w14:paraId="7660735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D356C1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58114C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406454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F9D40E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7ECF1AD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A462E0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160C71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8C2A38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E09757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4BED6D1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E7EF12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F76C2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CFC99C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1A4A5C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477F95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19A54DC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5A6B17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F26BE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D22891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0F2CB3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nil"/>
              <w:left w:val="single" w:sz="4" w:space="0" w:color="auto"/>
              <w:bottom w:val="nil"/>
              <w:right w:val="nil"/>
            </w:tcBorders>
            <w:shd w:val="clear" w:color="auto" w:fill="000000"/>
            <w:tcMar>
              <w:top w:w="10" w:type="dxa"/>
              <w:left w:w="40" w:type="dxa"/>
              <w:bottom w:w="10" w:type="dxa"/>
              <w:right w:w="40" w:type="dxa"/>
            </w:tcMar>
          </w:tcPr>
          <w:p w14:paraId="5D6BDBD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DDEC56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6475CD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AC1002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92F37B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nil"/>
              <w:left w:val="single" w:sz="4" w:space="0" w:color="auto"/>
              <w:bottom w:val="nil"/>
              <w:right w:val="nil"/>
            </w:tcBorders>
            <w:shd w:val="clear" w:color="auto" w:fill="000000"/>
            <w:tcMar>
              <w:top w:w="10" w:type="dxa"/>
              <w:left w:w="40" w:type="dxa"/>
              <w:bottom w:w="10" w:type="dxa"/>
              <w:right w:w="40" w:type="dxa"/>
            </w:tcMar>
          </w:tcPr>
          <w:p w14:paraId="73799B7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B4DBCE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1053FAC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775B12EA"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6F51B6F"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26</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442A5E92" w14:textId="77777777" w:rsidR="00A54846" w:rsidRDefault="008A2731">
            <w:pPr>
              <w:widowControl w:val="0"/>
              <w:shd w:val="clear" w:color="auto" w:fill="auto"/>
              <w:spacing w:after="0" w:line="240" w:lineRule="auto"/>
              <w:ind w:left="100"/>
              <w:jc w:val="left"/>
              <w:rPr>
                <w:rFonts w:ascii="Helvetica" w:eastAsia="Arial Unicode MS" w:hAnsi="Helvetica" w:cs="Helvetica"/>
                <w:b/>
                <w:color w:val="000000"/>
                <w:sz w:val="6"/>
                <w:szCs w:val="6"/>
              </w:rPr>
            </w:pPr>
            <w:r>
              <w:rPr>
                <w:rFonts w:ascii="Helvetica" w:hAnsi="Helvetica"/>
                <w:b/>
                <w:color w:val="000000"/>
                <w:sz w:val="6"/>
              </w:rPr>
              <w:t>Husholdninger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87AE5E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DD280C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FA1F13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2AF659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DD8CB1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0F4E40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DDD18A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607309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CDFA3B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A995AC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83D862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B51310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4D3D59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DB5736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518C15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1BEADD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B1F7BD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1DE376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4FF430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BB45A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E6ADC0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8898C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75A74D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440644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554807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5D037C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F9C1F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B93CCF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02B199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080907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F33E9D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659DF20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07EAD502"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7BF19E6E"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27</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F57D2E0"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hvorav lån med sikkerhet i boligeiendommer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741D16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30AA01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9ACD6D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B9F3C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6CB048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57A391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CEDE79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DABF2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BE454E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19AB11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6885A2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F8719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12AE11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509CF0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58F93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45CBF7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529287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701617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B044FE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F7ACDB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5332CD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74D016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03B0A6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0B10A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78A741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595652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F55B91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6A9BAB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86CA36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AC62EC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FCE87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346E562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5058458E"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56FA56DC"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28</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5CE32B68"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hvorav lån til byggrenovering</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2052DC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BBA85A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DA57D3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0C2112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01810F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64F450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A18AB9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F7CD52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30B22C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41D05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0E234E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1137A1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33EF8A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1D6F38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E48F3A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FB869A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0BAA5B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373C96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C02342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B98B8A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CF0C6B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C054C5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24DFC2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4CFECA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7B716F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5F7FC9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5A1669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BE8E0B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001484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C3EEBC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4E7907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429E5CB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4E7EB46E"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571275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29</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0FEE469"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hvorav billån</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D8D65A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48101B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42BD21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02701C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37B6E0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138FAB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1F7A74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4D95CB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1C666A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35C882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E0338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726C44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5457F2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2C22C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63F392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2809FF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B85271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E3A445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C5CFFB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CC0E1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D44675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43D1AD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3AB63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26C4FB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03AF81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14D928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FB3A0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BED26F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3FC62B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464CF7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A78DEA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7A028A4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2D5D7676"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DDCD17A"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30</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B5D1647" w14:textId="77777777" w:rsidR="00A54846" w:rsidRDefault="008A2731">
            <w:pPr>
              <w:widowControl w:val="0"/>
              <w:shd w:val="clear" w:color="auto" w:fill="auto"/>
              <w:spacing w:after="0" w:line="240" w:lineRule="auto"/>
              <w:ind w:left="100"/>
              <w:jc w:val="left"/>
              <w:rPr>
                <w:rFonts w:ascii="Helvetica" w:eastAsia="Arial Unicode MS" w:hAnsi="Helvetica" w:cs="Helvetica"/>
                <w:b/>
                <w:color w:val="000000"/>
                <w:sz w:val="6"/>
                <w:szCs w:val="6"/>
              </w:rPr>
            </w:pPr>
            <w:r>
              <w:rPr>
                <w:rFonts w:ascii="Helvetica" w:hAnsi="Helvetica"/>
                <w:b/>
                <w:color w:val="000000"/>
                <w:sz w:val="6"/>
              </w:rPr>
              <w:t>Finansiering til lokale myndigheter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D2C7D6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ED4C46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380267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4FBAA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BB79CD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E07A7B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6BABEC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53585E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15FA05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C96781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3896EA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A660EB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850A3A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A4326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E2FBF9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8D4DF3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984FE8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E2552F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8EBAF7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B7E9E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E955C8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30B421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1F35C2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022F7F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88EC61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8528D1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1FA92C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4DEA33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C27EED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30265A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E019BD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7EC381F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27866535"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75965A6A"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31</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241794A3" w14:textId="77777777" w:rsidR="00A54846" w:rsidRDefault="008A2731">
            <w:pPr>
              <w:widowControl w:val="0"/>
              <w:shd w:val="clear" w:color="auto" w:fill="auto"/>
              <w:spacing w:after="0" w:line="240" w:lineRule="auto"/>
              <w:ind w:left="40"/>
              <w:jc w:val="left"/>
              <w:rPr>
                <w:rFonts w:ascii="Helvetica" w:eastAsia="Arial Unicode MS" w:hAnsi="Helvetica" w:cs="Helvetica"/>
                <w:color w:val="000000"/>
                <w:sz w:val="6"/>
                <w:szCs w:val="6"/>
              </w:rPr>
            </w:pPr>
            <w:r>
              <w:rPr>
                <w:rFonts w:ascii="Helvetica" w:hAnsi="Helvetica"/>
                <w:color w:val="000000"/>
                <w:sz w:val="6"/>
              </w:rPr>
              <w:t>Overtatte sikkerheter: bolig- og næringseiendommer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7ADFC1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8AC03A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A13D6B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21BA5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6F5B55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B3A33A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2DD5DB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1614EE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D1E00A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30C4B6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9B6945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C660EE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2573F7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82B6A6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49D38D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E9AC85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30517A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568944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80CDC8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07603F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A83B09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919723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04038A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AC9EB6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F58C9F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C49437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1AD857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E7102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362CEA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09DE50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467547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5B214CA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449EAD19"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9E5611E"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32</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FCBA4F3" w14:textId="77777777" w:rsidR="00A54846" w:rsidRDefault="008A2731">
            <w:pPr>
              <w:widowControl w:val="0"/>
              <w:shd w:val="clear" w:color="auto" w:fill="auto"/>
              <w:spacing w:after="0" w:line="240" w:lineRule="auto"/>
              <w:ind w:left="40"/>
              <w:jc w:val="left"/>
              <w:rPr>
                <w:rFonts w:ascii="Helvetica" w:eastAsia="Arial Unicode MS" w:hAnsi="Helvetica" w:cs="Helvetica"/>
                <w:color w:val="000000"/>
                <w:sz w:val="6"/>
                <w:szCs w:val="6"/>
              </w:rPr>
            </w:pPr>
            <w:r>
              <w:rPr>
                <w:rFonts w:ascii="Helvetica" w:hAnsi="Helvetica"/>
                <w:color w:val="000000"/>
                <w:sz w:val="6"/>
              </w:rPr>
              <w:t>Annen finansiering av lokale myndigheter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283CB1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5129F1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6D697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E7360F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B5C4ED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8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F4A00F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513389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D6E587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3"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D457B4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96C10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1"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B784E3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15E371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673C79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2BCD71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193F15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39E264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52ED71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0FF80A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4F6551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92B1A7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5A3092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AA38A7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F03DAE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1F1004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5A42DA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6796B8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B1E71B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9FDF76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6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F09673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CA5EC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5"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CA4084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5"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3BDDBCB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47E253B8"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16637D63"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33</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01CE08A0" w14:textId="77777777" w:rsidR="00A54846" w:rsidRDefault="008A2731">
            <w:pPr>
              <w:widowControl w:val="0"/>
              <w:shd w:val="clear" w:color="auto" w:fill="auto"/>
              <w:spacing w:after="0" w:line="240" w:lineRule="auto"/>
              <w:jc w:val="left"/>
              <w:rPr>
                <w:rFonts w:ascii="Helvetica" w:eastAsia="Arial Unicode MS" w:hAnsi="Helvetica" w:cs="Helvetica"/>
                <w:b/>
                <w:color w:val="000000"/>
                <w:sz w:val="6"/>
                <w:szCs w:val="6"/>
                <w:u w:val="single"/>
              </w:rPr>
            </w:pPr>
            <w:r>
              <w:rPr>
                <w:rFonts w:ascii="Helvetica" w:hAnsi="Helvetica"/>
                <w:b/>
                <w:color w:val="000000"/>
                <w:sz w:val="6"/>
                <w:u w:val="single"/>
              </w:rPr>
              <w:t>Andre eiendeler som ikke skal tas med i telleren ved beregning av GAR (inngår i nevneren)</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82D8471"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3"/>
            <w:tcBorders>
              <w:top w:val="single" w:sz="4" w:space="0" w:color="auto"/>
              <w:left w:val="single" w:sz="4" w:space="0" w:color="auto"/>
              <w:right w:val="nil"/>
            </w:tcBorders>
            <w:shd w:val="clear" w:color="auto" w:fill="FFFFFF"/>
            <w:tcMar>
              <w:top w:w="10" w:type="dxa"/>
              <w:left w:w="40" w:type="dxa"/>
              <w:bottom w:w="10" w:type="dxa"/>
              <w:right w:w="40" w:type="dxa"/>
            </w:tcMar>
          </w:tcPr>
          <w:p w14:paraId="653EC43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9" w:type="dxa"/>
            <w:gridSpan w:val="3"/>
            <w:tcBorders>
              <w:top w:val="single" w:sz="4" w:space="0" w:color="auto"/>
              <w:left w:val="single" w:sz="4" w:space="0" w:color="auto"/>
              <w:right w:val="nil"/>
            </w:tcBorders>
            <w:shd w:val="clear" w:color="auto" w:fill="FFFFFF"/>
            <w:tcMar>
              <w:top w:w="10" w:type="dxa"/>
              <w:left w:w="40" w:type="dxa"/>
              <w:bottom w:w="10" w:type="dxa"/>
              <w:right w:w="40" w:type="dxa"/>
            </w:tcMar>
          </w:tcPr>
          <w:p w14:paraId="33FB12D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4" w:type="dxa"/>
            <w:gridSpan w:val="2"/>
            <w:tcBorders>
              <w:top w:val="single" w:sz="4" w:space="0" w:color="auto"/>
              <w:left w:val="single" w:sz="4" w:space="0" w:color="auto"/>
              <w:right w:val="nil"/>
            </w:tcBorders>
            <w:shd w:val="clear" w:color="auto" w:fill="FFFFFF"/>
            <w:tcMar>
              <w:top w:w="10" w:type="dxa"/>
              <w:left w:w="40" w:type="dxa"/>
              <w:bottom w:w="10" w:type="dxa"/>
              <w:right w:w="40" w:type="dxa"/>
            </w:tcMar>
          </w:tcPr>
          <w:p w14:paraId="420E317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0" w:type="dxa"/>
            <w:gridSpan w:val="2"/>
            <w:tcBorders>
              <w:top w:val="single" w:sz="4" w:space="0" w:color="auto"/>
              <w:left w:val="single" w:sz="4" w:space="0" w:color="auto"/>
              <w:right w:val="nil"/>
            </w:tcBorders>
            <w:shd w:val="clear" w:color="auto" w:fill="FFFFFF"/>
            <w:tcMar>
              <w:top w:w="10" w:type="dxa"/>
              <w:left w:w="40" w:type="dxa"/>
              <w:bottom w:w="10" w:type="dxa"/>
              <w:right w:w="40" w:type="dxa"/>
            </w:tcMar>
          </w:tcPr>
          <w:p w14:paraId="358CBC5C"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88" w:type="dxa"/>
            <w:gridSpan w:val="2"/>
            <w:tcBorders>
              <w:top w:val="single" w:sz="4" w:space="0" w:color="auto"/>
              <w:left w:val="single" w:sz="4" w:space="0" w:color="auto"/>
              <w:right w:val="nil"/>
            </w:tcBorders>
            <w:shd w:val="clear" w:color="auto" w:fill="FFFFFF"/>
            <w:tcMar>
              <w:top w:w="10" w:type="dxa"/>
              <w:left w:w="40" w:type="dxa"/>
              <w:bottom w:w="10" w:type="dxa"/>
              <w:right w:w="40" w:type="dxa"/>
            </w:tcMar>
          </w:tcPr>
          <w:p w14:paraId="7322E13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4"/>
            <w:tcBorders>
              <w:top w:val="single" w:sz="4" w:space="0" w:color="auto"/>
              <w:left w:val="single" w:sz="4" w:space="0" w:color="auto"/>
              <w:right w:val="nil"/>
            </w:tcBorders>
            <w:shd w:val="clear" w:color="auto" w:fill="FFFFFF"/>
            <w:tcMar>
              <w:top w:w="10" w:type="dxa"/>
              <w:left w:w="40" w:type="dxa"/>
              <w:bottom w:w="10" w:type="dxa"/>
              <w:right w:w="40" w:type="dxa"/>
            </w:tcMar>
          </w:tcPr>
          <w:p w14:paraId="1C28273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80" w:type="dxa"/>
            <w:gridSpan w:val="3"/>
            <w:tcBorders>
              <w:top w:val="single" w:sz="4" w:space="0" w:color="auto"/>
              <w:left w:val="single" w:sz="4" w:space="0" w:color="auto"/>
              <w:right w:val="nil"/>
            </w:tcBorders>
            <w:shd w:val="clear" w:color="auto" w:fill="FFFFFF"/>
            <w:tcMar>
              <w:top w:w="10" w:type="dxa"/>
              <w:left w:w="40" w:type="dxa"/>
              <w:bottom w:w="10" w:type="dxa"/>
              <w:right w:w="40" w:type="dxa"/>
            </w:tcMar>
          </w:tcPr>
          <w:p w14:paraId="4B74860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3" w:type="dxa"/>
            <w:gridSpan w:val="3"/>
            <w:tcBorders>
              <w:top w:val="single" w:sz="4" w:space="0" w:color="auto"/>
              <w:left w:val="single" w:sz="4" w:space="0" w:color="auto"/>
              <w:right w:val="nil"/>
            </w:tcBorders>
            <w:shd w:val="clear" w:color="auto" w:fill="FFFFFF"/>
            <w:tcMar>
              <w:top w:w="10" w:type="dxa"/>
              <w:left w:w="40" w:type="dxa"/>
              <w:bottom w:w="10" w:type="dxa"/>
              <w:right w:w="40" w:type="dxa"/>
            </w:tcMar>
          </w:tcPr>
          <w:p w14:paraId="504589D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2"/>
            <w:tcBorders>
              <w:top w:val="single" w:sz="4" w:space="0" w:color="auto"/>
              <w:left w:val="single" w:sz="4" w:space="0" w:color="auto"/>
              <w:right w:val="nil"/>
            </w:tcBorders>
            <w:shd w:val="clear" w:color="auto" w:fill="FFFFFF"/>
            <w:tcMar>
              <w:top w:w="10" w:type="dxa"/>
              <w:left w:w="40" w:type="dxa"/>
              <w:bottom w:w="10" w:type="dxa"/>
              <w:right w:w="40" w:type="dxa"/>
            </w:tcMar>
          </w:tcPr>
          <w:p w14:paraId="16C6B14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1" w:type="dxa"/>
            <w:gridSpan w:val="2"/>
            <w:tcBorders>
              <w:top w:val="single" w:sz="4" w:space="0" w:color="auto"/>
              <w:left w:val="single" w:sz="4" w:space="0" w:color="auto"/>
              <w:right w:val="nil"/>
            </w:tcBorders>
            <w:shd w:val="clear" w:color="auto" w:fill="FFFFFF"/>
            <w:tcMar>
              <w:top w:w="10" w:type="dxa"/>
              <w:left w:w="40" w:type="dxa"/>
              <w:bottom w:w="10" w:type="dxa"/>
              <w:right w:w="40" w:type="dxa"/>
            </w:tcMar>
          </w:tcPr>
          <w:p w14:paraId="5F8C1AB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7" w:type="dxa"/>
            <w:gridSpan w:val="2"/>
            <w:tcBorders>
              <w:top w:val="single" w:sz="4" w:space="0" w:color="auto"/>
              <w:left w:val="single" w:sz="4" w:space="0" w:color="auto"/>
              <w:right w:val="nil"/>
            </w:tcBorders>
            <w:shd w:val="clear" w:color="auto" w:fill="FFFFFF"/>
            <w:tcMar>
              <w:top w:w="10" w:type="dxa"/>
              <w:left w:w="40" w:type="dxa"/>
              <w:bottom w:w="10" w:type="dxa"/>
              <w:right w:w="40" w:type="dxa"/>
            </w:tcMar>
          </w:tcPr>
          <w:p w14:paraId="1CEA5047"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9" w:type="dxa"/>
            <w:gridSpan w:val="3"/>
            <w:tcBorders>
              <w:top w:val="single" w:sz="4" w:space="0" w:color="auto"/>
              <w:left w:val="single" w:sz="4" w:space="0" w:color="auto"/>
              <w:right w:val="nil"/>
            </w:tcBorders>
            <w:shd w:val="clear" w:color="auto" w:fill="FFFFFF"/>
            <w:tcMar>
              <w:top w:w="10" w:type="dxa"/>
              <w:left w:w="40" w:type="dxa"/>
              <w:bottom w:w="10" w:type="dxa"/>
              <w:right w:w="40" w:type="dxa"/>
            </w:tcMar>
          </w:tcPr>
          <w:p w14:paraId="64166D3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5" w:type="dxa"/>
            <w:gridSpan w:val="3"/>
            <w:tcBorders>
              <w:top w:val="single" w:sz="4" w:space="0" w:color="auto"/>
              <w:left w:val="single" w:sz="4" w:space="0" w:color="auto"/>
              <w:right w:val="nil"/>
            </w:tcBorders>
            <w:shd w:val="clear" w:color="auto" w:fill="FFFFFF"/>
            <w:tcMar>
              <w:top w:w="10" w:type="dxa"/>
              <w:left w:w="40" w:type="dxa"/>
              <w:bottom w:w="10" w:type="dxa"/>
              <w:right w:w="40" w:type="dxa"/>
            </w:tcMar>
          </w:tcPr>
          <w:p w14:paraId="4B67A985"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7" w:type="dxa"/>
            <w:gridSpan w:val="2"/>
            <w:tcBorders>
              <w:top w:val="single" w:sz="4" w:space="0" w:color="auto"/>
              <w:left w:val="single" w:sz="4" w:space="0" w:color="auto"/>
              <w:right w:val="nil"/>
            </w:tcBorders>
            <w:shd w:val="clear" w:color="auto" w:fill="FFFFFF"/>
            <w:tcMar>
              <w:top w:w="10" w:type="dxa"/>
              <w:left w:w="40" w:type="dxa"/>
              <w:bottom w:w="10" w:type="dxa"/>
              <w:right w:w="40" w:type="dxa"/>
            </w:tcMar>
          </w:tcPr>
          <w:p w14:paraId="62DF406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26" w:type="dxa"/>
            <w:gridSpan w:val="2"/>
            <w:tcBorders>
              <w:top w:val="single" w:sz="4" w:space="0" w:color="auto"/>
              <w:left w:val="single" w:sz="4" w:space="0" w:color="auto"/>
              <w:right w:val="nil"/>
            </w:tcBorders>
            <w:shd w:val="clear" w:color="auto" w:fill="FFFFFF"/>
            <w:tcMar>
              <w:top w:w="10" w:type="dxa"/>
              <w:left w:w="40" w:type="dxa"/>
              <w:bottom w:w="10" w:type="dxa"/>
              <w:right w:w="40" w:type="dxa"/>
            </w:tcMar>
          </w:tcPr>
          <w:p w14:paraId="29B6E7F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0" w:type="dxa"/>
            <w:gridSpan w:val="3"/>
            <w:tcBorders>
              <w:top w:val="single" w:sz="4" w:space="0" w:color="auto"/>
              <w:left w:val="single" w:sz="4" w:space="0" w:color="auto"/>
              <w:right w:val="nil"/>
            </w:tcBorders>
            <w:shd w:val="clear" w:color="auto" w:fill="FFFFFF"/>
            <w:tcMar>
              <w:top w:w="10" w:type="dxa"/>
              <w:left w:w="40" w:type="dxa"/>
              <w:bottom w:w="10" w:type="dxa"/>
              <w:right w:w="40" w:type="dxa"/>
            </w:tcMar>
          </w:tcPr>
          <w:p w14:paraId="68EDD72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66" w:type="dxa"/>
            <w:gridSpan w:val="3"/>
            <w:tcBorders>
              <w:top w:val="single" w:sz="4" w:space="0" w:color="auto"/>
              <w:left w:val="single" w:sz="4" w:space="0" w:color="auto"/>
              <w:right w:val="nil"/>
            </w:tcBorders>
            <w:shd w:val="clear" w:color="auto" w:fill="FFFFFF"/>
            <w:tcMar>
              <w:top w:w="10" w:type="dxa"/>
              <w:left w:w="40" w:type="dxa"/>
              <w:bottom w:w="10" w:type="dxa"/>
              <w:right w:w="40" w:type="dxa"/>
            </w:tcMar>
          </w:tcPr>
          <w:p w14:paraId="0764E17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7" w:type="dxa"/>
            <w:gridSpan w:val="4"/>
            <w:tcBorders>
              <w:top w:val="single" w:sz="4" w:space="0" w:color="auto"/>
              <w:left w:val="single" w:sz="4" w:space="0" w:color="auto"/>
              <w:right w:val="nil"/>
            </w:tcBorders>
            <w:shd w:val="clear" w:color="auto" w:fill="FFFFFF"/>
            <w:tcMar>
              <w:top w:w="10" w:type="dxa"/>
              <w:left w:w="40" w:type="dxa"/>
              <w:bottom w:w="10" w:type="dxa"/>
              <w:right w:w="40" w:type="dxa"/>
            </w:tcMar>
          </w:tcPr>
          <w:p w14:paraId="442B7A3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96" w:type="dxa"/>
            <w:gridSpan w:val="3"/>
            <w:tcBorders>
              <w:top w:val="single" w:sz="4" w:space="0" w:color="auto"/>
              <w:left w:val="single" w:sz="4" w:space="0" w:color="auto"/>
              <w:right w:val="nil"/>
            </w:tcBorders>
            <w:shd w:val="clear" w:color="auto" w:fill="FFFFFF"/>
            <w:tcMar>
              <w:top w:w="10" w:type="dxa"/>
              <w:left w:w="40" w:type="dxa"/>
              <w:bottom w:w="10" w:type="dxa"/>
              <w:right w:w="40" w:type="dxa"/>
            </w:tcMar>
          </w:tcPr>
          <w:p w14:paraId="52FB4DFE"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8" w:type="dxa"/>
            <w:gridSpan w:val="4"/>
            <w:tcBorders>
              <w:top w:val="single" w:sz="4" w:space="0" w:color="auto"/>
              <w:left w:val="single" w:sz="4" w:space="0" w:color="auto"/>
              <w:right w:val="nil"/>
            </w:tcBorders>
            <w:shd w:val="clear" w:color="auto" w:fill="FFFFFF"/>
            <w:tcMar>
              <w:top w:w="10" w:type="dxa"/>
              <w:left w:w="40" w:type="dxa"/>
              <w:bottom w:w="10" w:type="dxa"/>
              <w:right w:w="40" w:type="dxa"/>
            </w:tcMar>
          </w:tcPr>
          <w:p w14:paraId="0DEBD8D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1" w:type="dxa"/>
            <w:gridSpan w:val="3"/>
            <w:tcBorders>
              <w:top w:val="single" w:sz="4" w:space="0" w:color="auto"/>
              <w:left w:val="single" w:sz="4" w:space="0" w:color="auto"/>
              <w:right w:val="nil"/>
            </w:tcBorders>
            <w:shd w:val="clear" w:color="auto" w:fill="FFFFFF"/>
            <w:tcMar>
              <w:top w:w="10" w:type="dxa"/>
              <w:left w:w="40" w:type="dxa"/>
              <w:bottom w:w="10" w:type="dxa"/>
              <w:right w:w="40" w:type="dxa"/>
            </w:tcMar>
          </w:tcPr>
          <w:p w14:paraId="2BEAD2E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59" w:type="dxa"/>
            <w:gridSpan w:val="2"/>
            <w:tcBorders>
              <w:top w:val="single" w:sz="4" w:space="0" w:color="auto"/>
              <w:left w:val="single" w:sz="4" w:space="0" w:color="auto"/>
              <w:right w:val="nil"/>
            </w:tcBorders>
            <w:shd w:val="clear" w:color="auto" w:fill="FFFFFF"/>
            <w:tcMar>
              <w:top w:w="10" w:type="dxa"/>
              <w:left w:w="40" w:type="dxa"/>
              <w:bottom w:w="10" w:type="dxa"/>
              <w:right w:w="40" w:type="dxa"/>
            </w:tcMar>
          </w:tcPr>
          <w:p w14:paraId="6AAA9C9F"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38" w:type="dxa"/>
            <w:gridSpan w:val="4"/>
            <w:tcBorders>
              <w:top w:val="single" w:sz="4" w:space="0" w:color="auto"/>
              <w:left w:val="single" w:sz="4" w:space="0" w:color="auto"/>
              <w:right w:val="nil"/>
            </w:tcBorders>
            <w:shd w:val="clear" w:color="auto" w:fill="FFFFFF"/>
            <w:tcMar>
              <w:top w:w="10" w:type="dxa"/>
              <w:left w:w="40" w:type="dxa"/>
              <w:bottom w:w="10" w:type="dxa"/>
              <w:right w:w="40" w:type="dxa"/>
            </w:tcMar>
          </w:tcPr>
          <w:p w14:paraId="2E476764"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17" w:type="dxa"/>
            <w:gridSpan w:val="3"/>
            <w:tcBorders>
              <w:top w:val="single" w:sz="4" w:space="0" w:color="auto"/>
              <w:left w:val="single" w:sz="4" w:space="0" w:color="auto"/>
              <w:right w:val="nil"/>
            </w:tcBorders>
            <w:shd w:val="clear" w:color="auto" w:fill="FFFFFF"/>
            <w:tcMar>
              <w:top w:w="10" w:type="dxa"/>
              <w:left w:w="40" w:type="dxa"/>
              <w:bottom w:w="10" w:type="dxa"/>
              <w:right w:w="40" w:type="dxa"/>
            </w:tcMar>
          </w:tcPr>
          <w:p w14:paraId="045622D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81" w:type="dxa"/>
            <w:gridSpan w:val="3"/>
            <w:tcBorders>
              <w:top w:val="single" w:sz="4" w:space="0" w:color="auto"/>
              <w:left w:val="single" w:sz="4" w:space="0" w:color="auto"/>
              <w:right w:val="nil"/>
            </w:tcBorders>
            <w:shd w:val="clear" w:color="auto" w:fill="FFFFFF"/>
            <w:tcMar>
              <w:top w:w="10" w:type="dxa"/>
              <w:left w:w="40" w:type="dxa"/>
              <w:bottom w:w="10" w:type="dxa"/>
              <w:right w:w="40" w:type="dxa"/>
            </w:tcMar>
          </w:tcPr>
          <w:p w14:paraId="7782B4AB"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66" w:type="dxa"/>
            <w:gridSpan w:val="2"/>
            <w:tcBorders>
              <w:top w:val="single" w:sz="4" w:space="0" w:color="auto"/>
              <w:left w:val="single" w:sz="4" w:space="0" w:color="auto"/>
              <w:right w:val="nil"/>
            </w:tcBorders>
            <w:shd w:val="clear" w:color="auto" w:fill="FFFFFF"/>
            <w:tcMar>
              <w:top w:w="10" w:type="dxa"/>
              <w:left w:w="40" w:type="dxa"/>
              <w:bottom w:w="10" w:type="dxa"/>
              <w:right w:w="40" w:type="dxa"/>
            </w:tcMar>
          </w:tcPr>
          <w:p w14:paraId="6C59F0E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240" w:type="dxa"/>
            <w:tcBorders>
              <w:top w:val="single" w:sz="4" w:space="0" w:color="auto"/>
              <w:left w:val="single" w:sz="4" w:space="0" w:color="auto"/>
              <w:right w:val="nil"/>
            </w:tcBorders>
            <w:shd w:val="clear" w:color="auto" w:fill="FFFFFF"/>
            <w:tcMar>
              <w:top w:w="10" w:type="dxa"/>
              <w:left w:w="40" w:type="dxa"/>
              <w:bottom w:w="10" w:type="dxa"/>
              <w:right w:w="40" w:type="dxa"/>
            </w:tcMar>
          </w:tcPr>
          <w:p w14:paraId="517C3752"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60" w:type="dxa"/>
            <w:tcBorders>
              <w:top w:val="single" w:sz="4" w:space="0" w:color="auto"/>
              <w:left w:val="single" w:sz="4" w:space="0" w:color="auto"/>
              <w:right w:val="nil"/>
            </w:tcBorders>
            <w:shd w:val="clear" w:color="auto" w:fill="FFFFFF"/>
            <w:tcMar>
              <w:top w:w="10" w:type="dxa"/>
              <w:left w:w="40" w:type="dxa"/>
              <w:bottom w:w="10" w:type="dxa"/>
              <w:right w:w="40" w:type="dxa"/>
            </w:tcMar>
          </w:tcPr>
          <w:p w14:paraId="2563177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78" w:type="dxa"/>
            <w:gridSpan w:val="5"/>
            <w:tcBorders>
              <w:top w:val="single" w:sz="4" w:space="0" w:color="auto"/>
              <w:left w:val="single" w:sz="4" w:space="0" w:color="auto"/>
              <w:right w:val="nil"/>
            </w:tcBorders>
            <w:shd w:val="clear" w:color="auto" w:fill="FFFFFF"/>
            <w:tcMar>
              <w:top w:w="10" w:type="dxa"/>
              <w:left w:w="40" w:type="dxa"/>
              <w:bottom w:w="10" w:type="dxa"/>
              <w:right w:w="40" w:type="dxa"/>
            </w:tcMar>
          </w:tcPr>
          <w:p w14:paraId="6586E493"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425" w:type="dxa"/>
            <w:gridSpan w:val="3"/>
            <w:tcBorders>
              <w:top w:val="single" w:sz="4" w:space="0" w:color="auto"/>
              <w:left w:val="single" w:sz="4" w:space="0" w:color="auto"/>
              <w:right w:val="nil"/>
            </w:tcBorders>
            <w:shd w:val="clear" w:color="auto" w:fill="FFFFFF"/>
            <w:tcMar>
              <w:top w:w="10" w:type="dxa"/>
              <w:left w:w="40" w:type="dxa"/>
              <w:bottom w:w="10" w:type="dxa"/>
              <w:right w:w="40" w:type="dxa"/>
            </w:tcMar>
          </w:tcPr>
          <w:p w14:paraId="02FBC0C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345" w:type="dxa"/>
            <w:gridSpan w:val="2"/>
            <w:tcBorders>
              <w:top w:val="single" w:sz="4" w:space="0" w:color="auto"/>
              <w:left w:val="single" w:sz="4" w:space="0" w:color="auto"/>
              <w:right w:val="single" w:sz="4" w:space="0" w:color="auto"/>
            </w:tcBorders>
            <w:shd w:val="clear" w:color="auto" w:fill="FFFFFF"/>
            <w:tcMar>
              <w:top w:w="10" w:type="dxa"/>
              <w:left w:w="40" w:type="dxa"/>
              <w:bottom w:w="10" w:type="dxa"/>
              <w:right w:w="40" w:type="dxa"/>
            </w:tcMar>
          </w:tcPr>
          <w:p w14:paraId="0F1F894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6CD759CD"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50B28C0A"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34</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CB33F6F" w14:textId="77777777" w:rsidR="00A54846" w:rsidRDefault="008A2731">
            <w:pPr>
              <w:widowControl w:val="0"/>
              <w:shd w:val="clear" w:color="auto" w:fill="auto"/>
              <w:spacing w:after="0" w:line="240" w:lineRule="auto"/>
              <w:ind w:left="100"/>
              <w:jc w:val="left"/>
              <w:rPr>
                <w:rFonts w:ascii="Helvetica" w:eastAsia="Arial Unicode MS" w:hAnsi="Helvetica" w:cs="Helvetica"/>
                <w:b/>
                <w:color w:val="000000"/>
                <w:sz w:val="6"/>
                <w:szCs w:val="6"/>
              </w:rPr>
            </w:pPr>
            <w:r>
              <w:rPr>
                <w:rFonts w:ascii="Helvetica" w:hAnsi="Helvetica"/>
                <w:b/>
                <w:color w:val="000000"/>
                <w:sz w:val="6"/>
              </w:rPr>
              <w:t>Ikke-finansielle foretak</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395836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0922" w:type="dxa"/>
            <w:gridSpan w:val="84"/>
            <w:vMerge w:val="restart"/>
            <w:tcBorders>
              <w:top w:val="nil"/>
              <w:left w:val="nil"/>
              <w:bottom w:val="single" w:sz="4" w:space="0" w:color="auto"/>
              <w:right w:val="single" w:sz="4" w:space="0" w:color="auto"/>
            </w:tcBorders>
            <w:shd w:val="clear" w:color="auto" w:fill="000000"/>
            <w:tcMar>
              <w:top w:w="10" w:type="dxa"/>
              <w:left w:w="40" w:type="dxa"/>
              <w:bottom w:w="10" w:type="dxa"/>
              <w:right w:w="40" w:type="dxa"/>
            </w:tcMar>
          </w:tcPr>
          <w:p w14:paraId="09DFE16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6492F0FD"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1C9CF374"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35</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4C3464DC" w14:textId="77777777" w:rsidR="00A54846" w:rsidRDefault="008A2731">
            <w:pPr>
              <w:widowControl w:val="0"/>
              <w:shd w:val="clear" w:color="auto" w:fill="auto"/>
              <w:spacing w:after="0" w:line="240" w:lineRule="auto"/>
              <w:ind w:left="140"/>
              <w:jc w:val="left"/>
              <w:rPr>
                <w:rFonts w:ascii="Helvetica" w:eastAsia="Arial Unicode MS" w:hAnsi="Helvetica" w:cs="Helvetica"/>
                <w:color w:val="000000"/>
                <w:sz w:val="6"/>
                <w:szCs w:val="6"/>
              </w:rPr>
            </w:pPr>
            <w:r>
              <w:rPr>
                <w:rFonts w:ascii="Helvetica" w:hAnsi="Helvetica"/>
                <w:color w:val="000000"/>
                <w:sz w:val="6"/>
              </w:rPr>
              <w:t>SMB-er og ikke-finansielle foretak (som ikke er SMB-er) som ikke er omfattet av opplysningsplikten i direktivet om ikke-finansiell rapportering</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10E1CD9"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10922" w:type="dxa"/>
            <w:gridSpan w:val="84"/>
            <w:vMerge/>
            <w:tcBorders>
              <w:top w:val="single" w:sz="4" w:space="0" w:color="auto"/>
              <w:left w:val="single" w:sz="4" w:space="0" w:color="auto"/>
              <w:bottom w:val="single" w:sz="4" w:space="0" w:color="auto"/>
              <w:right w:val="single" w:sz="4" w:space="0" w:color="auto"/>
            </w:tcBorders>
            <w:vAlign w:val="center"/>
            <w:hideMark/>
          </w:tcPr>
          <w:p w14:paraId="65756AE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55F7118D"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4340847"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36</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0B2E7AFD"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Lån og forskudd</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13104A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0922" w:type="dxa"/>
            <w:gridSpan w:val="84"/>
            <w:vMerge/>
            <w:tcBorders>
              <w:top w:val="single" w:sz="4" w:space="0" w:color="auto"/>
              <w:left w:val="single" w:sz="4" w:space="0" w:color="auto"/>
              <w:bottom w:val="single" w:sz="4" w:space="0" w:color="auto"/>
              <w:right w:val="single" w:sz="4" w:space="0" w:color="auto"/>
            </w:tcBorders>
            <w:vAlign w:val="center"/>
            <w:hideMark/>
          </w:tcPr>
          <w:p w14:paraId="208CD5E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3229ABFD"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02693A20"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37</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9E78052" w14:textId="77777777" w:rsidR="00A54846" w:rsidRDefault="008A2731">
            <w:pPr>
              <w:widowControl w:val="0"/>
              <w:shd w:val="clear" w:color="auto" w:fill="auto"/>
              <w:spacing w:after="0" w:line="240" w:lineRule="auto"/>
              <w:ind w:left="220"/>
              <w:jc w:val="left"/>
              <w:rPr>
                <w:rFonts w:ascii="Helvetica" w:eastAsia="Arial Unicode MS" w:hAnsi="Helvetica" w:cs="Helvetica"/>
                <w:color w:val="000000"/>
                <w:sz w:val="6"/>
                <w:szCs w:val="6"/>
              </w:rPr>
            </w:pPr>
            <w:r>
              <w:rPr>
                <w:rFonts w:ascii="Helvetica" w:hAnsi="Helvetica"/>
                <w:color w:val="000000"/>
                <w:sz w:val="6"/>
              </w:rPr>
              <w:t>hvorav lån med sikkerhet i næringseiendommer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1328116"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10922" w:type="dxa"/>
            <w:gridSpan w:val="84"/>
            <w:vMerge/>
            <w:tcBorders>
              <w:top w:val="single" w:sz="4" w:space="0" w:color="auto"/>
              <w:left w:val="single" w:sz="4" w:space="0" w:color="auto"/>
              <w:bottom w:val="single" w:sz="4" w:space="0" w:color="auto"/>
              <w:right w:val="single" w:sz="4" w:space="0" w:color="auto"/>
            </w:tcBorders>
            <w:vAlign w:val="center"/>
            <w:hideMark/>
          </w:tcPr>
          <w:p w14:paraId="698F1BC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7BBE527A"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03B7C4B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38</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3C020548" w14:textId="77777777" w:rsidR="00A54846" w:rsidRDefault="008A2731">
            <w:pPr>
              <w:widowControl w:val="0"/>
              <w:shd w:val="clear" w:color="auto" w:fill="auto"/>
              <w:spacing w:after="0" w:line="240" w:lineRule="auto"/>
              <w:ind w:left="220"/>
              <w:jc w:val="left"/>
              <w:rPr>
                <w:rFonts w:ascii="Helvetica" w:eastAsia="Arial Unicode MS" w:hAnsi="Helvetica" w:cs="Helvetica"/>
                <w:color w:val="000000"/>
                <w:sz w:val="6"/>
                <w:szCs w:val="6"/>
              </w:rPr>
            </w:pPr>
            <w:r>
              <w:rPr>
                <w:rFonts w:ascii="Helvetica" w:hAnsi="Helvetica"/>
                <w:color w:val="000000"/>
                <w:sz w:val="6"/>
              </w:rPr>
              <w:t>hvorav lån til byggrenovering</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491777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0922" w:type="dxa"/>
            <w:gridSpan w:val="84"/>
            <w:vMerge/>
            <w:tcBorders>
              <w:top w:val="single" w:sz="4" w:space="0" w:color="auto"/>
              <w:left w:val="single" w:sz="4" w:space="0" w:color="auto"/>
              <w:bottom w:val="single" w:sz="4" w:space="0" w:color="auto"/>
              <w:right w:val="single" w:sz="4" w:space="0" w:color="auto"/>
            </w:tcBorders>
            <w:vAlign w:val="center"/>
            <w:hideMark/>
          </w:tcPr>
          <w:p w14:paraId="4BA1080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13CB1211"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F6F134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39</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3432F21"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Gjeldsinstrumenter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37408D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0922" w:type="dxa"/>
            <w:gridSpan w:val="84"/>
            <w:vMerge/>
            <w:tcBorders>
              <w:top w:val="single" w:sz="4" w:space="0" w:color="auto"/>
              <w:left w:val="single" w:sz="4" w:space="0" w:color="auto"/>
              <w:bottom w:val="single" w:sz="4" w:space="0" w:color="auto"/>
              <w:right w:val="single" w:sz="4" w:space="0" w:color="auto"/>
            </w:tcBorders>
            <w:vAlign w:val="center"/>
            <w:hideMark/>
          </w:tcPr>
          <w:p w14:paraId="4584D42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263B7F75"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080D75C"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40</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9D2E5AD" w14:textId="77777777" w:rsidR="00A54846" w:rsidRDefault="008A2731">
            <w:pPr>
              <w:widowControl w:val="0"/>
              <w:shd w:val="clear" w:color="auto" w:fill="auto"/>
              <w:spacing w:after="0" w:line="240" w:lineRule="auto"/>
              <w:ind w:left="180"/>
              <w:jc w:val="left"/>
              <w:rPr>
                <w:rFonts w:ascii="Helvetica" w:eastAsia="Arial Unicode MS" w:hAnsi="Helvetica" w:cs="Helvetica"/>
                <w:color w:val="000000"/>
                <w:sz w:val="6"/>
                <w:szCs w:val="6"/>
              </w:rPr>
            </w:pPr>
            <w:r>
              <w:rPr>
                <w:rFonts w:ascii="Helvetica" w:hAnsi="Helvetica"/>
                <w:color w:val="000000"/>
                <w:sz w:val="6"/>
              </w:rPr>
              <w:t>Egenkapitalinstrumenter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AC1DE1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0922" w:type="dxa"/>
            <w:gridSpan w:val="84"/>
            <w:vMerge/>
            <w:tcBorders>
              <w:top w:val="single" w:sz="4" w:space="0" w:color="auto"/>
              <w:left w:val="single" w:sz="4" w:space="0" w:color="auto"/>
              <w:bottom w:val="single" w:sz="4" w:space="0" w:color="auto"/>
              <w:right w:val="single" w:sz="4" w:space="0" w:color="auto"/>
            </w:tcBorders>
            <w:vAlign w:val="center"/>
            <w:hideMark/>
          </w:tcPr>
          <w:p w14:paraId="0A70D8D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1857CB25"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53956CB1"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41</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6779D31" w14:textId="77777777" w:rsidR="00A54846" w:rsidRDefault="008A2731">
            <w:pPr>
              <w:widowControl w:val="0"/>
              <w:shd w:val="clear" w:color="auto" w:fill="auto"/>
              <w:spacing w:after="0" w:line="240" w:lineRule="auto"/>
              <w:ind w:left="140"/>
              <w:jc w:val="left"/>
              <w:rPr>
                <w:rFonts w:ascii="Helvetica" w:eastAsia="Arial Unicode MS" w:hAnsi="Helvetica" w:cs="Helvetica"/>
                <w:color w:val="000000"/>
                <w:sz w:val="6"/>
                <w:szCs w:val="6"/>
              </w:rPr>
            </w:pPr>
            <w:r>
              <w:rPr>
                <w:rFonts w:ascii="Helvetica" w:hAnsi="Helvetica"/>
                <w:color w:val="000000"/>
                <w:sz w:val="6"/>
              </w:rPr>
              <w:t>Motparter fra land utenfor EU som ikke er omfattet av opplysningsplikten i direktivet om ikke-finansiell rapportering</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5D620F0"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10922" w:type="dxa"/>
            <w:gridSpan w:val="84"/>
            <w:vMerge/>
            <w:tcBorders>
              <w:top w:val="single" w:sz="4" w:space="0" w:color="auto"/>
              <w:left w:val="single" w:sz="4" w:space="0" w:color="auto"/>
              <w:bottom w:val="single" w:sz="4" w:space="0" w:color="auto"/>
              <w:right w:val="single" w:sz="4" w:space="0" w:color="auto"/>
            </w:tcBorders>
            <w:vAlign w:val="center"/>
            <w:hideMark/>
          </w:tcPr>
          <w:p w14:paraId="12BA839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049AE83D"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B190B40"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42</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0AD19B07" w14:textId="77777777" w:rsidR="00A54846" w:rsidRDefault="008A2731">
            <w:pPr>
              <w:widowControl w:val="0"/>
              <w:shd w:val="clear" w:color="auto" w:fill="auto"/>
              <w:spacing w:after="0" w:line="240" w:lineRule="auto"/>
              <w:ind w:left="220"/>
              <w:jc w:val="left"/>
              <w:rPr>
                <w:rFonts w:ascii="Helvetica" w:eastAsia="Arial Unicode MS" w:hAnsi="Helvetica" w:cs="Helvetica"/>
                <w:color w:val="000000"/>
                <w:sz w:val="6"/>
                <w:szCs w:val="6"/>
              </w:rPr>
            </w:pPr>
            <w:r>
              <w:rPr>
                <w:rFonts w:ascii="Helvetica" w:hAnsi="Helvetica"/>
                <w:color w:val="000000"/>
                <w:sz w:val="6"/>
              </w:rPr>
              <w:t>Lån og forskudd</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63509E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0922" w:type="dxa"/>
            <w:gridSpan w:val="84"/>
            <w:vMerge/>
            <w:tcBorders>
              <w:top w:val="single" w:sz="4" w:space="0" w:color="auto"/>
              <w:left w:val="single" w:sz="4" w:space="0" w:color="auto"/>
              <w:bottom w:val="single" w:sz="4" w:space="0" w:color="auto"/>
              <w:right w:val="single" w:sz="4" w:space="0" w:color="auto"/>
            </w:tcBorders>
            <w:vAlign w:val="center"/>
            <w:hideMark/>
          </w:tcPr>
          <w:p w14:paraId="5BCA8D4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3B43051F"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45CC20E9"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43</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43175FB0" w14:textId="77777777" w:rsidR="00A54846" w:rsidRDefault="008A2731">
            <w:pPr>
              <w:widowControl w:val="0"/>
              <w:shd w:val="clear" w:color="auto" w:fill="auto"/>
              <w:spacing w:after="0" w:line="240" w:lineRule="auto"/>
              <w:ind w:left="220"/>
              <w:jc w:val="left"/>
              <w:rPr>
                <w:rFonts w:ascii="Helvetica" w:eastAsia="Arial Unicode MS" w:hAnsi="Helvetica" w:cs="Helvetica"/>
                <w:color w:val="000000"/>
                <w:sz w:val="6"/>
                <w:szCs w:val="6"/>
              </w:rPr>
            </w:pPr>
            <w:r>
              <w:rPr>
                <w:rFonts w:ascii="Helvetica" w:hAnsi="Helvetica"/>
                <w:color w:val="000000"/>
                <w:sz w:val="6"/>
              </w:rPr>
              <w:t>Gjeldsinstrumenter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2BEC2F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0922" w:type="dxa"/>
            <w:gridSpan w:val="84"/>
            <w:vMerge/>
            <w:tcBorders>
              <w:top w:val="single" w:sz="4" w:space="0" w:color="auto"/>
              <w:left w:val="single" w:sz="4" w:space="0" w:color="auto"/>
              <w:bottom w:val="single" w:sz="4" w:space="0" w:color="auto"/>
              <w:right w:val="single" w:sz="4" w:space="0" w:color="auto"/>
            </w:tcBorders>
            <w:vAlign w:val="center"/>
            <w:hideMark/>
          </w:tcPr>
          <w:p w14:paraId="1B4B853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00D26655"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5284431"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44</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4CCBBAE" w14:textId="77777777" w:rsidR="00A54846" w:rsidRDefault="008A2731">
            <w:pPr>
              <w:widowControl w:val="0"/>
              <w:shd w:val="clear" w:color="auto" w:fill="auto"/>
              <w:spacing w:after="0" w:line="240" w:lineRule="auto"/>
              <w:ind w:left="220"/>
              <w:jc w:val="left"/>
              <w:rPr>
                <w:rFonts w:ascii="Helvetica" w:eastAsia="Arial Unicode MS" w:hAnsi="Helvetica" w:cs="Helvetica"/>
                <w:color w:val="000000"/>
                <w:sz w:val="6"/>
                <w:szCs w:val="6"/>
              </w:rPr>
            </w:pPr>
            <w:r>
              <w:rPr>
                <w:rFonts w:ascii="Helvetica" w:hAnsi="Helvetica"/>
                <w:color w:val="000000"/>
                <w:sz w:val="6"/>
              </w:rPr>
              <w:t>Egenkapitalinstrumenter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D48DEA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0922" w:type="dxa"/>
            <w:gridSpan w:val="84"/>
            <w:vMerge/>
            <w:tcBorders>
              <w:top w:val="single" w:sz="4" w:space="0" w:color="auto"/>
              <w:left w:val="single" w:sz="4" w:space="0" w:color="auto"/>
              <w:bottom w:val="single" w:sz="4" w:space="0" w:color="auto"/>
              <w:right w:val="single" w:sz="4" w:space="0" w:color="auto"/>
            </w:tcBorders>
            <w:vAlign w:val="center"/>
            <w:hideMark/>
          </w:tcPr>
          <w:p w14:paraId="6F934BD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69B7EA35"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2AC86E6"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45</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FBFEBFD" w14:textId="77777777" w:rsidR="00A54846" w:rsidRDefault="008A2731">
            <w:pPr>
              <w:widowControl w:val="0"/>
              <w:shd w:val="clear" w:color="auto" w:fill="auto"/>
              <w:spacing w:after="0" w:line="240" w:lineRule="auto"/>
              <w:ind w:left="100"/>
              <w:jc w:val="left"/>
              <w:rPr>
                <w:rFonts w:ascii="Helvetica" w:eastAsia="Arial Unicode MS" w:hAnsi="Helvetica" w:cs="Helvetica"/>
                <w:b/>
                <w:color w:val="000000"/>
                <w:sz w:val="6"/>
                <w:szCs w:val="6"/>
              </w:rPr>
            </w:pPr>
            <w:r>
              <w:rPr>
                <w:rFonts w:ascii="Helvetica" w:hAnsi="Helvetica"/>
                <w:b/>
                <w:color w:val="000000"/>
                <w:sz w:val="6"/>
              </w:rPr>
              <w:t>Derivater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0CD245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0922" w:type="dxa"/>
            <w:gridSpan w:val="84"/>
            <w:vMerge/>
            <w:tcBorders>
              <w:top w:val="single" w:sz="4" w:space="0" w:color="auto"/>
              <w:left w:val="single" w:sz="4" w:space="0" w:color="auto"/>
              <w:bottom w:val="single" w:sz="4" w:space="0" w:color="auto"/>
              <w:right w:val="single" w:sz="4" w:space="0" w:color="auto"/>
            </w:tcBorders>
            <w:vAlign w:val="center"/>
            <w:hideMark/>
          </w:tcPr>
          <w:p w14:paraId="28F8BEA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73D8AD14"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FA0DAA8"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46</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8F12BFB" w14:textId="77777777" w:rsidR="00A54846" w:rsidRDefault="008A2731">
            <w:pPr>
              <w:widowControl w:val="0"/>
              <w:shd w:val="clear" w:color="auto" w:fill="auto"/>
              <w:spacing w:after="0" w:line="240" w:lineRule="auto"/>
              <w:ind w:left="100"/>
              <w:jc w:val="left"/>
              <w:rPr>
                <w:rFonts w:ascii="Helvetica" w:eastAsia="Arial Unicode MS" w:hAnsi="Helvetica" w:cs="Helvetica"/>
                <w:b/>
                <w:color w:val="000000"/>
                <w:sz w:val="6"/>
                <w:szCs w:val="6"/>
              </w:rPr>
            </w:pPr>
            <w:r>
              <w:rPr>
                <w:rFonts w:ascii="Helvetica" w:hAnsi="Helvetica"/>
                <w:b/>
                <w:color w:val="000000"/>
                <w:sz w:val="6"/>
              </w:rPr>
              <w:t>Interbanklån på anfordring</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7312AE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0922" w:type="dxa"/>
            <w:gridSpan w:val="84"/>
            <w:vMerge/>
            <w:tcBorders>
              <w:top w:val="single" w:sz="4" w:space="0" w:color="auto"/>
              <w:left w:val="single" w:sz="4" w:space="0" w:color="auto"/>
              <w:bottom w:val="single" w:sz="4" w:space="0" w:color="auto"/>
              <w:right w:val="single" w:sz="4" w:space="0" w:color="auto"/>
            </w:tcBorders>
            <w:vAlign w:val="center"/>
            <w:hideMark/>
          </w:tcPr>
          <w:p w14:paraId="0448B1C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61249BB8"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5A74C24A"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47</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C4E6B9F" w14:textId="77777777" w:rsidR="00A54846" w:rsidRDefault="008A2731">
            <w:pPr>
              <w:widowControl w:val="0"/>
              <w:shd w:val="clear" w:color="auto" w:fill="auto"/>
              <w:spacing w:after="0" w:line="240" w:lineRule="auto"/>
              <w:ind w:left="100"/>
              <w:jc w:val="left"/>
              <w:rPr>
                <w:rFonts w:ascii="Helvetica" w:eastAsia="Arial Unicode MS" w:hAnsi="Helvetica" w:cs="Helvetica"/>
                <w:b/>
                <w:color w:val="000000"/>
                <w:sz w:val="6"/>
                <w:szCs w:val="6"/>
              </w:rPr>
            </w:pPr>
            <w:r>
              <w:rPr>
                <w:rFonts w:ascii="Helvetica" w:hAnsi="Helvetica"/>
                <w:b/>
                <w:color w:val="000000"/>
                <w:sz w:val="6"/>
              </w:rPr>
              <w:t>Kontanter og kontantrelaterte eiendeler</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7838B5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0922" w:type="dxa"/>
            <w:gridSpan w:val="84"/>
            <w:vMerge/>
            <w:tcBorders>
              <w:top w:val="single" w:sz="4" w:space="0" w:color="auto"/>
              <w:left w:val="single" w:sz="4" w:space="0" w:color="auto"/>
              <w:bottom w:val="single" w:sz="4" w:space="0" w:color="auto"/>
              <w:right w:val="single" w:sz="4" w:space="0" w:color="auto"/>
            </w:tcBorders>
            <w:vAlign w:val="center"/>
            <w:hideMark/>
          </w:tcPr>
          <w:p w14:paraId="0C84E3D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037FC313"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5476D708"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48</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E242B0A" w14:textId="77777777" w:rsidR="00A54846" w:rsidRDefault="008A2731">
            <w:pPr>
              <w:widowControl w:val="0"/>
              <w:shd w:val="clear" w:color="auto" w:fill="auto"/>
              <w:spacing w:after="0" w:line="240" w:lineRule="auto"/>
              <w:ind w:left="100"/>
              <w:jc w:val="left"/>
              <w:rPr>
                <w:rFonts w:ascii="Helvetica" w:eastAsia="Arial Unicode MS" w:hAnsi="Helvetica" w:cs="Helvetica"/>
                <w:b/>
                <w:color w:val="000000"/>
                <w:sz w:val="6"/>
                <w:szCs w:val="6"/>
              </w:rPr>
            </w:pPr>
            <w:r>
              <w:rPr>
                <w:rFonts w:ascii="Helvetica" w:hAnsi="Helvetica"/>
                <w:b/>
                <w:color w:val="000000"/>
                <w:sz w:val="6"/>
              </w:rPr>
              <w:t>Andre eiendeler (f.eks. goodwill, varer osv.)</w:t>
            </w:r>
          </w:p>
        </w:tc>
        <w:tc>
          <w:tcPr>
            <w:tcW w:w="41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C94165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10922" w:type="dxa"/>
            <w:gridSpan w:val="84"/>
            <w:vMerge/>
            <w:tcBorders>
              <w:top w:val="single" w:sz="4" w:space="0" w:color="auto"/>
              <w:left w:val="single" w:sz="4" w:space="0" w:color="auto"/>
              <w:bottom w:val="single" w:sz="4" w:space="0" w:color="auto"/>
              <w:right w:val="single" w:sz="4" w:space="0" w:color="auto"/>
            </w:tcBorders>
            <w:vAlign w:val="center"/>
            <w:hideMark/>
          </w:tcPr>
          <w:p w14:paraId="582AF82D"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6C66DAB6" w14:textId="77777777">
        <w:tc>
          <w:tcPr>
            <w:tcW w:w="756" w:type="dxa"/>
            <w:tcBorders>
              <w:top w:val="single" w:sz="4" w:space="0" w:color="auto"/>
              <w:left w:val="single" w:sz="4" w:space="0" w:color="auto"/>
              <w:bottom w:val="nil"/>
              <w:right w:val="nil"/>
            </w:tcBorders>
            <w:shd w:val="clear" w:color="auto" w:fill="D8EBF9"/>
            <w:tcMar>
              <w:top w:w="10" w:type="dxa"/>
              <w:left w:w="40" w:type="dxa"/>
              <w:bottom w:w="10" w:type="dxa"/>
              <w:right w:w="40" w:type="dxa"/>
            </w:tcMar>
            <w:hideMark/>
          </w:tcPr>
          <w:p w14:paraId="576B528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49</w:t>
            </w:r>
          </w:p>
        </w:tc>
        <w:tc>
          <w:tcPr>
            <w:tcW w:w="1957" w:type="dxa"/>
            <w:tcBorders>
              <w:top w:val="single" w:sz="4" w:space="0" w:color="auto"/>
              <w:left w:val="single" w:sz="4" w:space="0" w:color="auto"/>
              <w:bottom w:val="nil"/>
              <w:right w:val="nil"/>
            </w:tcBorders>
            <w:shd w:val="clear" w:color="auto" w:fill="D8EBF9"/>
            <w:tcMar>
              <w:top w:w="10" w:type="dxa"/>
              <w:left w:w="40" w:type="dxa"/>
              <w:bottom w:w="10" w:type="dxa"/>
              <w:right w:w="40" w:type="dxa"/>
            </w:tcMar>
            <w:hideMark/>
          </w:tcPr>
          <w:p w14:paraId="4B498F02" w14:textId="77777777" w:rsidR="00A54846" w:rsidRDefault="008A2731">
            <w:pPr>
              <w:widowControl w:val="0"/>
              <w:shd w:val="clear" w:color="auto" w:fill="auto"/>
              <w:spacing w:after="0" w:line="240" w:lineRule="auto"/>
              <w:jc w:val="left"/>
              <w:rPr>
                <w:rFonts w:ascii="Helvetica" w:eastAsia="Arial Unicode MS" w:hAnsi="Helvetica" w:cs="Helvetica"/>
                <w:b/>
                <w:color w:val="000000"/>
                <w:sz w:val="6"/>
                <w:szCs w:val="6"/>
              </w:rPr>
            </w:pPr>
            <w:r>
              <w:rPr>
                <w:rFonts w:ascii="Helvetica" w:hAnsi="Helvetica"/>
                <w:b/>
                <w:color w:val="000000"/>
                <w:sz w:val="6"/>
              </w:rPr>
              <w:t>Samlet GAR for eiendeler</w:t>
            </w:r>
          </w:p>
        </w:tc>
        <w:tc>
          <w:tcPr>
            <w:tcW w:w="418" w:type="dxa"/>
            <w:gridSpan w:val="2"/>
            <w:tcBorders>
              <w:top w:val="single" w:sz="4" w:space="0" w:color="auto"/>
              <w:left w:val="single" w:sz="4" w:space="0" w:color="auto"/>
              <w:bottom w:val="nil"/>
              <w:right w:val="single" w:sz="4" w:space="0" w:color="auto"/>
            </w:tcBorders>
            <w:shd w:val="clear" w:color="auto" w:fill="D8EBF9"/>
            <w:tcMar>
              <w:top w:w="10" w:type="dxa"/>
              <w:left w:w="40" w:type="dxa"/>
              <w:bottom w:w="10" w:type="dxa"/>
              <w:right w:w="40" w:type="dxa"/>
            </w:tcMar>
          </w:tcPr>
          <w:p w14:paraId="60001FA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2" w:type="dxa"/>
            <w:gridSpan w:val="3"/>
            <w:tcBorders>
              <w:top w:val="nil"/>
              <w:left w:val="single" w:sz="4" w:space="0" w:color="auto"/>
              <w:bottom w:val="single" w:sz="4" w:space="0" w:color="auto"/>
              <w:right w:val="single" w:sz="4" w:space="0" w:color="auto"/>
            </w:tcBorders>
            <w:shd w:val="clear" w:color="auto" w:fill="D8EBF9"/>
            <w:tcMar>
              <w:top w:w="10" w:type="dxa"/>
              <w:left w:w="40" w:type="dxa"/>
              <w:bottom w:w="10" w:type="dxa"/>
              <w:right w:w="40" w:type="dxa"/>
            </w:tcMar>
          </w:tcPr>
          <w:p w14:paraId="7FCA76D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nil"/>
              <w:left w:val="single" w:sz="4" w:space="0" w:color="auto"/>
              <w:bottom w:val="single" w:sz="4" w:space="0" w:color="auto"/>
              <w:right w:val="single" w:sz="4" w:space="0" w:color="auto"/>
            </w:tcBorders>
            <w:shd w:val="clear" w:color="auto" w:fill="D8EBF9"/>
          </w:tcPr>
          <w:p w14:paraId="153F2DD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nil"/>
              <w:left w:val="single" w:sz="4" w:space="0" w:color="auto"/>
              <w:bottom w:val="single" w:sz="4" w:space="0" w:color="auto"/>
              <w:right w:val="single" w:sz="4" w:space="0" w:color="auto"/>
            </w:tcBorders>
            <w:shd w:val="clear" w:color="auto" w:fill="D8EBF9"/>
          </w:tcPr>
          <w:p w14:paraId="33CF640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3" w:type="dxa"/>
            <w:gridSpan w:val="2"/>
            <w:tcBorders>
              <w:top w:val="nil"/>
              <w:left w:val="single" w:sz="4" w:space="0" w:color="auto"/>
              <w:bottom w:val="single" w:sz="4" w:space="0" w:color="auto"/>
              <w:right w:val="single" w:sz="4" w:space="0" w:color="auto"/>
            </w:tcBorders>
            <w:shd w:val="clear" w:color="auto" w:fill="D8EBF9"/>
          </w:tcPr>
          <w:p w14:paraId="363C69B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97" w:type="dxa"/>
            <w:gridSpan w:val="3"/>
            <w:tcBorders>
              <w:top w:val="nil"/>
              <w:left w:val="single" w:sz="4" w:space="0" w:color="auto"/>
              <w:bottom w:val="single" w:sz="4" w:space="0" w:color="auto"/>
              <w:right w:val="single" w:sz="4" w:space="0" w:color="auto"/>
            </w:tcBorders>
            <w:shd w:val="clear" w:color="auto" w:fill="D8EBF9"/>
          </w:tcPr>
          <w:p w14:paraId="46B01B7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6" w:type="dxa"/>
            <w:gridSpan w:val="4"/>
            <w:tcBorders>
              <w:top w:val="nil"/>
              <w:left w:val="single" w:sz="4" w:space="0" w:color="auto"/>
              <w:bottom w:val="single" w:sz="4" w:space="0" w:color="auto"/>
              <w:right w:val="single" w:sz="4" w:space="0" w:color="auto"/>
            </w:tcBorders>
            <w:shd w:val="clear" w:color="auto" w:fill="D8EBF9"/>
          </w:tcPr>
          <w:p w14:paraId="6D19C45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71" w:type="dxa"/>
            <w:gridSpan w:val="2"/>
            <w:tcBorders>
              <w:top w:val="nil"/>
              <w:left w:val="single" w:sz="4" w:space="0" w:color="auto"/>
              <w:bottom w:val="single" w:sz="4" w:space="0" w:color="auto"/>
              <w:right w:val="single" w:sz="4" w:space="0" w:color="auto"/>
            </w:tcBorders>
            <w:shd w:val="clear" w:color="auto" w:fill="D8EBF9"/>
          </w:tcPr>
          <w:p w14:paraId="108D6AD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3"/>
            <w:tcBorders>
              <w:top w:val="nil"/>
              <w:left w:val="single" w:sz="4" w:space="0" w:color="auto"/>
              <w:bottom w:val="single" w:sz="4" w:space="0" w:color="auto"/>
              <w:right w:val="single" w:sz="4" w:space="0" w:color="auto"/>
            </w:tcBorders>
            <w:shd w:val="clear" w:color="auto" w:fill="D8EBF9"/>
          </w:tcPr>
          <w:p w14:paraId="1C476C2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nil"/>
              <w:left w:val="single" w:sz="4" w:space="0" w:color="auto"/>
              <w:bottom w:val="single" w:sz="4" w:space="0" w:color="auto"/>
              <w:right w:val="single" w:sz="4" w:space="0" w:color="auto"/>
            </w:tcBorders>
            <w:shd w:val="clear" w:color="auto" w:fill="D8EBF9"/>
          </w:tcPr>
          <w:p w14:paraId="7B0BFB2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3" w:type="dxa"/>
            <w:gridSpan w:val="2"/>
            <w:tcBorders>
              <w:top w:val="nil"/>
              <w:left w:val="single" w:sz="4" w:space="0" w:color="auto"/>
              <w:bottom w:val="single" w:sz="4" w:space="0" w:color="auto"/>
              <w:right w:val="single" w:sz="4" w:space="0" w:color="auto"/>
            </w:tcBorders>
            <w:shd w:val="clear" w:color="auto" w:fill="D8EBF9"/>
          </w:tcPr>
          <w:p w14:paraId="15AF578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73" w:type="dxa"/>
            <w:gridSpan w:val="3"/>
            <w:tcBorders>
              <w:top w:val="nil"/>
              <w:left w:val="single" w:sz="4" w:space="0" w:color="auto"/>
              <w:bottom w:val="single" w:sz="4" w:space="0" w:color="auto"/>
              <w:right w:val="single" w:sz="4" w:space="0" w:color="auto"/>
            </w:tcBorders>
            <w:shd w:val="clear" w:color="auto" w:fill="D8EBF9"/>
          </w:tcPr>
          <w:p w14:paraId="02BE4EE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8" w:type="dxa"/>
            <w:gridSpan w:val="3"/>
            <w:tcBorders>
              <w:top w:val="nil"/>
              <w:left w:val="single" w:sz="4" w:space="0" w:color="auto"/>
              <w:bottom w:val="single" w:sz="4" w:space="0" w:color="auto"/>
              <w:right w:val="single" w:sz="4" w:space="0" w:color="auto"/>
            </w:tcBorders>
            <w:shd w:val="clear" w:color="auto" w:fill="D8EBF9"/>
          </w:tcPr>
          <w:p w14:paraId="59E4F05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2"/>
            <w:tcBorders>
              <w:top w:val="nil"/>
              <w:left w:val="single" w:sz="4" w:space="0" w:color="auto"/>
              <w:bottom w:val="single" w:sz="4" w:space="0" w:color="auto"/>
              <w:right w:val="single" w:sz="4" w:space="0" w:color="auto"/>
            </w:tcBorders>
            <w:shd w:val="clear" w:color="auto" w:fill="D8EBF9"/>
          </w:tcPr>
          <w:p w14:paraId="3EE53B4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nil"/>
              <w:left w:val="single" w:sz="4" w:space="0" w:color="auto"/>
              <w:bottom w:val="single" w:sz="4" w:space="0" w:color="auto"/>
              <w:right w:val="single" w:sz="4" w:space="0" w:color="auto"/>
            </w:tcBorders>
            <w:shd w:val="clear" w:color="auto" w:fill="D8EBF9"/>
          </w:tcPr>
          <w:p w14:paraId="7B21204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2"/>
            <w:tcBorders>
              <w:top w:val="nil"/>
              <w:left w:val="single" w:sz="4" w:space="0" w:color="auto"/>
              <w:bottom w:val="single" w:sz="4" w:space="0" w:color="auto"/>
              <w:right w:val="single" w:sz="4" w:space="0" w:color="auto"/>
            </w:tcBorders>
            <w:shd w:val="clear" w:color="auto" w:fill="D8EBF9"/>
          </w:tcPr>
          <w:p w14:paraId="40E0818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53" w:type="dxa"/>
            <w:gridSpan w:val="3"/>
            <w:tcBorders>
              <w:top w:val="nil"/>
              <w:left w:val="single" w:sz="4" w:space="0" w:color="auto"/>
              <w:bottom w:val="single" w:sz="4" w:space="0" w:color="auto"/>
              <w:right w:val="single" w:sz="4" w:space="0" w:color="auto"/>
            </w:tcBorders>
            <w:shd w:val="clear" w:color="auto" w:fill="D8EBF9"/>
          </w:tcPr>
          <w:p w14:paraId="7FD5552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4"/>
            <w:tcBorders>
              <w:top w:val="nil"/>
              <w:left w:val="single" w:sz="4" w:space="0" w:color="auto"/>
              <w:bottom w:val="single" w:sz="4" w:space="0" w:color="auto"/>
              <w:right w:val="single" w:sz="4" w:space="0" w:color="auto"/>
            </w:tcBorders>
            <w:shd w:val="clear" w:color="auto" w:fill="D8EBF9"/>
          </w:tcPr>
          <w:p w14:paraId="362FCB5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41" w:type="dxa"/>
            <w:gridSpan w:val="4"/>
            <w:tcBorders>
              <w:top w:val="nil"/>
              <w:left w:val="single" w:sz="4" w:space="0" w:color="auto"/>
              <w:bottom w:val="single" w:sz="4" w:space="0" w:color="auto"/>
              <w:right w:val="single" w:sz="4" w:space="0" w:color="auto"/>
            </w:tcBorders>
            <w:shd w:val="clear" w:color="auto" w:fill="D8EBF9"/>
          </w:tcPr>
          <w:p w14:paraId="6297FE3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4"/>
            <w:tcBorders>
              <w:top w:val="nil"/>
              <w:left w:val="single" w:sz="4" w:space="0" w:color="auto"/>
              <w:bottom w:val="single" w:sz="4" w:space="0" w:color="auto"/>
              <w:right w:val="single" w:sz="4" w:space="0" w:color="auto"/>
            </w:tcBorders>
            <w:shd w:val="clear" w:color="auto" w:fill="D8EBF9"/>
          </w:tcPr>
          <w:p w14:paraId="7BFFDC9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1" w:type="dxa"/>
            <w:gridSpan w:val="3"/>
            <w:tcBorders>
              <w:top w:val="nil"/>
              <w:left w:val="single" w:sz="4" w:space="0" w:color="auto"/>
              <w:bottom w:val="single" w:sz="4" w:space="0" w:color="auto"/>
              <w:right w:val="single" w:sz="4" w:space="0" w:color="auto"/>
            </w:tcBorders>
            <w:shd w:val="clear" w:color="auto" w:fill="D8EBF9"/>
          </w:tcPr>
          <w:p w14:paraId="21BD920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2"/>
            <w:tcBorders>
              <w:top w:val="nil"/>
              <w:left w:val="single" w:sz="4" w:space="0" w:color="auto"/>
              <w:bottom w:val="single" w:sz="4" w:space="0" w:color="auto"/>
              <w:right w:val="single" w:sz="4" w:space="0" w:color="auto"/>
            </w:tcBorders>
            <w:shd w:val="clear" w:color="auto" w:fill="D8EBF9"/>
          </w:tcPr>
          <w:p w14:paraId="0098BB7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4"/>
            <w:tcBorders>
              <w:top w:val="nil"/>
              <w:left w:val="single" w:sz="4" w:space="0" w:color="auto"/>
              <w:bottom w:val="single" w:sz="4" w:space="0" w:color="auto"/>
              <w:right w:val="single" w:sz="4" w:space="0" w:color="auto"/>
            </w:tcBorders>
            <w:shd w:val="clear" w:color="auto" w:fill="D8EBF9"/>
          </w:tcPr>
          <w:p w14:paraId="7E5B92C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0" w:type="dxa"/>
            <w:gridSpan w:val="3"/>
            <w:tcBorders>
              <w:top w:val="nil"/>
              <w:left w:val="single" w:sz="4" w:space="0" w:color="auto"/>
              <w:bottom w:val="single" w:sz="4" w:space="0" w:color="auto"/>
              <w:right w:val="single" w:sz="4" w:space="0" w:color="auto"/>
            </w:tcBorders>
            <w:shd w:val="clear" w:color="auto" w:fill="D8EBF9"/>
          </w:tcPr>
          <w:p w14:paraId="1A1B978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2"/>
            <w:tcBorders>
              <w:top w:val="nil"/>
              <w:left w:val="single" w:sz="4" w:space="0" w:color="auto"/>
              <w:bottom w:val="single" w:sz="4" w:space="0" w:color="auto"/>
              <w:right w:val="single" w:sz="4" w:space="0" w:color="auto"/>
            </w:tcBorders>
            <w:shd w:val="clear" w:color="auto" w:fill="D8EBF9"/>
          </w:tcPr>
          <w:p w14:paraId="2F908EA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7" w:type="dxa"/>
            <w:gridSpan w:val="3"/>
            <w:tcBorders>
              <w:top w:val="nil"/>
              <w:left w:val="single" w:sz="4" w:space="0" w:color="auto"/>
              <w:bottom w:val="single" w:sz="4" w:space="0" w:color="auto"/>
              <w:right w:val="single" w:sz="4" w:space="0" w:color="auto"/>
            </w:tcBorders>
            <w:shd w:val="clear" w:color="auto" w:fill="D8EBF9"/>
          </w:tcPr>
          <w:p w14:paraId="57BC6AA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tcBorders>
              <w:top w:val="nil"/>
              <w:left w:val="single" w:sz="4" w:space="0" w:color="auto"/>
              <w:bottom w:val="single" w:sz="4" w:space="0" w:color="auto"/>
              <w:right w:val="single" w:sz="4" w:space="0" w:color="auto"/>
            </w:tcBorders>
            <w:shd w:val="clear" w:color="auto" w:fill="D8EBF9"/>
          </w:tcPr>
          <w:p w14:paraId="7253D93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nil"/>
              <w:left w:val="single" w:sz="4" w:space="0" w:color="auto"/>
              <w:bottom w:val="single" w:sz="4" w:space="0" w:color="auto"/>
              <w:right w:val="single" w:sz="4" w:space="0" w:color="auto"/>
            </w:tcBorders>
            <w:shd w:val="clear" w:color="auto" w:fill="D8EBF9"/>
          </w:tcPr>
          <w:p w14:paraId="15C1D3D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508" w:type="dxa"/>
            <w:gridSpan w:val="4"/>
            <w:tcBorders>
              <w:top w:val="nil"/>
              <w:left w:val="single" w:sz="4" w:space="0" w:color="auto"/>
              <w:bottom w:val="single" w:sz="4" w:space="0" w:color="auto"/>
              <w:right w:val="single" w:sz="4" w:space="0" w:color="auto"/>
            </w:tcBorders>
            <w:shd w:val="clear" w:color="auto" w:fill="D8EBF9"/>
          </w:tcPr>
          <w:p w14:paraId="47E8176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53" w:type="dxa"/>
            <w:gridSpan w:val="3"/>
            <w:tcBorders>
              <w:top w:val="nil"/>
              <w:left w:val="single" w:sz="4" w:space="0" w:color="auto"/>
              <w:bottom w:val="single" w:sz="4" w:space="0" w:color="auto"/>
              <w:right w:val="single" w:sz="4" w:space="0" w:color="auto"/>
            </w:tcBorders>
            <w:shd w:val="clear" w:color="auto" w:fill="D8EBF9"/>
          </w:tcPr>
          <w:p w14:paraId="2DD6846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41" w:type="dxa"/>
            <w:gridSpan w:val="3"/>
            <w:tcBorders>
              <w:top w:val="nil"/>
              <w:left w:val="single" w:sz="4" w:space="0" w:color="auto"/>
              <w:bottom w:val="single" w:sz="4" w:space="0" w:color="auto"/>
              <w:right w:val="single" w:sz="4" w:space="0" w:color="auto"/>
            </w:tcBorders>
            <w:shd w:val="clear" w:color="auto" w:fill="D8EBF9"/>
          </w:tcPr>
          <w:p w14:paraId="19A2A09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06" w:type="dxa"/>
            <w:tcBorders>
              <w:top w:val="nil"/>
              <w:left w:val="single" w:sz="4" w:space="0" w:color="auto"/>
              <w:bottom w:val="single" w:sz="4" w:space="0" w:color="auto"/>
              <w:right w:val="single" w:sz="4" w:space="0" w:color="auto"/>
            </w:tcBorders>
            <w:shd w:val="clear" w:color="auto" w:fill="D8EBF9"/>
          </w:tcPr>
          <w:p w14:paraId="0EF8732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09F0E244"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40E16AC2"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50</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2C96B05" w14:textId="77777777" w:rsidR="00A54846" w:rsidRDefault="008A2731">
            <w:pPr>
              <w:widowControl w:val="0"/>
              <w:shd w:val="clear" w:color="auto" w:fill="auto"/>
              <w:spacing w:after="0" w:line="240" w:lineRule="auto"/>
              <w:jc w:val="left"/>
              <w:rPr>
                <w:rFonts w:ascii="Helvetica" w:eastAsia="Arial Unicode MS" w:hAnsi="Helvetica" w:cs="Helvetica"/>
                <w:b/>
                <w:color w:val="000000"/>
                <w:sz w:val="6"/>
                <w:szCs w:val="6"/>
                <w:u w:val="single"/>
              </w:rPr>
            </w:pPr>
            <w:r>
              <w:rPr>
                <w:rFonts w:ascii="Helvetica" w:hAnsi="Helvetica"/>
                <w:b/>
                <w:color w:val="000000"/>
                <w:sz w:val="6"/>
                <w:u w:val="single"/>
              </w:rPr>
              <w:t>Andre eiendeler som ikke inngår i beregningen av GAR</w:t>
            </w:r>
          </w:p>
        </w:tc>
        <w:tc>
          <w:tcPr>
            <w:tcW w:w="41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41B70CA"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c>
          <w:tcPr>
            <w:tcW w:w="10921" w:type="dxa"/>
            <w:gridSpan w:val="83"/>
            <w:tcBorders>
              <w:top w:val="nil"/>
              <w:left w:val="nil"/>
              <w:bottom w:val="single" w:sz="4" w:space="0" w:color="auto"/>
              <w:right w:val="single" w:sz="4" w:space="0" w:color="auto"/>
            </w:tcBorders>
            <w:shd w:val="clear" w:color="auto" w:fill="000000"/>
            <w:tcMar>
              <w:top w:w="10" w:type="dxa"/>
              <w:left w:w="40" w:type="dxa"/>
              <w:bottom w:w="10" w:type="dxa"/>
              <w:right w:w="40" w:type="dxa"/>
            </w:tcMar>
          </w:tcPr>
          <w:p w14:paraId="4BC2C448" w14:textId="77777777" w:rsidR="00A54846" w:rsidRPr="006A792F" w:rsidRDefault="00A54846">
            <w:pPr>
              <w:widowControl w:val="0"/>
              <w:shd w:val="clear" w:color="auto" w:fill="auto"/>
              <w:spacing w:after="0" w:line="240" w:lineRule="auto"/>
              <w:jc w:val="left"/>
              <w:rPr>
                <w:rFonts w:ascii="Helvetica" w:eastAsia="Arial Unicode MS" w:hAnsi="Helvetica" w:cs="Helvetica"/>
                <w:color w:val="000000"/>
                <w:sz w:val="6"/>
                <w:szCs w:val="6"/>
                <w:lang w:bidi="en-US"/>
              </w:rPr>
            </w:pPr>
          </w:p>
        </w:tc>
      </w:tr>
      <w:tr w:rsidR="00A54846" w14:paraId="198BD232"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7924F196"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51</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955121D" w14:textId="77777777" w:rsidR="00A54846" w:rsidRDefault="008A2731">
            <w:pPr>
              <w:widowControl w:val="0"/>
              <w:shd w:val="clear" w:color="auto" w:fill="auto"/>
              <w:spacing w:after="0" w:line="240" w:lineRule="auto"/>
              <w:ind w:left="100"/>
              <w:jc w:val="left"/>
              <w:rPr>
                <w:rFonts w:ascii="Helvetica" w:eastAsia="Arial Unicode MS" w:hAnsi="Helvetica" w:cs="Helvetica"/>
                <w:b/>
                <w:color w:val="000000"/>
                <w:sz w:val="6"/>
                <w:szCs w:val="6"/>
              </w:rPr>
            </w:pPr>
            <w:r>
              <w:rPr>
                <w:rFonts w:ascii="Helvetica" w:hAnsi="Helvetica"/>
                <w:b/>
                <w:color w:val="000000"/>
                <w:sz w:val="6"/>
              </w:rPr>
              <w:t>Statspapirer</w:t>
            </w:r>
          </w:p>
        </w:tc>
        <w:tc>
          <w:tcPr>
            <w:tcW w:w="41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FA4978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0921" w:type="dxa"/>
            <w:gridSpan w:val="83"/>
            <w:vMerge w:val="restart"/>
            <w:tcBorders>
              <w:top w:val="nil"/>
              <w:left w:val="nil"/>
              <w:bottom w:val="single" w:sz="4" w:space="0" w:color="auto"/>
              <w:right w:val="single" w:sz="4" w:space="0" w:color="auto"/>
            </w:tcBorders>
            <w:shd w:val="clear" w:color="auto" w:fill="000000"/>
            <w:tcMar>
              <w:top w:w="10" w:type="dxa"/>
              <w:left w:w="40" w:type="dxa"/>
              <w:bottom w:w="10" w:type="dxa"/>
              <w:right w:w="40" w:type="dxa"/>
            </w:tcMar>
          </w:tcPr>
          <w:p w14:paraId="1855402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37417101"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40B8575"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52</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90BA34E" w14:textId="77777777" w:rsidR="00A54846" w:rsidRDefault="008A2731">
            <w:pPr>
              <w:widowControl w:val="0"/>
              <w:shd w:val="clear" w:color="auto" w:fill="auto"/>
              <w:spacing w:after="0" w:line="240" w:lineRule="auto"/>
              <w:ind w:left="100"/>
              <w:jc w:val="left"/>
              <w:rPr>
                <w:rFonts w:ascii="Helvetica" w:eastAsia="Arial Unicode MS" w:hAnsi="Helvetica" w:cs="Helvetica"/>
                <w:b/>
                <w:color w:val="000000"/>
                <w:sz w:val="6"/>
                <w:szCs w:val="6"/>
              </w:rPr>
            </w:pPr>
            <w:r>
              <w:rPr>
                <w:rFonts w:ascii="Helvetica" w:hAnsi="Helvetica"/>
                <w:b/>
                <w:color w:val="000000"/>
                <w:sz w:val="6"/>
              </w:rPr>
              <w:t>Eksponeringer mot sentralbanker</w:t>
            </w:r>
          </w:p>
        </w:tc>
        <w:tc>
          <w:tcPr>
            <w:tcW w:w="41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E84E45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0921" w:type="dxa"/>
            <w:gridSpan w:val="83"/>
            <w:vMerge/>
            <w:tcBorders>
              <w:top w:val="single" w:sz="4" w:space="0" w:color="auto"/>
              <w:left w:val="single" w:sz="4" w:space="0" w:color="auto"/>
              <w:bottom w:val="single" w:sz="4" w:space="0" w:color="auto"/>
              <w:right w:val="single" w:sz="4" w:space="0" w:color="auto"/>
            </w:tcBorders>
            <w:vAlign w:val="center"/>
            <w:hideMark/>
          </w:tcPr>
          <w:p w14:paraId="4B37D05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4A0EF8F0"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498F872"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53</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5B801962" w14:textId="77777777" w:rsidR="00A54846" w:rsidRDefault="008A2731">
            <w:pPr>
              <w:widowControl w:val="0"/>
              <w:shd w:val="clear" w:color="auto" w:fill="auto"/>
              <w:spacing w:after="0" w:line="240" w:lineRule="auto"/>
              <w:ind w:left="100"/>
              <w:jc w:val="left"/>
              <w:rPr>
                <w:rFonts w:ascii="Helvetica" w:eastAsia="Arial Unicode MS" w:hAnsi="Helvetica" w:cs="Helvetica"/>
                <w:b/>
                <w:color w:val="000000"/>
                <w:sz w:val="6"/>
                <w:szCs w:val="6"/>
              </w:rPr>
            </w:pPr>
            <w:r>
              <w:rPr>
                <w:rFonts w:ascii="Helvetica" w:hAnsi="Helvetica"/>
                <w:b/>
                <w:color w:val="000000"/>
                <w:sz w:val="6"/>
              </w:rPr>
              <w:t>Handelsportefølje</w:t>
            </w:r>
          </w:p>
        </w:tc>
        <w:tc>
          <w:tcPr>
            <w:tcW w:w="41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C5ABAF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10921" w:type="dxa"/>
            <w:gridSpan w:val="83"/>
            <w:vMerge/>
            <w:tcBorders>
              <w:top w:val="single" w:sz="4" w:space="0" w:color="auto"/>
              <w:left w:val="single" w:sz="4" w:space="0" w:color="auto"/>
              <w:bottom w:val="single" w:sz="4" w:space="0" w:color="auto"/>
              <w:right w:val="single" w:sz="4" w:space="0" w:color="auto"/>
            </w:tcBorders>
            <w:vAlign w:val="center"/>
            <w:hideMark/>
          </w:tcPr>
          <w:p w14:paraId="1FC4557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3CB5CC2C"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3B70F910"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54</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80FA789" w14:textId="77777777" w:rsidR="00A54846" w:rsidRDefault="008A2731">
            <w:pPr>
              <w:widowControl w:val="0"/>
              <w:shd w:val="clear" w:color="auto" w:fill="auto"/>
              <w:spacing w:after="0" w:line="240" w:lineRule="auto"/>
              <w:jc w:val="left"/>
              <w:rPr>
                <w:rFonts w:ascii="Helvetica" w:eastAsia="Arial Unicode MS" w:hAnsi="Helvetica" w:cs="Helvetica"/>
                <w:b/>
                <w:color w:val="000000"/>
                <w:sz w:val="6"/>
                <w:szCs w:val="6"/>
                <w:u w:val="single"/>
              </w:rPr>
            </w:pPr>
            <w:r>
              <w:rPr>
                <w:rFonts w:ascii="Helvetica" w:hAnsi="Helvetica"/>
                <w:b/>
                <w:color w:val="000000"/>
                <w:sz w:val="6"/>
                <w:u w:val="single"/>
              </w:rPr>
              <w:t>Samlede eiendeler</w:t>
            </w:r>
          </w:p>
        </w:tc>
        <w:tc>
          <w:tcPr>
            <w:tcW w:w="418"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0B9B32F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2" w:type="dxa"/>
            <w:gridSpan w:val="3"/>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5BFF4C3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nil"/>
              <w:bottom w:val="nil"/>
              <w:right w:val="single" w:sz="4" w:space="0" w:color="auto"/>
            </w:tcBorders>
            <w:shd w:val="clear" w:color="auto" w:fill="FFFFFF"/>
          </w:tcPr>
          <w:p w14:paraId="6C1B473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nil"/>
              <w:bottom w:val="nil"/>
              <w:right w:val="single" w:sz="4" w:space="0" w:color="auto"/>
            </w:tcBorders>
            <w:shd w:val="clear" w:color="auto" w:fill="FFFFFF"/>
          </w:tcPr>
          <w:p w14:paraId="6D892C5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3" w:type="dxa"/>
            <w:gridSpan w:val="2"/>
            <w:tcBorders>
              <w:top w:val="single" w:sz="4" w:space="0" w:color="auto"/>
              <w:left w:val="nil"/>
              <w:bottom w:val="nil"/>
              <w:right w:val="single" w:sz="4" w:space="0" w:color="auto"/>
            </w:tcBorders>
            <w:shd w:val="clear" w:color="auto" w:fill="FFFFFF"/>
          </w:tcPr>
          <w:p w14:paraId="42776B4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5" w:type="dxa"/>
            <w:gridSpan w:val="2"/>
            <w:tcBorders>
              <w:top w:val="single" w:sz="4" w:space="0" w:color="auto"/>
              <w:left w:val="nil"/>
              <w:bottom w:val="nil"/>
              <w:right w:val="single" w:sz="4" w:space="0" w:color="auto"/>
            </w:tcBorders>
            <w:shd w:val="clear" w:color="auto" w:fill="FFFFFF"/>
          </w:tcPr>
          <w:p w14:paraId="7A5AB8D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nil"/>
              <w:bottom w:val="nil"/>
              <w:right w:val="single" w:sz="4" w:space="0" w:color="auto"/>
            </w:tcBorders>
            <w:shd w:val="clear" w:color="auto" w:fill="FFFFFF"/>
          </w:tcPr>
          <w:p w14:paraId="0571DF3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nil"/>
              <w:bottom w:val="nil"/>
              <w:right w:val="single" w:sz="4" w:space="0" w:color="auto"/>
            </w:tcBorders>
            <w:shd w:val="clear" w:color="auto" w:fill="FFFFFF"/>
          </w:tcPr>
          <w:p w14:paraId="7C8DAD1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3"/>
            <w:tcBorders>
              <w:top w:val="single" w:sz="4" w:space="0" w:color="auto"/>
              <w:left w:val="nil"/>
              <w:bottom w:val="nil"/>
              <w:right w:val="single" w:sz="4" w:space="0" w:color="auto"/>
            </w:tcBorders>
            <w:shd w:val="clear" w:color="auto" w:fill="FFFFFF"/>
          </w:tcPr>
          <w:p w14:paraId="6235BF8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nil"/>
              <w:bottom w:val="nil"/>
              <w:right w:val="single" w:sz="4" w:space="0" w:color="auto"/>
            </w:tcBorders>
            <w:shd w:val="clear" w:color="auto" w:fill="FFFFFF"/>
          </w:tcPr>
          <w:p w14:paraId="4301107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3" w:type="dxa"/>
            <w:gridSpan w:val="2"/>
            <w:tcBorders>
              <w:top w:val="single" w:sz="4" w:space="0" w:color="auto"/>
              <w:left w:val="nil"/>
              <w:bottom w:val="nil"/>
              <w:right w:val="single" w:sz="4" w:space="0" w:color="auto"/>
            </w:tcBorders>
            <w:shd w:val="clear" w:color="auto" w:fill="FFFFFF"/>
          </w:tcPr>
          <w:p w14:paraId="1AE21D3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nil"/>
              <w:bottom w:val="nil"/>
              <w:right w:val="single" w:sz="4" w:space="0" w:color="auto"/>
            </w:tcBorders>
            <w:shd w:val="clear" w:color="auto" w:fill="FFFFFF"/>
          </w:tcPr>
          <w:p w14:paraId="6F88B63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74" w:type="dxa"/>
            <w:gridSpan w:val="4"/>
            <w:tcBorders>
              <w:top w:val="single" w:sz="4" w:space="0" w:color="auto"/>
              <w:left w:val="nil"/>
              <w:bottom w:val="nil"/>
              <w:right w:val="single" w:sz="4" w:space="0" w:color="auto"/>
            </w:tcBorders>
            <w:shd w:val="clear" w:color="auto" w:fill="FFFFFF"/>
          </w:tcPr>
          <w:p w14:paraId="6AC2CB3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2"/>
            <w:tcBorders>
              <w:top w:val="single" w:sz="4" w:space="0" w:color="auto"/>
              <w:left w:val="nil"/>
              <w:bottom w:val="nil"/>
              <w:right w:val="single" w:sz="4" w:space="0" w:color="auto"/>
            </w:tcBorders>
            <w:shd w:val="clear" w:color="auto" w:fill="FFFFFF"/>
          </w:tcPr>
          <w:p w14:paraId="4DFA22F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nil"/>
              <w:bottom w:val="nil"/>
              <w:right w:val="single" w:sz="4" w:space="0" w:color="auto"/>
            </w:tcBorders>
            <w:shd w:val="clear" w:color="auto" w:fill="FFFFFF"/>
          </w:tcPr>
          <w:p w14:paraId="101D3E5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2"/>
            <w:tcBorders>
              <w:top w:val="single" w:sz="4" w:space="0" w:color="auto"/>
              <w:left w:val="nil"/>
              <w:bottom w:val="nil"/>
              <w:right w:val="single" w:sz="4" w:space="0" w:color="auto"/>
            </w:tcBorders>
            <w:shd w:val="clear" w:color="auto" w:fill="FFFFFF"/>
          </w:tcPr>
          <w:p w14:paraId="4CED882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53" w:type="dxa"/>
            <w:gridSpan w:val="3"/>
            <w:tcBorders>
              <w:top w:val="single" w:sz="4" w:space="0" w:color="auto"/>
              <w:left w:val="nil"/>
              <w:bottom w:val="nil"/>
              <w:right w:val="single" w:sz="4" w:space="0" w:color="auto"/>
            </w:tcBorders>
            <w:shd w:val="clear" w:color="auto" w:fill="FFFFFF"/>
          </w:tcPr>
          <w:p w14:paraId="4F8D971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73" w:type="dxa"/>
            <w:gridSpan w:val="3"/>
            <w:tcBorders>
              <w:top w:val="single" w:sz="4" w:space="0" w:color="auto"/>
              <w:left w:val="nil"/>
              <w:bottom w:val="nil"/>
              <w:right w:val="single" w:sz="4" w:space="0" w:color="auto"/>
            </w:tcBorders>
            <w:shd w:val="clear" w:color="auto" w:fill="FFFFFF"/>
          </w:tcPr>
          <w:p w14:paraId="05E9188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nil"/>
              <w:bottom w:val="nil"/>
              <w:right w:val="single" w:sz="4" w:space="0" w:color="auto"/>
            </w:tcBorders>
            <w:shd w:val="clear" w:color="auto" w:fill="FFFFFF"/>
          </w:tcPr>
          <w:p w14:paraId="5A5FCDF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4"/>
            <w:tcBorders>
              <w:top w:val="single" w:sz="4" w:space="0" w:color="auto"/>
              <w:left w:val="nil"/>
              <w:bottom w:val="nil"/>
              <w:right w:val="single" w:sz="4" w:space="0" w:color="auto"/>
            </w:tcBorders>
            <w:shd w:val="clear" w:color="auto" w:fill="FFFFFF"/>
          </w:tcPr>
          <w:p w14:paraId="286D300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02" w:type="dxa"/>
            <w:gridSpan w:val="4"/>
            <w:tcBorders>
              <w:top w:val="single" w:sz="4" w:space="0" w:color="auto"/>
              <w:left w:val="nil"/>
              <w:bottom w:val="nil"/>
              <w:right w:val="single" w:sz="4" w:space="0" w:color="auto"/>
            </w:tcBorders>
            <w:shd w:val="clear" w:color="auto" w:fill="FFFFFF"/>
          </w:tcPr>
          <w:p w14:paraId="7FD9732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2"/>
            <w:tcBorders>
              <w:top w:val="single" w:sz="4" w:space="0" w:color="auto"/>
              <w:left w:val="nil"/>
              <w:bottom w:val="nil"/>
              <w:right w:val="single" w:sz="4" w:space="0" w:color="auto"/>
            </w:tcBorders>
            <w:shd w:val="clear" w:color="auto" w:fill="FFFFFF"/>
          </w:tcPr>
          <w:p w14:paraId="5424B3B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4"/>
            <w:tcBorders>
              <w:top w:val="single" w:sz="4" w:space="0" w:color="auto"/>
              <w:left w:val="nil"/>
              <w:bottom w:val="nil"/>
              <w:right w:val="single" w:sz="4" w:space="0" w:color="auto"/>
            </w:tcBorders>
            <w:shd w:val="clear" w:color="auto" w:fill="FFFFFF"/>
          </w:tcPr>
          <w:p w14:paraId="1F0EF44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0" w:type="dxa"/>
            <w:gridSpan w:val="3"/>
            <w:tcBorders>
              <w:top w:val="single" w:sz="4" w:space="0" w:color="auto"/>
              <w:left w:val="nil"/>
              <w:bottom w:val="nil"/>
              <w:right w:val="single" w:sz="4" w:space="0" w:color="auto"/>
            </w:tcBorders>
            <w:shd w:val="clear" w:color="auto" w:fill="FFFFFF"/>
          </w:tcPr>
          <w:p w14:paraId="1BBF2E1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2"/>
            <w:tcBorders>
              <w:top w:val="single" w:sz="4" w:space="0" w:color="auto"/>
              <w:left w:val="nil"/>
              <w:bottom w:val="nil"/>
              <w:right w:val="single" w:sz="4" w:space="0" w:color="auto"/>
            </w:tcBorders>
            <w:shd w:val="clear" w:color="auto" w:fill="FFFFFF"/>
          </w:tcPr>
          <w:p w14:paraId="1058662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7" w:type="dxa"/>
            <w:gridSpan w:val="3"/>
            <w:tcBorders>
              <w:top w:val="single" w:sz="4" w:space="0" w:color="auto"/>
              <w:left w:val="nil"/>
              <w:bottom w:val="nil"/>
              <w:right w:val="single" w:sz="4" w:space="0" w:color="auto"/>
            </w:tcBorders>
            <w:shd w:val="clear" w:color="auto" w:fill="FFFFFF"/>
          </w:tcPr>
          <w:p w14:paraId="2A539D5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tcBorders>
              <w:top w:val="single" w:sz="4" w:space="0" w:color="auto"/>
              <w:left w:val="nil"/>
              <w:bottom w:val="nil"/>
              <w:right w:val="single" w:sz="4" w:space="0" w:color="auto"/>
            </w:tcBorders>
            <w:shd w:val="clear" w:color="auto" w:fill="FFFFFF"/>
          </w:tcPr>
          <w:p w14:paraId="64C6FA4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nil"/>
              <w:bottom w:val="nil"/>
              <w:right w:val="single" w:sz="4" w:space="0" w:color="auto"/>
            </w:tcBorders>
            <w:shd w:val="clear" w:color="auto" w:fill="FFFFFF"/>
          </w:tcPr>
          <w:p w14:paraId="407C451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96" w:type="dxa"/>
            <w:gridSpan w:val="3"/>
            <w:tcBorders>
              <w:top w:val="single" w:sz="4" w:space="0" w:color="auto"/>
              <w:left w:val="nil"/>
              <w:bottom w:val="nil"/>
              <w:right w:val="single" w:sz="4" w:space="0" w:color="auto"/>
            </w:tcBorders>
            <w:shd w:val="clear" w:color="auto" w:fill="FFFFFF"/>
          </w:tcPr>
          <w:p w14:paraId="7A727DC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nil"/>
              <w:bottom w:val="nil"/>
              <w:right w:val="single" w:sz="4" w:space="0" w:color="auto"/>
            </w:tcBorders>
            <w:shd w:val="clear" w:color="auto" w:fill="FFFFFF"/>
          </w:tcPr>
          <w:p w14:paraId="154F5A7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8" w:type="dxa"/>
            <w:gridSpan w:val="2"/>
            <w:tcBorders>
              <w:top w:val="single" w:sz="4" w:space="0" w:color="auto"/>
              <w:left w:val="nil"/>
              <w:bottom w:val="nil"/>
              <w:right w:val="single" w:sz="4" w:space="0" w:color="auto"/>
            </w:tcBorders>
            <w:shd w:val="clear" w:color="auto" w:fill="FFFFFF"/>
          </w:tcPr>
          <w:p w14:paraId="204F2D2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06" w:type="dxa"/>
            <w:tcBorders>
              <w:top w:val="single" w:sz="4" w:space="0" w:color="auto"/>
              <w:left w:val="nil"/>
              <w:bottom w:val="nil"/>
              <w:right w:val="single" w:sz="4" w:space="0" w:color="auto"/>
            </w:tcBorders>
            <w:shd w:val="clear" w:color="auto" w:fill="FFFFFF"/>
          </w:tcPr>
          <w:p w14:paraId="1884E0E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4190F7D0" w14:textId="77777777">
        <w:tc>
          <w:tcPr>
            <w:tcW w:w="3131" w:type="dxa"/>
            <w:gridSpan w:val="4"/>
            <w:tcBorders>
              <w:top w:val="single" w:sz="4" w:space="0" w:color="auto"/>
              <w:left w:val="single" w:sz="4" w:space="0" w:color="auto"/>
              <w:bottom w:val="nil"/>
              <w:right w:val="nil"/>
            </w:tcBorders>
            <w:shd w:val="clear" w:color="auto" w:fill="B5B5B5"/>
            <w:tcMar>
              <w:top w:w="10" w:type="dxa"/>
              <w:left w:w="40" w:type="dxa"/>
              <w:bottom w:w="10" w:type="dxa"/>
              <w:right w:w="40" w:type="dxa"/>
            </w:tcMar>
            <w:vAlign w:val="bottom"/>
            <w:hideMark/>
          </w:tcPr>
          <w:p w14:paraId="2566994A" w14:textId="77777777" w:rsidR="00A54846" w:rsidRDefault="008A2731">
            <w:pPr>
              <w:widowControl w:val="0"/>
              <w:shd w:val="clear" w:color="auto" w:fill="auto"/>
              <w:spacing w:after="0" w:line="240" w:lineRule="auto"/>
              <w:jc w:val="left"/>
              <w:rPr>
                <w:rFonts w:ascii="Helvetica" w:eastAsia="Arial Unicode MS" w:hAnsi="Helvetica" w:cs="Helvetica"/>
                <w:b/>
                <w:color w:val="000000"/>
                <w:sz w:val="6"/>
                <w:szCs w:val="6"/>
              </w:rPr>
            </w:pPr>
            <w:r>
              <w:rPr>
                <w:rFonts w:ascii="Helvetica" w:hAnsi="Helvetica"/>
                <w:b/>
                <w:color w:val="000000"/>
                <w:sz w:val="6"/>
              </w:rPr>
              <w:t>Eksponeringer utenfor balansen – Foretak som er omfattet av opplysningsplikten i direktivet om ikke-finansiell rapportering</w:t>
            </w:r>
          </w:p>
        </w:tc>
        <w:tc>
          <w:tcPr>
            <w:tcW w:w="10921" w:type="dxa"/>
            <w:gridSpan w:val="83"/>
            <w:tcBorders>
              <w:top w:val="single" w:sz="4" w:space="0" w:color="auto"/>
              <w:left w:val="single" w:sz="4" w:space="0" w:color="auto"/>
              <w:bottom w:val="nil"/>
              <w:right w:val="single" w:sz="4" w:space="0" w:color="auto"/>
            </w:tcBorders>
            <w:shd w:val="clear" w:color="auto" w:fill="B5B5B5"/>
            <w:tcMar>
              <w:top w:w="10" w:type="dxa"/>
              <w:left w:w="40" w:type="dxa"/>
              <w:bottom w:w="10" w:type="dxa"/>
              <w:right w:w="40" w:type="dxa"/>
            </w:tcMar>
          </w:tcPr>
          <w:p w14:paraId="6C137589" w14:textId="77777777" w:rsidR="00A54846" w:rsidRPr="006A792F" w:rsidRDefault="00A54846">
            <w:pPr>
              <w:widowControl w:val="0"/>
              <w:shd w:val="clear" w:color="auto" w:fill="auto"/>
              <w:spacing w:after="0" w:line="240" w:lineRule="auto"/>
              <w:jc w:val="left"/>
              <w:rPr>
                <w:rFonts w:ascii="Helvetica" w:eastAsia="Arial Unicode MS" w:hAnsi="Helvetica" w:cs="Helvetica"/>
                <w:b/>
                <w:color w:val="000000"/>
                <w:sz w:val="6"/>
                <w:szCs w:val="6"/>
                <w:lang w:bidi="en-US"/>
              </w:rPr>
            </w:pPr>
          </w:p>
        </w:tc>
      </w:tr>
      <w:tr w:rsidR="00A54846" w14:paraId="38A9C73E"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17FC7E4"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55</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E247428" w14:textId="77777777"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Finansielle garantier</w:t>
            </w:r>
          </w:p>
        </w:tc>
        <w:tc>
          <w:tcPr>
            <w:tcW w:w="41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78905F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2"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EB689A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BCAC87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D797B6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3"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880407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5"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B36D10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0FED12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AAB123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FE7DA9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CB8EB3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3"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D25084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0BA8CF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74"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BDBF9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6C972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9EF274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6C1C70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2FD05E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FD9194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6ABC43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01"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6940CF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8C2FB8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B3978E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6DF716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50F886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F1233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0E11DF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746976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A2AC67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0BEB9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258DF9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686430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06" w:type="dxa"/>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67C62C9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32D1AA3D" w14:textId="77777777">
        <w:tc>
          <w:tcPr>
            <w:tcW w:w="75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44D714F"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56</w:t>
            </w:r>
          </w:p>
        </w:tc>
        <w:tc>
          <w:tcPr>
            <w:tcW w:w="19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0A00D119" w14:textId="77777777"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Eiendeler under forvaltning</w:t>
            </w:r>
          </w:p>
        </w:tc>
        <w:tc>
          <w:tcPr>
            <w:tcW w:w="41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C62670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2"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61835B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9D0843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F6D25A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3"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94AFC5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5"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CBF930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C789CA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A1EB17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8A492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224C50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3"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7A7FE1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2CC13B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74"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A1E5A3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9786D1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BFDD52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3E75C8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DD4E68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B9CBA3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9F81B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01"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03FAE0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1"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6053CD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1FC7B5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E15AEE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0E2862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41DB5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7"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288699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48205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0DC34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9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3098FE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0E2566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8"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18895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06" w:type="dxa"/>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565916E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2A0BA7CF" w14:textId="77777777">
        <w:tc>
          <w:tcPr>
            <w:tcW w:w="756"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vAlign w:val="bottom"/>
            <w:hideMark/>
          </w:tcPr>
          <w:p w14:paraId="307CB0B7"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57</w:t>
            </w:r>
          </w:p>
        </w:tc>
        <w:tc>
          <w:tcPr>
            <w:tcW w:w="1957"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vAlign w:val="bottom"/>
            <w:hideMark/>
          </w:tcPr>
          <w:p w14:paraId="3A942C0E" w14:textId="77777777" w:rsidR="00A54846" w:rsidRDefault="008A2731">
            <w:pPr>
              <w:widowControl w:val="0"/>
              <w:shd w:val="clear" w:color="auto" w:fill="auto"/>
              <w:spacing w:after="0" w:line="240" w:lineRule="auto"/>
              <w:jc w:val="right"/>
              <w:rPr>
                <w:rFonts w:ascii="Helvetica" w:eastAsia="Arial Unicode MS" w:hAnsi="Helvetica" w:cs="Helvetica"/>
                <w:color w:val="000000"/>
                <w:sz w:val="6"/>
                <w:szCs w:val="6"/>
              </w:rPr>
            </w:pPr>
            <w:r>
              <w:rPr>
                <w:rFonts w:ascii="Helvetica" w:hAnsi="Helvetica"/>
                <w:color w:val="000000"/>
                <w:sz w:val="6"/>
              </w:rPr>
              <w:t>hvorav gjeldsinstrumenter</w:t>
            </w:r>
          </w:p>
        </w:tc>
        <w:tc>
          <w:tcPr>
            <w:tcW w:w="418"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616AEB2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2"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5DCD123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F416F6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C5C641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3"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6F78A8B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5"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02EE211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047865A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9E123B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6D23349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AA4E2F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3"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2A369F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224A23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74" w:type="dxa"/>
            <w:gridSpan w:val="4"/>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026FD30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6FF6C1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5FE373B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33DA585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4"/>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5A7CECC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05949E4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3189F48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01" w:type="dxa"/>
            <w:gridSpan w:val="5"/>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476788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1"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FFA56D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61E3403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662449D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931833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B84959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7"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486BF1A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021D8F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5D8EA63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96"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448BAEA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3DB7FD42"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8"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567B967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06" w:type="dxa"/>
            <w:tcBorders>
              <w:top w:val="single" w:sz="4" w:space="0" w:color="auto"/>
              <w:left w:val="single" w:sz="4" w:space="0" w:color="auto"/>
              <w:bottom w:val="single" w:sz="4" w:space="0" w:color="auto"/>
              <w:right w:val="single" w:sz="4" w:space="0" w:color="auto"/>
            </w:tcBorders>
            <w:shd w:val="clear" w:color="auto" w:fill="FFFFFF"/>
            <w:tcMar>
              <w:top w:w="10" w:type="dxa"/>
              <w:left w:w="40" w:type="dxa"/>
              <w:bottom w:w="10" w:type="dxa"/>
              <w:right w:w="40" w:type="dxa"/>
            </w:tcMar>
          </w:tcPr>
          <w:p w14:paraId="5E48CDC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r w:rsidR="00A54846" w14:paraId="043078FD" w14:textId="77777777">
        <w:tc>
          <w:tcPr>
            <w:tcW w:w="756"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vAlign w:val="bottom"/>
            <w:hideMark/>
          </w:tcPr>
          <w:p w14:paraId="1C31797B" w14:textId="77777777" w:rsidR="00A54846" w:rsidRDefault="008A2731">
            <w:pPr>
              <w:widowControl w:val="0"/>
              <w:shd w:val="clear" w:color="auto" w:fill="auto"/>
              <w:spacing w:after="0" w:line="240" w:lineRule="auto"/>
              <w:jc w:val="center"/>
              <w:rPr>
                <w:rFonts w:ascii="Helvetica" w:eastAsia="Arial Unicode MS" w:hAnsi="Helvetica" w:cs="Helvetica"/>
                <w:color w:val="000000"/>
                <w:sz w:val="6"/>
                <w:szCs w:val="6"/>
              </w:rPr>
            </w:pPr>
            <w:r>
              <w:rPr>
                <w:rFonts w:ascii="Helvetica" w:hAnsi="Helvetica"/>
                <w:color w:val="000000"/>
                <w:sz w:val="6"/>
              </w:rPr>
              <w:t>58</w:t>
            </w:r>
          </w:p>
        </w:tc>
        <w:tc>
          <w:tcPr>
            <w:tcW w:w="1957"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vAlign w:val="bottom"/>
            <w:hideMark/>
          </w:tcPr>
          <w:p w14:paraId="310E2FE3" w14:textId="77777777" w:rsidR="00A54846" w:rsidRDefault="008A2731">
            <w:pPr>
              <w:widowControl w:val="0"/>
              <w:shd w:val="clear" w:color="auto" w:fill="auto"/>
              <w:spacing w:after="0" w:line="240" w:lineRule="auto"/>
              <w:jc w:val="right"/>
              <w:rPr>
                <w:rFonts w:ascii="Helvetica" w:eastAsia="Arial Unicode MS" w:hAnsi="Helvetica" w:cs="Helvetica"/>
                <w:color w:val="000000"/>
                <w:sz w:val="6"/>
                <w:szCs w:val="6"/>
              </w:rPr>
            </w:pPr>
            <w:r>
              <w:rPr>
                <w:rFonts w:ascii="Helvetica" w:hAnsi="Helvetica"/>
                <w:color w:val="000000"/>
                <w:sz w:val="6"/>
              </w:rPr>
              <w:t>hvorav egenkapitalinstrumenter</w:t>
            </w:r>
          </w:p>
        </w:tc>
        <w:tc>
          <w:tcPr>
            <w:tcW w:w="418"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084FE6E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2"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C5980F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0B61A5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351C561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3"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B1F80D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85"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29E220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4"/>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78B43C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80"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4B4D53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0"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4865166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6918F1FD"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3"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D0853D1"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7"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4384821F"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74" w:type="dxa"/>
            <w:gridSpan w:val="4"/>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4D80A93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5"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5BE8878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7"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02A46379"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29"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788BE1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60" w:type="dxa"/>
            <w:gridSpan w:val="4"/>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53F288B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66"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A7318E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7" w:type="dxa"/>
            <w:gridSpan w:val="4"/>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4C8F935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01" w:type="dxa"/>
            <w:gridSpan w:val="5"/>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3B142B46"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91"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0FCCFEE4"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465B17D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59"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FAF6B7A"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8" w:type="dxa"/>
            <w:gridSpan w:val="4"/>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7BAFA43"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17"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5B1FDF77"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87"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0CCAD4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31"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720367C"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240"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9D72E28"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96" w:type="dxa"/>
            <w:gridSpan w:val="3"/>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3F1278CB"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78" w:type="dxa"/>
            <w:gridSpan w:val="5"/>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42B0C96E"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428"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32C57F5"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c>
          <w:tcPr>
            <w:tcW w:w="306" w:type="dxa"/>
            <w:tcBorders>
              <w:top w:val="single" w:sz="4" w:space="0" w:color="auto"/>
              <w:left w:val="single" w:sz="4" w:space="0" w:color="auto"/>
              <w:bottom w:val="single" w:sz="4" w:space="0" w:color="auto"/>
              <w:right w:val="single" w:sz="4" w:space="0" w:color="auto"/>
            </w:tcBorders>
            <w:shd w:val="clear" w:color="auto" w:fill="FFFFFF"/>
            <w:tcMar>
              <w:top w:w="10" w:type="dxa"/>
              <w:left w:w="40" w:type="dxa"/>
              <w:bottom w:w="10" w:type="dxa"/>
              <w:right w:w="40" w:type="dxa"/>
            </w:tcMar>
          </w:tcPr>
          <w:p w14:paraId="27370110" w14:textId="77777777" w:rsidR="00A54846" w:rsidRDefault="00A54846">
            <w:pPr>
              <w:widowControl w:val="0"/>
              <w:shd w:val="clear" w:color="auto" w:fill="auto"/>
              <w:spacing w:after="0" w:line="240" w:lineRule="auto"/>
              <w:jc w:val="left"/>
              <w:rPr>
                <w:rFonts w:ascii="Helvetica" w:eastAsia="Arial Unicode MS" w:hAnsi="Helvetica" w:cs="Helvetica"/>
                <w:color w:val="000000"/>
                <w:sz w:val="6"/>
                <w:szCs w:val="6"/>
                <w:lang w:val="en-US" w:bidi="en-US"/>
              </w:rPr>
            </w:pPr>
          </w:p>
        </w:tc>
      </w:tr>
    </w:tbl>
    <w:p w14:paraId="529E41E6" w14:textId="77777777" w:rsidR="00A54846" w:rsidRDefault="00A54846">
      <w:pPr>
        <w:pStyle w:val="Para"/>
        <w:spacing w:after="0" w:line="240" w:lineRule="auto"/>
        <w:rPr>
          <w:sz w:val="14"/>
        </w:rPr>
      </w:pPr>
    </w:p>
    <w:tbl>
      <w:tblPr>
        <w:tblOverlap w:val="never"/>
        <w:tblW w:w="0" w:type="auto"/>
        <w:tblInd w:w="316" w:type="dxa"/>
        <w:tblLayout w:type="fixed"/>
        <w:tblCellMar>
          <w:left w:w="10" w:type="dxa"/>
          <w:right w:w="10" w:type="dxa"/>
        </w:tblCellMar>
        <w:tblLook w:val="04A0" w:firstRow="1" w:lastRow="0" w:firstColumn="1" w:lastColumn="0" w:noHBand="0" w:noVBand="1"/>
      </w:tblPr>
      <w:tblGrid>
        <w:gridCol w:w="3324"/>
      </w:tblGrid>
      <w:tr w:rsidR="00A54846" w14:paraId="3007BB09" w14:textId="77777777">
        <w:tc>
          <w:tcPr>
            <w:tcW w:w="3324" w:type="dxa"/>
            <w:tcBorders>
              <w:left w:val="nil"/>
              <w:bottom w:val="nil"/>
              <w:right w:val="nil"/>
            </w:tcBorders>
            <w:shd w:val="clear" w:color="auto" w:fill="FFFFFF"/>
            <w:tcMar>
              <w:top w:w="10" w:type="dxa"/>
              <w:left w:w="40" w:type="dxa"/>
              <w:bottom w:w="10" w:type="dxa"/>
              <w:right w:w="40" w:type="dxa"/>
            </w:tcMar>
            <w:hideMark/>
          </w:tcPr>
          <w:p w14:paraId="1C52F30B" w14:textId="77777777" w:rsidR="00A54846" w:rsidRDefault="008A2731">
            <w:pPr>
              <w:widowControl w:val="0"/>
              <w:shd w:val="clear" w:color="auto" w:fill="auto"/>
              <w:spacing w:before="60" w:after="60" w:line="240" w:lineRule="auto"/>
              <w:jc w:val="left"/>
              <w:rPr>
                <w:rFonts w:ascii="Helvetica" w:eastAsia="Arial Unicode MS" w:hAnsi="Helvetica" w:cs="Helvetica"/>
                <w:color w:val="000000"/>
                <w:sz w:val="6"/>
                <w:szCs w:val="6"/>
              </w:rPr>
            </w:pPr>
            <w:r>
              <w:rPr>
                <w:rFonts w:ascii="Helvetica" w:hAnsi="Helvetica"/>
                <w:color w:val="000000"/>
                <w:sz w:val="6"/>
              </w:rPr>
              <w:t>1. Denne malen skal fylles ut med opplysninger om lån og forskudd, gjeldsinstrumenter og egenkapitalinstrumenter i bankporteføljen, mot finansforetak, ikke-finansielle foretak, herunder SMB-er, husholdninger (kun boliglån, lån til renovering av hus og billån) og lokale myndigheter/kommuner (boligfinansiering).</w:t>
            </w:r>
          </w:p>
          <w:p w14:paraId="3542A259" w14:textId="77777777" w:rsidR="00A54846" w:rsidRDefault="008A2731">
            <w:pPr>
              <w:widowControl w:val="0"/>
              <w:shd w:val="clear" w:color="auto" w:fill="auto"/>
              <w:spacing w:after="60" w:line="240" w:lineRule="auto"/>
              <w:jc w:val="left"/>
              <w:rPr>
                <w:rFonts w:ascii="Helvetica" w:eastAsia="Arial Unicode MS" w:hAnsi="Helvetica" w:cs="Helvetica"/>
                <w:color w:val="000000"/>
                <w:sz w:val="6"/>
                <w:szCs w:val="6"/>
              </w:rPr>
            </w:pPr>
            <w:r>
              <w:rPr>
                <w:rFonts w:ascii="Helvetica" w:hAnsi="Helvetica"/>
                <w:color w:val="000000"/>
                <w:sz w:val="6"/>
              </w:rPr>
              <w:t>2. Følgende regnskapskategorier skal tas med når det gjelder finansielle eiendeler: Finansielle eiendeler til amortisert kost, finansielle eiendeler til virkelig verdi gjennom andre inntekter og kostnader, investeringer i datterforetak, felleskontrollerte foretak og tilknyttede foretak, finansielle eiendeler vurdert til virkelig verdi over resultatet samt finansielle eiendeler utenfor handelsporteføljen, obligatorisk vurdert til virkelig verdi over resultatet og sikkerhet i fast eiendom som kredittinstitusjoner har fått gjennom overtakelse av eiendomsretten mot ettergivelse av gjeld.</w:t>
            </w:r>
          </w:p>
          <w:p w14:paraId="585AF065" w14:textId="77777777" w:rsidR="00A54846" w:rsidRDefault="008A2731">
            <w:pPr>
              <w:widowControl w:val="0"/>
              <w:shd w:val="clear" w:color="auto" w:fill="auto"/>
              <w:spacing w:after="60" w:line="240" w:lineRule="auto"/>
              <w:jc w:val="left"/>
              <w:rPr>
                <w:rFonts w:ascii="Helvetica" w:eastAsia="Arial Unicode MS" w:hAnsi="Helvetica" w:cs="Helvetica"/>
                <w:color w:val="000000"/>
                <w:sz w:val="6"/>
                <w:szCs w:val="6"/>
              </w:rPr>
            </w:pPr>
            <w:r>
              <w:rPr>
                <w:rFonts w:ascii="Helvetica" w:hAnsi="Helvetica"/>
                <w:color w:val="000000"/>
                <w:sz w:val="6"/>
              </w:rPr>
              <w:t>3. Banker med datterforetak utenfor EU bør legge fram disse opplysningene separat for eksponeringer mot motparter utenfor EU. Fordi EU-taksonomien og direktivet om ikke-finansiell rapportering bare gjelder på EU-plan, skaper mangelen på felles opplysningskrav og metoder flere utfordringer når det gjelder eksponeringer utenfor EU som følge av disse eksponeringenes betydning for kredittinstitusjoner med datterforetak utenfor EU. Disse institusjonene bør legge fram en egen GAR for eksponeringer utenfor EU, etter beste evne, i form av estimater og intervaller der det brukes tilnærmingsverdier, og beskrive forutsetninger, forbehold og begrensninger</w:t>
            </w:r>
          </w:p>
          <w:p w14:paraId="33C53825" w14:textId="77777777" w:rsidR="00A54846" w:rsidRDefault="008A2731">
            <w:pPr>
              <w:widowControl w:val="0"/>
              <w:shd w:val="clear" w:color="auto" w:fill="auto"/>
              <w:spacing w:after="0" w:line="240" w:lineRule="auto"/>
              <w:jc w:val="left"/>
              <w:rPr>
                <w:rFonts w:ascii="Helvetica" w:eastAsia="Arial Unicode MS" w:hAnsi="Helvetica" w:cs="Helvetica"/>
                <w:color w:val="000000"/>
                <w:sz w:val="6"/>
                <w:szCs w:val="6"/>
              </w:rPr>
            </w:pPr>
            <w:r>
              <w:rPr>
                <w:rFonts w:ascii="Helvetica" w:hAnsi="Helvetica"/>
                <w:color w:val="000000"/>
                <w:sz w:val="6"/>
              </w:rPr>
              <w:t>4. For billån skal institusjonene bare ta med eksponeringer som er oppstått etter anvendelsesdatoen for opplysningskravet</w:t>
            </w:r>
          </w:p>
        </w:tc>
      </w:tr>
    </w:tbl>
    <w:p w14:paraId="339F08B5" w14:textId="77777777" w:rsidR="00A54846" w:rsidRDefault="008A2731">
      <w:pPr>
        <w:pStyle w:val="Para"/>
        <w:spacing w:line="240" w:lineRule="auto"/>
        <w:jc w:val="left"/>
      </w:pPr>
      <w:r>
        <w:br w:type="page"/>
      </w:r>
    </w:p>
    <w:p w14:paraId="771DE9AF" w14:textId="77777777" w:rsidR="00A54846" w:rsidRDefault="008A2731">
      <w:pPr>
        <w:pStyle w:val="AnnexNumberedText"/>
        <w:ind w:left="279" w:hanging="279"/>
      </w:pPr>
      <w:r>
        <w:lastRenderedPageBreak/>
        <w:t>2.</w:t>
      </w:r>
      <w:r>
        <w:rPr>
          <w:b/>
        </w:rPr>
        <w:tab/>
        <w:t>GAR – sektoropplysninger</w:t>
      </w:r>
    </w:p>
    <w:tbl>
      <w:tblPr>
        <w:tblOverlap w:val="never"/>
        <w:tblW w:w="14028" w:type="dxa"/>
        <w:tblInd w:w="328" w:type="dxa"/>
        <w:tblLayout w:type="fixed"/>
        <w:tblCellMar>
          <w:left w:w="10" w:type="dxa"/>
          <w:right w:w="10" w:type="dxa"/>
        </w:tblCellMar>
        <w:tblLook w:val="04A0" w:firstRow="1" w:lastRow="0" w:firstColumn="1" w:lastColumn="0" w:noHBand="0" w:noVBand="1"/>
      </w:tblPr>
      <w:tblGrid>
        <w:gridCol w:w="586"/>
        <w:gridCol w:w="2401"/>
        <w:gridCol w:w="920"/>
        <w:gridCol w:w="921"/>
        <w:gridCol w:w="921"/>
        <w:gridCol w:w="921"/>
        <w:gridCol w:w="9"/>
        <w:gridCol w:w="912"/>
        <w:gridCol w:w="912"/>
        <w:gridCol w:w="10"/>
        <w:gridCol w:w="921"/>
        <w:gridCol w:w="921"/>
        <w:gridCol w:w="8"/>
        <w:gridCol w:w="912"/>
        <w:gridCol w:w="6"/>
        <w:gridCol w:w="919"/>
        <w:gridCol w:w="921"/>
        <w:gridCol w:w="907"/>
      </w:tblGrid>
      <w:tr w:rsidR="00A54846" w14:paraId="0819FF77" w14:textId="77777777">
        <w:tc>
          <w:tcPr>
            <w:tcW w:w="586" w:type="dxa"/>
            <w:vMerge w:val="restart"/>
            <w:shd w:val="clear" w:color="auto" w:fill="FFFFFF"/>
            <w:tcMar>
              <w:top w:w="20" w:type="dxa"/>
              <w:left w:w="40" w:type="dxa"/>
              <w:bottom w:w="20" w:type="dxa"/>
              <w:right w:w="40" w:type="dxa"/>
            </w:tcMar>
          </w:tcPr>
          <w:p w14:paraId="519AC7EC"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240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39F4918F"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a</w:t>
            </w:r>
          </w:p>
        </w:tc>
        <w:tc>
          <w:tcPr>
            <w:tcW w:w="920"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7680F935"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b</w:t>
            </w:r>
          </w:p>
        </w:tc>
        <w:tc>
          <w:tcPr>
            <w:tcW w:w="921" w:type="dxa"/>
            <w:tcBorders>
              <w:top w:val="single" w:sz="4" w:space="0" w:color="auto"/>
              <w:left w:val="single" w:sz="4" w:space="0" w:color="auto"/>
              <w:bottom w:val="nil"/>
              <w:right w:val="nil"/>
            </w:tcBorders>
            <w:shd w:val="clear" w:color="auto" w:fill="FFFFFF"/>
            <w:vAlign w:val="center"/>
            <w:hideMark/>
          </w:tcPr>
          <w:p w14:paraId="4CE5536D"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c</w:t>
            </w:r>
          </w:p>
        </w:tc>
        <w:tc>
          <w:tcPr>
            <w:tcW w:w="921" w:type="dxa"/>
            <w:tcBorders>
              <w:top w:val="single" w:sz="4" w:space="0" w:color="auto"/>
              <w:left w:val="single" w:sz="4" w:space="0" w:color="auto"/>
              <w:bottom w:val="nil"/>
              <w:right w:val="nil"/>
            </w:tcBorders>
            <w:shd w:val="clear" w:color="auto" w:fill="FFFFFF"/>
            <w:vAlign w:val="center"/>
            <w:hideMark/>
          </w:tcPr>
          <w:p w14:paraId="14BE491A"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e</w:t>
            </w:r>
          </w:p>
        </w:tc>
        <w:tc>
          <w:tcPr>
            <w:tcW w:w="921" w:type="dxa"/>
            <w:tcBorders>
              <w:top w:val="single" w:sz="4" w:space="0" w:color="auto"/>
              <w:left w:val="single" w:sz="4" w:space="0" w:color="auto"/>
              <w:bottom w:val="nil"/>
              <w:right w:val="nil"/>
            </w:tcBorders>
            <w:shd w:val="clear" w:color="auto" w:fill="FFFFFF"/>
            <w:vAlign w:val="center"/>
            <w:hideMark/>
          </w:tcPr>
          <w:p w14:paraId="63072F61"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f</w:t>
            </w:r>
          </w:p>
        </w:tc>
        <w:tc>
          <w:tcPr>
            <w:tcW w:w="921"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25B17A46"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h</w:t>
            </w:r>
          </w:p>
        </w:tc>
        <w:tc>
          <w:tcPr>
            <w:tcW w:w="922" w:type="dxa"/>
            <w:gridSpan w:val="2"/>
            <w:tcBorders>
              <w:top w:val="single" w:sz="4" w:space="0" w:color="auto"/>
              <w:left w:val="single" w:sz="4" w:space="0" w:color="auto"/>
              <w:bottom w:val="nil"/>
              <w:right w:val="nil"/>
            </w:tcBorders>
            <w:shd w:val="clear" w:color="auto" w:fill="FFFFFF"/>
            <w:vAlign w:val="center"/>
            <w:hideMark/>
          </w:tcPr>
          <w:p w14:paraId="24ACA7B2"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i</w:t>
            </w:r>
          </w:p>
        </w:tc>
        <w:tc>
          <w:tcPr>
            <w:tcW w:w="92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0EAA3075"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k</w:t>
            </w:r>
          </w:p>
        </w:tc>
        <w:tc>
          <w:tcPr>
            <w:tcW w:w="921" w:type="dxa"/>
            <w:tcBorders>
              <w:top w:val="single" w:sz="4" w:space="0" w:color="auto"/>
              <w:left w:val="single" w:sz="4" w:space="0" w:color="auto"/>
              <w:bottom w:val="nil"/>
              <w:right w:val="nil"/>
            </w:tcBorders>
            <w:shd w:val="clear" w:color="auto" w:fill="FFFFFF"/>
            <w:vAlign w:val="center"/>
            <w:hideMark/>
          </w:tcPr>
          <w:p w14:paraId="3211B559"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l</w:t>
            </w:r>
          </w:p>
        </w:tc>
        <w:tc>
          <w:tcPr>
            <w:tcW w:w="920"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6C66DDB0"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n</w:t>
            </w:r>
          </w:p>
        </w:tc>
        <w:tc>
          <w:tcPr>
            <w:tcW w:w="925" w:type="dxa"/>
            <w:gridSpan w:val="2"/>
            <w:tcBorders>
              <w:top w:val="single" w:sz="4" w:space="0" w:color="auto"/>
              <w:left w:val="single" w:sz="4" w:space="0" w:color="auto"/>
              <w:bottom w:val="nil"/>
              <w:right w:val="nil"/>
            </w:tcBorders>
            <w:shd w:val="clear" w:color="auto" w:fill="FFFFFF"/>
            <w:vAlign w:val="center"/>
            <w:hideMark/>
          </w:tcPr>
          <w:p w14:paraId="41539848"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o</w:t>
            </w:r>
          </w:p>
        </w:tc>
        <w:tc>
          <w:tcPr>
            <w:tcW w:w="921" w:type="dxa"/>
            <w:tcBorders>
              <w:top w:val="single" w:sz="4" w:space="0" w:color="auto"/>
              <w:left w:val="single" w:sz="4" w:space="0" w:color="auto"/>
              <w:bottom w:val="nil"/>
              <w:right w:val="nil"/>
            </w:tcBorders>
            <w:shd w:val="clear" w:color="auto" w:fill="FFFFFF"/>
            <w:vAlign w:val="center"/>
            <w:hideMark/>
          </w:tcPr>
          <w:p w14:paraId="3F05D900"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q</w:t>
            </w:r>
          </w:p>
        </w:tc>
        <w:tc>
          <w:tcPr>
            <w:tcW w:w="907" w:type="dxa"/>
            <w:tcBorders>
              <w:top w:val="single" w:sz="4" w:space="0" w:color="auto"/>
              <w:left w:val="single" w:sz="4" w:space="0" w:color="auto"/>
              <w:bottom w:val="nil"/>
              <w:right w:val="nil"/>
            </w:tcBorders>
            <w:shd w:val="clear" w:color="auto" w:fill="FFFFFF"/>
            <w:vAlign w:val="center"/>
            <w:hideMark/>
          </w:tcPr>
          <w:p w14:paraId="5E629C7B" w14:textId="2A6F9CF1" w:rsidR="00A54846" w:rsidRDefault="005B4732">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R</w:t>
            </w:r>
          </w:p>
        </w:tc>
      </w:tr>
      <w:tr w:rsidR="00A54846" w14:paraId="107F3FC2" w14:textId="77777777">
        <w:tc>
          <w:tcPr>
            <w:tcW w:w="586" w:type="dxa"/>
            <w:vMerge/>
            <w:vAlign w:val="center"/>
            <w:hideMark/>
          </w:tcPr>
          <w:p w14:paraId="686A3778"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c>
          <w:tcPr>
            <w:tcW w:w="2401" w:type="dxa"/>
            <w:vMerge w:val="restart"/>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4DDEDC1F"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Spesifisering etter sektor – firesifret nivå i NACE-klassifiseringen (kode og betegnelse)</w:t>
            </w:r>
          </w:p>
        </w:tc>
        <w:tc>
          <w:tcPr>
            <w:tcW w:w="3683" w:type="dxa"/>
            <w:gridSpan w:val="4"/>
            <w:tcBorders>
              <w:top w:val="single" w:sz="4" w:space="0" w:color="auto"/>
              <w:left w:val="single" w:sz="4" w:space="0" w:color="auto"/>
              <w:bottom w:val="nil"/>
              <w:right w:val="nil"/>
            </w:tcBorders>
            <w:shd w:val="clear" w:color="auto" w:fill="B5B5B5"/>
            <w:tcMar>
              <w:top w:w="20" w:type="dxa"/>
              <w:left w:w="40" w:type="dxa"/>
              <w:bottom w:w="20" w:type="dxa"/>
              <w:right w:w="40" w:type="dxa"/>
            </w:tcMar>
            <w:vAlign w:val="center"/>
            <w:hideMark/>
          </w:tcPr>
          <w:p w14:paraId="79AF6FD1" w14:textId="77777777" w:rsidR="00A54846" w:rsidRDefault="008A2731">
            <w:pPr>
              <w:widowControl w:val="0"/>
              <w:shd w:val="clear" w:color="auto" w:fill="auto"/>
              <w:spacing w:after="0" w:line="200" w:lineRule="exact"/>
              <w:jc w:val="center"/>
              <w:rPr>
                <w:rFonts w:ascii="Arial Unicode MS" w:eastAsia="Arial Unicode MS" w:hAnsi="Arial Unicode MS" w:cs="Arial Unicode MS"/>
                <w:b/>
                <w:color w:val="000000"/>
                <w:sz w:val="12"/>
                <w:szCs w:val="12"/>
              </w:rPr>
            </w:pPr>
            <w:r>
              <w:rPr>
                <w:rFonts w:ascii="Arial Unicode MS" w:hAnsi="Arial Unicode MS"/>
                <w:b/>
                <w:color w:val="000000"/>
                <w:sz w:val="12"/>
              </w:rPr>
              <w:t>Begrensning av klimaendringer</w:t>
            </w:r>
          </w:p>
        </w:tc>
        <w:tc>
          <w:tcPr>
            <w:tcW w:w="3685" w:type="dxa"/>
            <w:gridSpan w:val="6"/>
            <w:tcBorders>
              <w:top w:val="single" w:sz="4" w:space="0" w:color="auto"/>
              <w:left w:val="single" w:sz="4" w:space="0" w:color="auto"/>
              <w:bottom w:val="nil"/>
              <w:right w:val="nil"/>
            </w:tcBorders>
            <w:shd w:val="clear" w:color="auto" w:fill="B5B5B5"/>
            <w:tcMar>
              <w:top w:w="20" w:type="dxa"/>
              <w:left w:w="40" w:type="dxa"/>
              <w:bottom w:w="20" w:type="dxa"/>
              <w:right w:w="40" w:type="dxa"/>
            </w:tcMar>
            <w:vAlign w:val="center"/>
            <w:hideMark/>
          </w:tcPr>
          <w:p w14:paraId="5A61ADF8" w14:textId="77777777" w:rsidR="00A54846" w:rsidRDefault="008A2731">
            <w:pPr>
              <w:widowControl w:val="0"/>
              <w:shd w:val="clear" w:color="auto" w:fill="auto"/>
              <w:spacing w:after="0" w:line="200" w:lineRule="exact"/>
              <w:jc w:val="left"/>
              <w:rPr>
                <w:rFonts w:ascii="Arial Unicode MS" w:eastAsia="Arial Unicode MS" w:hAnsi="Arial Unicode MS" w:cs="Arial Unicode MS"/>
                <w:b/>
                <w:color w:val="000000"/>
                <w:sz w:val="12"/>
                <w:szCs w:val="12"/>
              </w:rPr>
            </w:pPr>
            <w:r>
              <w:rPr>
                <w:rFonts w:ascii="Arial Unicode MS" w:hAnsi="Arial Unicode MS"/>
                <w:b/>
                <w:color w:val="000000"/>
                <w:sz w:val="12"/>
              </w:rPr>
              <w:t>Tilpasning til klimaendringer</w:t>
            </w:r>
          </w:p>
        </w:tc>
        <w:tc>
          <w:tcPr>
            <w:tcW w:w="3673" w:type="dxa"/>
            <w:gridSpan w:val="6"/>
            <w:tcBorders>
              <w:top w:val="single" w:sz="4" w:space="0" w:color="auto"/>
              <w:left w:val="single" w:sz="4" w:space="0" w:color="auto"/>
              <w:bottom w:val="nil"/>
              <w:right w:val="nil"/>
            </w:tcBorders>
            <w:shd w:val="clear" w:color="auto" w:fill="B5B5B5"/>
            <w:tcMar>
              <w:top w:w="20" w:type="dxa"/>
              <w:left w:w="40" w:type="dxa"/>
              <w:bottom w:w="20" w:type="dxa"/>
              <w:right w:w="40" w:type="dxa"/>
            </w:tcMar>
            <w:vAlign w:val="center"/>
            <w:hideMark/>
          </w:tcPr>
          <w:p w14:paraId="705BE579" w14:textId="77777777" w:rsidR="00A54846" w:rsidRDefault="008A2731">
            <w:pPr>
              <w:widowControl w:val="0"/>
              <w:shd w:val="clear" w:color="auto" w:fill="auto"/>
              <w:spacing w:after="0" w:line="200" w:lineRule="exact"/>
              <w:jc w:val="center"/>
              <w:rPr>
                <w:rFonts w:ascii="Arial Unicode MS" w:eastAsia="Arial Unicode MS" w:hAnsi="Arial Unicode MS" w:cs="Arial Unicode MS"/>
                <w:b/>
                <w:color w:val="000000"/>
                <w:sz w:val="12"/>
                <w:szCs w:val="12"/>
              </w:rPr>
            </w:pPr>
            <w:r>
              <w:rPr>
                <w:rFonts w:ascii="Arial Unicode MS" w:hAnsi="Arial Unicode MS"/>
                <w:b/>
                <w:color w:val="000000"/>
                <w:sz w:val="12"/>
              </w:rPr>
              <w:t>SUM (begrensning + tilpasning)</w:t>
            </w:r>
          </w:p>
        </w:tc>
      </w:tr>
      <w:tr w:rsidR="00A54846" w14:paraId="1A433914" w14:textId="77777777">
        <w:tc>
          <w:tcPr>
            <w:tcW w:w="586" w:type="dxa"/>
            <w:vMerge/>
            <w:vAlign w:val="center"/>
            <w:hideMark/>
          </w:tcPr>
          <w:p w14:paraId="7CBD9F0F"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c>
          <w:tcPr>
            <w:tcW w:w="2401" w:type="dxa"/>
            <w:vMerge/>
            <w:tcBorders>
              <w:top w:val="single" w:sz="4" w:space="0" w:color="auto"/>
              <w:left w:val="single" w:sz="4" w:space="0" w:color="auto"/>
              <w:bottom w:val="nil"/>
              <w:right w:val="nil"/>
            </w:tcBorders>
            <w:vAlign w:val="center"/>
            <w:hideMark/>
          </w:tcPr>
          <w:p w14:paraId="118BFB63"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c>
          <w:tcPr>
            <w:tcW w:w="1841"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4237BF09"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Ikke-finansielle foretak (omfattet av direktivet om ikke-finansiell rapportering)</w:t>
            </w:r>
          </w:p>
        </w:tc>
        <w:tc>
          <w:tcPr>
            <w:tcW w:w="1842"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6FA88D57"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SMB-er og andre ikke-finansielle foretak som ikke er omfattet av direktivet om ikke-finansiell rapportering</w:t>
            </w:r>
          </w:p>
        </w:tc>
        <w:tc>
          <w:tcPr>
            <w:tcW w:w="1843" w:type="dxa"/>
            <w:gridSpan w:val="4"/>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304330FA"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Ikke-finansielle foretak (omfattet av direktivet om ikke-finansiell rapportering)</w:t>
            </w:r>
          </w:p>
        </w:tc>
        <w:tc>
          <w:tcPr>
            <w:tcW w:w="1842"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1CBAAFBA"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SMB-er og andre ikke-finansielle foretak som ikke er omfattet av direktivet om ikke-finansiell rapportering</w:t>
            </w:r>
          </w:p>
        </w:tc>
        <w:tc>
          <w:tcPr>
            <w:tcW w:w="1845" w:type="dxa"/>
            <w:gridSpan w:val="4"/>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40F4424B"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Ikke-finansielle foretak (omfattet av direktivet om ikke-finansiell rapportering)</w:t>
            </w:r>
          </w:p>
        </w:tc>
        <w:tc>
          <w:tcPr>
            <w:tcW w:w="1828"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75A01B46"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SMB-er og andre ikke-finansielle foretak som ikke er omfattet av direktivet om ikke-finansiell rapportering</w:t>
            </w:r>
          </w:p>
        </w:tc>
      </w:tr>
      <w:tr w:rsidR="00A54846" w14:paraId="71DF9391" w14:textId="77777777">
        <w:tc>
          <w:tcPr>
            <w:tcW w:w="586" w:type="dxa"/>
            <w:vMerge/>
            <w:vAlign w:val="center"/>
            <w:hideMark/>
          </w:tcPr>
          <w:p w14:paraId="1FF1766E" w14:textId="77777777" w:rsidR="00A54846" w:rsidRPr="006A792F"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bidi="en-US"/>
              </w:rPr>
            </w:pPr>
          </w:p>
        </w:tc>
        <w:tc>
          <w:tcPr>
            <w:tcW w:w="2401" w:type="dxa"/>
            <w:vMerge/>
            <w:tcBorders>
              <w:top w:val="single" w:sz="4" w:space="0" w:color="auto"/>
              <w:left w:val="single" w:sz="4" w:space="0" w:color="auto"/>
              <w:bottom w:val="nil"/>
              <w:right w:val="nil"/>
            </w:tcBorders>
            <w:vAlign w:val="center"/>
            <w:hideMark/>
          </w:tcPr>
          <w:p w14:paraId="0D591C5A" w14:textId="77777777" w:rsidR="00A54846" w:rsidRPr="006A792F"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bidi="en-US"/>
              </w:rPr>
            </w:pPr>
          </w:p>
        </w:tc>
        <w:tc>
          <w:tcPr>
            <w:tcW w:w="1841"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2EA159A0"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Brutto balanseført verdi</w:t>
            </w:r>
          </w:p>
        </w:tc>
        <w:tc>
          <w:tcPr>
            <w:tcW w:w="1842"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7EF81A0D"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Brutto balanseført verdi</w:t>
            </w:r>
          </w:p>
        </w:tc>
        <w:tc>
          <w:tcPr>
            <w:tcW w:w="1843" w:type="dxa"/>
            <w:gridSpan w:val="4"/>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0F0C5724"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Brutto balanseført verdi</w:t>
            </w:r>
          </w:p>
        </w:tc>
        <w:tc>
          <w:tcPr>
            <w:tcW w:w="1842"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6777C1A3"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Brutto balanseført verdi</w:t>
            </w:r>
          </w:p>
        </w:tc>
        <w:tc>
          <w:tcPr>
            <w:tcW w:w="1845" w:type="dxa"/>
            <w:gridSpan w:val="4"/>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784C87F1"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Brutto balanseført verdi</w:t>
            </w:r>
          </w:p>
        </w:tc>
        <w:tc>
          <w:tcPr>
            <w:tcW w:w="1828" w:type="dxa"/>
            <w:gridSpan w:val="2"/>
            <w:tcBorders>
              <w:top w:val="single" w:sz="4" w:space="0" w:color="auto"/>
              <w:left w:val="single" w:sz="4" w:space="0" w:color="auto"/>
              <w:bottom w:val="nil"/>
              <w:right w:val="single" w:sz="4" w:space="0" w:color="auto"/>
            </w:tcBorders>
            <w:shd w:val="clear" w:color="auto" w:fill="FFFFFF"/>
            <w:tcMar>
              <w:top w:w="20" w:type="dxa"/>
              <w:left w:w="40" w:type="dxa"/>
              <w:bottom w:w="20" w:type="dxa"/>
              <w:right w:w="40" w:type="dxa"/>
            </w:tcMar>
            <w:vAlign w:val="center"/>
            <w:hideMark/>
          </w:tcPr>
          <w:p w14:paraId="2B0820D0"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Brutto balanseført verdi</w:t>
            </w:r>
          </w:p>
        </w:tc>
      </w:tr>
      <w:tr w:rsidR="00A54846" w14:paraId="5A741233" w14:textId="77777777">
        <w:tc>
          <w:tcPr>
            <w:tcW w:w="586" w:type="dxa"/>
            <w:vMerge/>
            <w:vAlign w:val="center"/>
            <w:hideMark/>
          </w:tcPr>
          <w:p w14:paraId="292D10DF"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c>
          <w:tcPr>
            <w:tcW w:w="2401" w:type="dxa"/>
            <w:vMerge/>
            <w:tcBorders>
              <w:top w:val="single" w:sz="4" w:space="0" w:color="auto"/>
              <w:left w:val="single" w:sz="4" w:space="0" w:color="auto"/>
              <w:bottom w:val="nil"/>
              <w:right w:val="nil"/>
            </w:tcBorders>
            <w:vAlign w:val="center"/>
            <w:hideMark/>
          </w:tcPr>
          <w:p w14:paraId="40ED03C4"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c>
          <w:tcPr>
            <w:tcW w:w="920" w:type="dxa"/>
            <w:tcBorders>
              <w:top w:val="nil"/>
              <w:left w:val="single" w:sz="4" w:space="0" w:color="auto"/>
              <w:bottom w:val="nil"/>
              <w:right w:val="nil"/>
            </w:tcBorders>
            <w:shd w:val="clear" w:color="auto" w:fill="FFFFFF"/>
            <w:tcMar>
              <w:top w:w="20" w:type="dxa"/>
              <w:left w:w="40" w:type="dxa"/>
              <w:bottom w:w="20" w:type="dxa"/>
              <w:right w:w="40" w:type="dxa"/>
            </w:tcMar>
            <w:vAlign w:val="center"/>
            <w:hideMark/>
          </w:tcPr>
          <w:p w14:paraId="5FB65E5A"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Millioner euro</w:t>
            </w:r>
          </w:p>
        </w:tc>
        <w:tc>
          <w:tcPr>
            <w:tcW w:w="92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724E8EF7"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Hvorav miljømessig bærekraftige (begrensning)</w:t>
            </w:r>
          </w:p>
        </w:tc>
        <w:tc>
          <w:tcPr>
            <w:tcW w:w="921" w:type="dxa"/>
            <w:tcBorders>
              <w:top w:val="nil"/>
              <w:left w:val="single" w:sz="4" w:space="0" w:color="auto"/>
              <w:bottom w:val="nil"/>
              <w:right w:val="nil"/>
            </w:tcBorders>
            <w:shd w:val="clear" w:color="auto" w:fill="FFFFFF"/>
            <w:tcMar>
              <w:top w:w="20" w:type="dxa"/>
              <w:left w:w="40" w:type="dxa"/>
              <w:bottom w:w="20" w:type="dxa"/>
              <w:right w:w="40" w:type="dxa"/>
            </w:tcMar>
            <w:vAlign w:val="center"/>
            <w:hideMark/>
          </w:tcPr>
          <w:p w14:paraId="4ACF85A0"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Millioner euro</w:t>
            </w:r>
          </w:p>
        </w:tc>
        <w:tc>
          <w:tcPr>
            <w:tcW w:w="92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16463A8C"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Hvorav miljømessig bærekraftige (begrensning)</w:t>
            </w:r>
          </w:p>
        </w:tc>
        <w:tc>
          <w:tcPr>
            <w:tcW w:w="921" w:type="dxa"/>
            <w:gridSpan w:val="2"/>
            <w:tcBorders>
              <w:top w:val="nil"/>
              <w:left w:val="single" w:sz="4" w:space="0" w:color="auto"/>
              <w:bottom w:val="nil"/>
              <w:right w:val="nil"/>
            </w:tcBorders>
            <w:shd w:val="clear" w:color="auto" w:fill="FFFFFF"/>
            <w:tcMar>
              <w:top w:w="20" w:type="dxa"/>
              <w:left w:w="40" w:type="dxa"/>
              <w:bottom w:w="20" w:type="dxa"/>
              <w:right w:w="40" w:type="dxa"/>
            </w:tcMar>
            <w:vAlign w:val="center"/>
            <w:hideMark/>
          </w:tcPr>
          <w:p w14:paraId="1F40C429"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Millioner euro</w:t>
            </w:r>
          </w:p>
        </w:tc>
        <w:tc>
          <w:tcPr>
            <w:tcW w:w="922"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12B20E52"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Hvorav miljømessig bærekraftige (tilpasning)</w:t>
            </w:r>
          </w:p>
        </w:tc>
        <w:tc>
          <w:tcPr>
            <w:tcW w:w="921" w:type="dxa"/>
            <w:tcBorders>
              <w:top w:val="nil"/>
              <w:left w:val="single" w:sz="4" w:space="0" w:color="auto"/>
              <w:bottom w:val="nil"/>
              <w:right w:val="nil"/>
            </w:tcBorders>
            <w:shd w:val="clear" w:color="auto" w:fill="FFFFFF"/>
            <w:tcMar>
              <w:top w:w="20" w:type="dxa"/>
              <w:left w:w="40" w:type="dxa"/>
              <w:bottom w:w="20" w:type="dxa"/>
              <w:right w:w="40" w:type="dxa"/>
            </w:tcMar>
            <w:vAlign w:val="center"/>
            <w:hideMark/>
          </w:tcPr>
          <w:p w14:paraId="53DC26D2"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Millioner euro</w:t>
            </w:r>
          </w:p>
        </w:tc>
        <w:tc>
          <w:tcPr>
            <w:tcW w:w="92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3FCA279F"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Hvorav miljømessig bærekraftige (tilpasning)</w:t>
            </w:r>
          </w:p>
        </w:tc>
        <w:tc>
          <w:tcPr>
            <w:tcW w:w="920" w:type="dxa"/>
            <w:gridSpan w:val="2"/>
            <w:tcBorders>
              <w:top w:val="nil"/>
              <w:left w:val="single" w:sz="4" w:space="0" w:color="auto"/>
              <w:bottom w:val="nil"/>
              <w:right w:val="nil"/>
            </w:tcBorders>
            <w:shd w:val="clear" w:color="auto" w:fill="FFFFFF"/>
            <w:tcMar>
              <w:top w:w="20" w:type="dxa"/>
              <w:left w:w="40" w:type="dxa"/>
              <w:bottom w:w="20" w:type="dxa"/>
              <w:right w:w="40" w:type="dxa"/>
            </w:tcMar>
            <w:vAlign w:val="center"/>
            <w:hideMark/>
          </w:tcPr>
          <w:p w14:paraId="495ED6BA"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Millioner euro</w:t>
            </w:r>
          </w:p>
        </w:tc>
        <w:tc>
          <w:tcPr>
            <w:tcW w:w="925"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566080D9"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Hvorav miljømessig bærekraftige (begrensning + tilpasning)</w:t>
            </w:r>
          </w:p>
        </w:tc>
        <w:tc>
          <w:tcPr>
            <w:tcW w:w="921" w:type="dxa"/>
            <w:tcBorders>
              <w:top w:val="nil"/>
              <w:left w:val="single" w:sz="4" w:space="0" w:color="auto"/>
              <w:bottom w:val="nil"/>
              <w:right w:val="nil"/>
            </w:tcBorders>
            <w:shd w:val="clear" w:color="auto" w:fill="FFFFFF"/>
            <w:tcMar>
              <w:top w:w="20" w:type="dxa"/>
              <w:left w:w="40" w:type="dxa"/>
              <w:bottom w:w="20" w:type="dxa"/>
              <w:right w:w="40" w:type="dxa"/>
            </w:tcMar>
            <w:vAlign w:val="center"/>
            <w:hideMark/>
          </w:tcPr>
          <w:p w14:paraId="4F3BF885"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Millioner euro</w:t>
            </w:r>
          </w:p>
        </w:tc>
        <w:tc>
          <w:tcPr>
            <w:tcW w:w="907" w:type="dxa"/>
            <w:tcBorders>
              <w:top w:val="single" w:sz="4" w:space="0" w:color="auto"/>
              <w:left w:val="single" w:sz="4" w:space="0" w:color="auto"/>
              <w:bottom w:val="nil"/>
              <w:right w:val="single" w:sz="4" w:space="0" w:color="auto"/>
            </w:tcBorders>
            <w:shd w:val="clear" w:color="auto" w:fill="FFFFFF"/>
            <w:tcMar>
              <w:top w:w="20" w:type="dxa"/>
              <w:left w:w="40" w:type="dxa"/>
              <w:bottom w:w="20" w:type="dxa"/>
              <w:right w:w="40" w:type="dxa"/>
            </w:tcMar>
            <w:vAlign w:val="center"/>
            <w:hideMark/>
          </w:tcPr>
          <w:p w14:paraId="4AB9F18A"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Hvorav miljømessig bærekraftige (begrensning + tilpasning)</w:t>
            </w:r>
          </w:p>
        </w:tc>
      </w:tr>
      <w:tr w:rsidR="00A54846" w14:paraId="12556FCD" w14:textId="77777777">
        <w:tc>
          <w:tcPr>
            <w:tcW w:w="58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31EB0AEA"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1</w:t>
            </w:r>
          </w:p>
        </w:tc>
        <w:tc>
          <w:tcPr>
            <w:tcW w:w="240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10E8B6D"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20"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60794F6"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2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BEA7C55"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51" w:type="dxa"/>
            <w:gridSpan w:val="3"/>
            <w:vMerge w:val="restart"/>
            <w:shd w:val="clear" w:color="auto" w:fill="000000" w:themeFill="text1"/>
            <w:tcMar>
              <w:top w:w="20" w:type="dxa"/>
              <w:left w:w="40" w:type="dxa"/>
              <w:bottom w:w="20" w:type="dxa"/>
              <w:right w:w="40" w:type="dxa"/>
            </w:tcMar>
          </w:tcPr>
          <w:p w14:paraId="5DB08FFC"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12" w:type="dxa"/>
            <w:tcBorders>
              <w:top w:val="single" w:sz="4" w:space="0" w:color="auto"/>
              <w:left w:val="nil"/>
              <w:bottom w:val="nil"/>
              <w:right w:val="nil"/>
            </w:tcBorders>
            <w:shd w:val="clear" w:color="auto" w:fill="FFFFFF"/>
            <w:tcMar>
              <w:top w:w="20" w:type="dxa"/>
              <w:left w:w="40" w:type="dxa"/>
              <w:bottom w:w="20" w:type="dxa"/>
              <w:right w:w="40" w:type="dxa"/>
            </w:tcMar>
          </w:tcPr>
          <w:p w14:paraId="59909ED9"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1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1C2ABEAE"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60" w:type="dxa"/>
            <w:gridSpan w:val="4"/>
            <w:vMerge w:val="restart"/>
            <w:shd w:val="clear" w:color="auto" w:fill="000000" w:themeFill="text1"/>
            <w:tcMar>
              <w:top w:w="20" w:type="dxa"/>
              <w:left w:w="40" w:type="dxa"/>
              <w:bottom w:w="20" w:type="dxa"/>
              <w:right w:w="40" w:type="dxa"/>
            </w:tcMar>
          </w:tcPr>
          <w:p w14:paraId="2EE1D681"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18" w:type="dxa"/>
            <w:gridSpan w:val="2"/>
            <w:tcBorders>
              <w:top w:val="single" w:sz="4" w:space="0" w:color="auto"/>
              <w:left w:val="nil"/>
              <w:bottom w:val="nil"/>
              <w:right w:val="nil"/>
            </w:tcBorders>
            <w:shd w:val="clear" w:color="auto" w:fill="FFFFFF"/>
            <w:tcMar>
              <w:top w:w="20" w:type="dxa"/>
              <w:left w:w="40" w:type="dxa"/>
              <w:bottom w:w="20" w:type="dxa"/>
              <w:right w:w="40" w:type="dxa"/>
            </w:tcMar>
          </w:tcPr>
          <w:p w14:paraId="28EEDCAB"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19"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E9462BC"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28" w:type="dxa"/>
            <w:gridSpan w:val="2"/>
            <w:vMerge w:val="restart"/>
            <w:shd w:val="clear" w:color="auto" w:fill="000000" w:themeFill="text1"/>
            <w:tcMar>
              <w:top w:w="20" w:type="dxa"/>
              <w:left w:w="40" w:type="dxa"/>
              <w:bottom w:w="20" w:type="dxa"/>
              <w:right w:w="40" w:type="dxa"/>
            </w:tcMar>
          </w:tcPr>
          <w:p w14:paraId="4D9CC599"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r>
      <w:tr w:rsidR="00A54846" w14:paraId="192F7782" w14:textId="77777777">
        <w:tc>
          <w:tcPr>
            <w:tcW w:w="58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72AED08E"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2</w:t>
            </w:r>
          </w:p>
        </w:tc>
        <w:tc>
          <w:tcPr>
            <w:tcW w:w="240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783C38F"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20"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4F2150C"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2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61E4DDD"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51" w:type="dxa"/>
            <w:gridSpan w:val="3"/>
            <w:vMerge/>
            <w:tcBorders>
              <w:top w:val="single" w:sz="4" w:space="0" w:color="auto"/>
              <w:left w:val="single" w:sz="4" w:space="0" w:color="auto"/>
              <w:bottom w:val="nil"/>
              <w:right w:val="nil"/>
            </w:tcBorders>
            <w:vAlign w:val="center"/>
            <w:hideMark/>
          </w:tcPr>
          <w:p w14:paraId="339E15B1"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c>
          <w:tcPr>
            <w:tcW w:w="912" w:type="dxa"/>
            <w:tcBorders>
              <w:top w:val="single" w:sz="4" w:space="0" w:color="auto"/>
              <w:left w:val="nil"/>
              <w:bottom w:val="nil"/>
              <w:right w:val="nil"/>
            </w:tcBorders>
            <w:shd w:val="clear" w:color="auto" w:fill="FFFFFF"/>
            <w:tcMar>
              <w:top w:w="20" w:type="dxa"/>
              <w:left w:w="40" w:type="dxa"/>
              <w:bottom w:w="20" w:type="dxa"/>
              <w:right w:w="40" w:type="dxa"/>
            </w:tcMar>
          </w:tcPr>
          <w:p w14:paraId="52B2EB2F"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1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4F559A5"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60" w:type="dxa"/>
            <w:gridSpan w:val="4"/>
            <w:vMerge/>
            <w:tcBorders>
              <w:top w:val="single" w:sz="4" w:space="0" w:color="auto"/>
              <w:left w:val="single" w:sz="4" w:space="0" w:color="auto"/>
              <w:bottom w:val="nil"/>
              <w:right w:val="nil"/>
            </w:tcBorders>
            <w:vAlign w:val="center"/>
            <w:hideMark/>
          </w:tcPr>
          <w:p w14:paraId="437CD42D"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c>
          <w:tcPr>
            <w:tcW w:w="918" w:type="dxa"/>
            <w:gridSpan w:val="2"/>
            <w:tcBorders>
              <w:top w:val="single" w:sz="4" w:space="0" w:color="auto"/>
              <w:left w:val="nil"/>
              <w:bottom w:val="nil"/>
              <w:right w:val="nil"/>
            </w:tcBorders>
            <w:shd w:val="clear" w:color="auto" w:fill="FFFFFF"/>
            <w:tcMar>
              <w:top w:w="20" w:type="dxa"/>
              <w:left w:w="40" w:type="dxa"/>
              <w:bottom w:w="20" w:type="dxa"/>
              <w:right w:w="40" w:type="dxa"/>
            </w:tcMar>
          </w:tcPr>
          <w:p w14:paraId="26E495E5"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19"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A5739F9"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28" w:type="dxa"/>
            <w:gridSpan w:val="2"/>
            <w:vMerge/>
            <w:tcBorders>
              <w:top w:val="single" w:sz="4" w:space="0" w:color="auto"/>
              <w:left w:val="single" w:sz="4" w:space="0" w:color="auto"/>
              <w:bottom w:val="nil"/>
              <w:right w:val="nil"/>
            </w:tcBorders>
            <w:vAlign w:val="center"/>
            <w:hideMark/>
          </w:tcPr>
          <w:p w14:paraId="6F57DFBE"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r>
      <w:tr w:rsidR="00A54846" w14:paraId="7170A806" w14:textId="77777777">
        <w:tc>
          <w:tcPr>
            <w:tcW w:w="58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4D0876E4"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3</w:t>
            </w:r>
          </w:p>
        </w:tc>
        <w:tc>
          <w:tcPr>
            <w:tcW w:w="240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8C5D94D"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20"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92E3BF6"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2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DBF0FCE"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51" w:type="dxa"/>
            <w:gridSpan w:val="3"/>
            <w:vMerge/>
            <w:tcBorders>
              <w:top w:val="single" w:sz="4" w:space="0" w:color="auto"/>
              <w:left w:val="single" w:sz="4" w:space="0" w:color="auto"/>
              <w:bottom w:val="nil"/>
              <w:right w:val="nil"/>
            </w:tcBorders>
            <w:vAlign w:val="center"/>
            <w:hideMark/>
          </w:tcPr>
          <w:p w14:paraId="65CE1798"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c>
          <w:tcPr>
            <w:tcW w:w="912" w:type="dxa"/>
            <w:tcBorders>
              <w:top w:val="single" w:sz="4" w:space="0" w:color="auto"/>
              <w:left w:val="nil"/>
              <w:bottom w:val="nil"/>
              <w:right w:val="nil"/>
            </w:tcBorders>
            <w:shd w:val="clear" w:color="auto" w:fill="FFFFFF"/>
            <w:tcMar>
              <w:top w:w="20" w:type="dxa"/>
              <w:left w:w="40" w:type="dxa"/>
              <w:bottom w:w="20" w:type="dxa"/>
              <w:right w:w="40" w:type="dxa"/>
            </w:tcMar>
          </w:tcPr>
          <w:p w14:paraId="2E6C002E"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1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004FB603"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60" w:type="dxa"/>
            <w:gridSpan w:val="4"/>
            <w:vMerge/>
            <w:tcBorders>
              <w:top w:val="single" w:sz="4" w:space="0" w:color="auto"/>
              <w:left w:val="single" w:sz="4" w:space="0" w:color="auto"/>
              <w:bottom w:val="nil"/>
              <w:right w:val="nil"/>
            </w:tcBorders>
            <w:vAlign w:val="center"/>
            <w:hideMark/>
          </w:tcPr>
          <w:p w14:paraId="0D0647A4"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c>
          <w:tcPr>
            <w:tcW w:w="918" w:type="dxa"/>
            <w:gridSpan w:val="2"/>
            <w:tcBorders>
              <w:top w:val="single" w:sz="4" w:space="0" w:color="auto"/>
              <w:left w:val="nil"/>
              <w:bottom w:val="nil"/>
              <w:right w:val="nil"/>
            </w:tcBorders>
            <w:shd w:val="clear" w:color="auto" w:fill="FFFFFF"/>
            <w:tcMar>
              <w:top w:w="20" w:type="dxa"/>
              <w:left w:w="40" w:type="dxa"/>
              <w:bottom w:w="20" w:type="dxa"/>
              <w:right w:w="40" w:type="dxa"/>
            </w:tcMar>
          </w:tcPr>
          <w:p w14:paraId="44F71B0C"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19"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6D5739D"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28" w:type="dxa"/>
            <w:gridSpan w:val="2"/>
            <w:vMerge/>
            <w:tcBorders>
              <w:top w:val="single" w:sz="4" w:space="0" w:color="auto"/>
              <w:left w:val="single" w:sz="4" w:space="0" w:color="auto"/>
              <w:bottom w:val="nil"/>
              <w:right w:val="nil"/>
            </w:tcBorders>
            <w:vAlign w:val="center"/>
            <w:hideMark/>
          </w:tcPr>
          <w:p w14:paraId="55C13DE7"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r>
      <w:tr w:rsidR="00A54846" w14:paraId="5B7815F1" w14:textId="77777777">
        <w:tc>
          <w:tcPr>
            <w:tcW w:w="58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09EAD79C"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4</w:t>
            </w:r>
          </w:p>
        </w:tc>
        <w:tc>
          <w:tcPr>
            <w:tcW w:w="240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115E1EAB"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20"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2CB32ED"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2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86D9FC4"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51" w:type="dxa"/>
            <w:gridSpan w:val="3"/>
            <w:vMerge/>
            <w:tcBorders>
              <w:top w:val="single" w:sz="4" w:space="0" w:color="auto"/>
              <w:left w:val="single" w:sz="4" w:space="0" w:color="auto"/>
              <w:bottom w:val="nil"/>
              <w:right w:val="nil"/>
            </w:tcBorders>
            <w:vAlign w:val="center"/>
            <w:hideMark/>
          </w:tcPr>
          <w:p w14:paraId="1096EABD"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c>
          <w:tcPr>
            <w:tcW w:w="912" w:type="dxa"/>
            <w:tcBorders>
              <w:top w:val="single" w:sz="4" w:space="0" w:color="auto"/>
              <w:left w:val="nil"/>
              <w:bottom w:val="nil"/>
              <w:right w:val="nil"/>
            </w:tcBorders>
            <w:shd w:val="clear" w:color="auto" w:fill="FFFFFF"/>
            <w:tcMar>
              <w:top w:w="20" w:type="dxa"/>
              <w:left w:w="40" w:type="dxa"/>
              <w:bottom w:w="20" w:type="dxa"/>
              <w:right w:w="40" w:type="dxa"/>
            </w:tcMar>
          </w:tcPr>
          <w:p w14:paraId="08B8018C"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1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162003C5"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60" w:type="dxa"/>
            <w:gridSpan w:val="4"/>
            <w:vMerge/>
            <w:tcBorders>
              <w:top w:val="single" w:sz="4" w:space="0" w:color="auto"/>
              <w:left w:val="single" w:sz="4" w:space="0" w:color="auto"/>
              <w:bottom w:val="nil"/>
              <w:right w:val="nil"/>
            </w:tcBorders>
            <w:vAlign w:val="center"/>
            <w:hideMark/>
          </w:tcPr>
          <w:p w14:paraId="653D60F9"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c>
          <w:tcPr>
            <w:tcW w:w="918" w:type="dxa"/>
            <w:gridSpan w:val="2"/>
            <w:tcBorders>
              <w:top w:val="single" w:sz="4" w:space="0" w:color="auto"/>
              <w:left w:val="nil"/>
              <w:bottom w:val="nil"/>
              <w:right w:val="nil"/>
            </w:tcBorders>
            <w:shd w:val="clear" w:color="auto" w:fill="FFFFFF"/>
            <w:tcMar>
              <w:top w:w="20" w:type="dxa"/>
              <w:left w:w="40" w:type="dxa"/>
              <w:bottom w:w="20" w:type="dxa"/>
              <w:right w:w="40" w:type="dxa"/>
            </w:tcMar>
          </w:tcPr>
          <w:p w14:paraId="7EBE2A70"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19"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06EFFCC"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28" w:type="dxa"/>
            <w:gridSpan w:val="2"/>
            <w:vMerge/>
            <w:tcBorders>
              <w:top w:val="single" w:sz="4" w:space="0" w:color="auto"/>
              <w:left w:val="single" w:sz="4" w:space="0" w:color="auto"/>
              <w:bottom w:val="nil"/>
              <w:right w:val="nil"/>
            </w:tcBorders>
            <w:vAlign w:val="center"/>
            <w:hideMark/>
          </w:tcPr>
          <w:p w14:paraId="1D5831B8"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r>
      <w:tr w:rsidR="00A54846" w14:paraId="61ECA7AF" w14:textId="77777777">
        <w:tc>
          <w:tcPr>
            <w:tcW w:w="58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hideMark/>
          </w:tcPr>
          <w:p w14:paraId="28EE9DF0" w14:textId="77777777" w:rsidR="00A54846" w:rsidRDefault="008A2731">
            <w:pPr>
              <w:widowControl w:val="0"/>
              <w:shd w:val="clear" w:color="auto" w:fill="auto"/>
              <w:spacing w:after="0" w:line="200" w:lineRule="exact"/>
              <w:jc w:val="center"/>
              <w:rPr>
                <w:rFonts w:ascii="Arial Unicode MS" w:eastAsia="Arial Unicode MS" w:hAnsi="Arial Unicode MS" w:cs="Arial Unicode MS"/>
                <w:color w:val="000000"/>
                <w:sz w:val="12"/>
                <w:szCs w:val="12"/>
              </w:rPr>
            </w:pPr>
            <w:r>
              <w:rPr>
                <w:rFonts w:ascii="Arial Unicode MS" w:hAnsi="Arial Unicode MS"/>
                <w:color w:val="000000"/>
                <w:sz w:val="12"/>
              </w:rPr>
              <w:t>…</w:t>
            </w:r>
          </w:p>
        </w:tc>
        <w:tc>
          <w:tcPr>
            <w:tcW w:w="240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52DBC6E"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20"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6A2A34D"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21"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85F848F"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51" w:type="dxa"/>
            <w:gridSpan w:val="3"/>
            <w:vMerge/>
            <w:tcBorders>
              <w:top w:val="single" w:sz="4" w:space="0" w:color="auto"/>
              <w:left w:val="single" w:sz="4" w:space="0" w:color="auto"/>
              <w:bottom w:val="nil"/>
              <w:right w:val="nil"/>
            </w:tcBorders>
            <w:vAlign w:val="center"/>
            <w:hideMark/>
          </w:tcPr>
          <w:p w14:paraId="136D35A6"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c>
          <w:tcPr>
            <w:tcW w:w="912" w:type="dxa"/>
            <w:tcBorders>
              <w:top w:val="single" w:sz="4" w:space="0" w:color="auto"/>
              <w:left w:val="nil"/>
              <w:bottom w:val="nil"/>
              <w:right w:val="nil"/>
            </w:tcBorders>
            <w:shd w:val="clear" w:color="auto" w:fill="FFFFFF"/>
            <w:tcMar>
              <w:top w:w="20" w:type="dxa"/>
              <w:left w:w="40" w:type="dxa"/>
              <w:bottom w:w="20" w:type="dxa"/>
              <w:right w:w="40" w:type="dxa"/>
            </w:tcMar>
          </w:tcPr>
          <w:p w14:paraId="5FAFD0A8"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1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6E4B570"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60" w:type="dxa"/>
            <w:gridSpan w:val="4"/>
            <w:vMerge/>
            <w:tcBorders>
              <w:top w:val="single" w:sz="4" w:space="0" w:color="auto"/>
              <w:left w:val="single" w:sz="4" w:space="0" w:color="auto"/>
              <w:bottom w:val="nil"/>
              <w:right w:val="nil"/>
            </w:tcBorders>
            <w:vAlign w:val="center"/>
            <w:hideMark/>
          </w:tcPr>
          <w:p w14:paraId="3F1185EB"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c>
          <w:tcPr>
            <w:tcW w:w="918" w:type="dxa"/>
            <w:gridSpan w:val="2"/>
            <w:tcBorders>
              <w:top w:val="single" w:sz="4" w:space="0" w:color="auto"/>
              <w:left w:val="nil"/>
              <w:bottom w:val="nil"/>
              <w:right w:val="nil"/>
            </w:tcBorders>
            <w:shd w:val="clear" w:color="auto" w:fill="FFFFFF"/>
            <w:tcMar>
              <w:top w:w="20" w:type="dxa"/>
              <w:left w:w="40" w:type="dxa"/>
              <w:bottom w:w="20" w:type="dxa"/>
              <w:right w:w="40" w:type="dxa"/>
            </w:tcMar>
          </w:tcPr>
          <w:p w14:paraId="1E4B6882"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919"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DF4F86D" w14:textId="77777777" w:rsidR="00A54846" w:rsidRDefault="00A54846">
            <w:pPr>
              <w:widowControl w:val="0"/>
              <w:shd w:val="clear" w:color="auto" w:fill="auto"/>
              <w:spacing w:after="0" w:line="200" w:lineRule="exact"/>
              <w:jc w:val="left"/>
              <w:rPr>
                <w:rFonts w:ascii="Arial Unicode MS" w:eastAsia="Arial Unicode MS" w:hAnsi="Arial Unicode MS" w:cs="Arial Unicode MS"/>
                <w:color w:val="000000"/>
                <w:sz w:val="12"/>
                <w:szCs w:val="12"/>
                <w:lang w:val="en-US" w:bidi="en-US"/>
              </w:rPr>
            </w:pPr>
          </w:p>
        </w:tc>
        <w:tc>
          <w:tcPr>
            <w:tcW w:w="1828" w:type="dxa"/>
            <w:gridSpan w:val="2"/>
            <w:vMerge/>
            <w:tcBorders>
              <w:top w:val="single" w:sz="4" w:space="0" w:color="auto"/>
              <w:left w:val="single" w:sz="4" w:space="0" w:color="auto"/>
              <w:bottom w:val="nil"/>
              <w:right w:val="nil"/>
            </w:tcBorders>
            <w:vAlign w:val="center"/>
            <w:hideMark/>
          </w:tcPr>
          <w:p w14:paraId="49EB4616" w14:textId="77777777" w:rsidR="00A54846" w:rsidRDefault="00A54846">
            <w:pPr>
              <w:widowControl w:val="0"/>
              <w:shd w:val="clear" w:color="auto" w:fill="auto"/>
              <w:spacing w:after="0" w:line="240" w:lineRule="auto"/>
              <w:jc w:val="left"/>
              <w:rPr>
                <w:rFonts w:ascii="Arial Unicode MS" w:eastAsia="Arial Unicode MS" w:hAnsi="Arial Unicode MS" w:cs="Arial Unicode MS"/>
                <w:color w:val="000000"/>
                <w:sz w:val="12"/>
                <w:szCs w:val="12"/>
                <w:lang w:val="en-US" w:bidi="en-US"/>
              </w:rPr>
            </w:pPr>
          </w:p>
        </w:tc>
      </w:tr>
      <w:tr w:rsidR="00A54846" w14:paraId="51D88C7E" w14:textId="77777777">
        <w:tc>
          <w:tcPr>
            <w:tcW w:w="14028" w:type="dxa"/>
            <w:gridSpan w:val="18"/>
            <w:tcBorders>
              <w:top w:val="single" w:sz="4" w:space="0" w:color="auto"/>
              <w:left w:val="nil"/>
              <w:bottom w:val="nil"/>
              <w:right w:val="nil"/>
            </w:tcBorders>
            <w:shd w:val="clear" w:color="auto" w:fill="FFFFFF"/>
            <w:tcMar>
              <w:top w:w="20" w:type="dxa"/>
              <w:left w:w="40" w:type="dxa"/>
              <w:bottom w:w="20" w:type="dxa"/>
              <w:right w:w="40" w:type="dxa"/>
            </w:tcMar>
            <w:vAlign w:val="bottom"/>
            <w:hideMark/>
          </w:tcPr>
          <w:p w14:paraId="4EE9E1C7" w14:textId="77777777" w:rsidR="00A54846" w:rsidRDefault="008A2731">
            <w:pPr>
              <w:widowControl w:val="0"/>
              <w:shd w:val="clear" w:color="auto" w:fill="auto"/>
              <w:tabs>
                <w:tab w:val="left" w:pos="103"/>
              </w:tabs>
              <w:spacing w:after="0" w:line="200" w:lineRule="exact"/>
              <w:jc w:val="left"/>
              <w:rPr>
                <w:rFonts w:ascii="Helvetica" w:eastAsia="Arial Unicode MS" w:hAnsi="Helvetica" w:cs="Arial Unicode MS"/>
                <w:color w:val="000000"/>
                <w:sz w:val="11"/>
                <w:szCs w:val="11"/>
              </w:rPr>
            </w:pPr>
            <w:r>
              <w:rPr>
                <w:rFonts w:ascii="Helvetica" w:hAnsi="Helvetica"/>
                <w:color w:val="000000"/>
                <w:sz w:val="11"/>
              </w:rPr>
              <w:t>1.</w:t>
            </w:r>
            <w:r>
              <w:rPr>
                <w:rFonts w:ascii="Helvetica" w:hAnsi="Helvetica"/>
                <w:color w:val="000000"/>
                <w:sz w:val="11"/>
              </w:rPr>
              <w:tab/>
              <w:t>Kredittinstitusjoner skal i denne malen legge fram opplysninger om eksponeringer i bankporteføljen mot sektorer taksonomien gjelder (NACE-sektorer på firesifret nivå), og da bruke de relevante NACE-kodene på grunnlag av motpartens hovedaktivitet</w:t>
            </w:r>
          </w:p>
          <w:p w14:paraId="7D877D22" w14:textId="77777777" w:rsidR="00A54846" w:rsidRDefault="008A2731">
            <w:pPr>
              <w:widowControl w:val="0"/>
              <w:shd w:val="clear" w:color="auto" w:fill="auto"/>
              <w:tabs>
                <w:tab w:val="left" w:pos="103"/>
              </w:tabs>
              <w:spacing w:after="0" w:line="200" w:lineRule="exact"/>
              <w:rPr>
                <w:rFonts w:ascii="Helvetica" w:eastAsia="Arial Unicode MS" w:hAnsi="Helvetica" w:cs="Arial Unicode MS"/>
                <w:color w:val="000000"/>
                <w:sz w:val="11"/>
                <w:szCs w:val="11"/>
              </w:rPr>
            </w:pPr>
            <w:r>
              <w:rPr>
                <w:rFonts w:ascii="Helvetica" w:hAnsi="Helvetica"/>
                <w:color w:val="000000"/>
                <w:sz w:val="11"/>
              </w:rPr>
              <w:t>2.</w:t>
            </w:r>
            <w:r>
              <w:rPr>
                <w:rFonts w:ascii="Helvetica" w:hAnsi="Helvetica"/>
                <w:color w:val="000000"/>
                <w:sz w:val="11"/>
              </w:rPr>
              <w:tab/>
              <w:t>Fordelingen på NACE-sektorer skal utelukkende ta utgangspunkt i den direkte motpartens art. Eksponeringer som er inngått i fellesskap av mer enn én skyldner, skal klassifiseres på grunnlag av egenskapene ved den skyldneren som var mest relevant eller avgjørende for at institusjonen påtok seg eksponeringen. Fordelingen på NACE-koder når det gjelder eksponeringer som er inngått i fellesskap, skal baseres på egenskapene ved den skyldneren som var mest relevant eller avgjørende. Institusjoner skal legge fram opplysninger etter NACE-koder med det detaljnivået som malen krever.</w:t>
            </w:r>
          </w:p>
        </w:tc>
      </w:tr>
    </w:tbl>
    <w:p w14:paraId="7B92A373" w14:textId="77777777" w:rsidR="00A54846" w:rsidRPr="006A792F" w:rsidRDefault="00A54846">
      <w:pPr>
        <w:pStyle w:val="Para"/>
        <w:spacing w:line="240" w:lineRule="auto"/>
        <w:jc w:val="left"/>
        <w:rPr>
          <w:noProof/>
        </w:rPr>
      </w:pPr>
    </w:p>
    <w:p w14:paraId="43955F46" w14:textId="77777777" w:rsidR="00A54846" w:rsidRDefault="008A2731">
      <w:pPr>
        <w:pStyle w:val="Para"/>
        <w:spacing w:line="240" w:lineRule="auto"/>
        <w:jc w:val="left"/>
      </w:pPr>
      <w:r>
        <w:br w:type="page"/>
      </w:r>
    </w:p>
    <w:p w14:paraId="5474DADE" w14:textId="77777777" w:rsidR="00A54846" w:rsidRDefault="008A2731">
      <w:pPr>
        <w:pStyle w:val="AnnexNumberedText"/>
        <w:ind w:left="279" w:hanging="279"/>
      </w:pPr>
      <w:r>
        <w:lastRenderedPageBreak/>
        <w:t>3.</w:t>
      </w:r>
      <w:r>
        <w:rPr>
          <w:b/>
        </w:rPr>
        <w:tab/>
        <w:t>GAR – KPI for beholdninger</w:t>
      </w:r>
    </w:p>
    <w:tbl>
      <w:tblPr>
        <w:tblOverlap w:val="never"/>
        <w:tblW w:w="0" w:type="auto"/>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136"/>
      </w:tblGrid>
      <w:tr w:rsidR="00A54846" w14:paraId="0F672D2E" w14:textId="77777777">
        <w:tc>
          <w:tcPr>
            <w:tcW w:w="2136" w:type="dxa"/>
            <w:shd w:val="clear" w:color="auto" w:fill="FFFFFF"/>
            <w:tcMar>
              <w:top w:w="20" w:type="dxa"/>
              <w:left w:w="40" w:type="dxa"/>
              <w:bottom w:w="20" w:type="dxa"/>
              <w:right w:w="40" w:type="dxa"/>
            </w:tcMar>
            <w:vAlign w:val="center"/>
            <w:hideMark/>
          </w:tcPr>
          <w:p w14:paraId="21FD59B5"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1. Institusjonen skal i denne malen opplyse om KPI-ene for GAR for lånebeholdningen beregnet på grunnlag av dataene framlagt i mal 1, om dekkede eiendeler, ved anvendelse av formlene i denne malen</w:t>
            </w:r>
          </w:p>
        </w:tc>
      </w:tr>
      <w:tr w:rsidR="00A54846" w14:paraId="2FB2FEFC" w14:textId="77777777">
        <w:tc>
          <w:tcPr>
            <w:tcW w:w="2136" w:type="dxa"/>
            <w:shd w:val="clear" w:color="auto" w:fill="FFFFFF"/>
            <w:tcMar>
              <w:top w:w="20" w:type="dxa"/>
              <w:left w:w="40" w:type="dxa"/>
              <w:bottom w:w="20" w:type="dxa"/>
              <w:right w:w="40" w:type="dxa"/>
            </w:tcMar>
            <w:vAlign w:val="center"/>
            <w:hideMark/>
          </w:tcPr>
          <w:p w14:paraId="043CE893"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2. Opplysningene om GAR (for aktiviteter som omfattes av taksonomien) skal ledsages av opplysninger om andelen samlede eiendeler som dekkes av GAR</w:t>
            </w:r>
          </w:p>
        </w:tc>
      </w:tr>
      <w:tr w:rsidR="00A54846" w14:paraId="17136A39" w14:textId="77777777">
        <w:tc>
          <w:tcPr>
            <w:tcW w:w="2136" w:type="dxa"/>
            <w:shd w:val="clear" w:color="auto" w:fill="FFFFFF"/>
            <w:tcMar>
              <w:top w:w="20" w:type="dxa"/>
              <w:left w:w="40" w:type="dxa"/>
              <w:bottom w:w="20" w:type="dxa"/>
              <w:right w:w="40" w:type="dxa"/>
            </w:tcMar>
            <w:vAlign w:val="center"/>
            <w:hideMark/>
          </w:tcPr>
          <w:p w14:paraId="00ECCA24"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3. Kredittinstitusjoner kan, i tillegg til opplysningene som skal gis i denne malen, vise hvor stor andel av eiendelene som finansierer taksonomirelevante sektorer som er miljømessig bærekraftige (taksonomiforenlige). Disse opplysningene supplerer opplysningene om KPI-en for miljømessig bærekraftige eiendeler i forhold til samlede dekkede eiendeler</w:t>
            </w:r>
          </w:p>
        </w:tc>
      </w:tr>
    </w:tbl>
    <w:p w14:paraId="5EDEC773" w14:textId="77777777" w:rsidR="00A54846" w:rsidRPr="006A792F" w:rsidRDefault="00A54846">
      <w:pPr>
        <w:pStyle w:val="Para"/>
        <w:spacing w:line="240" w:lineRule="auto"/>
        <w:jc w:val="left"/>
        <w:rPr>
          <w:noProof/>
        </w:rPr>
      </w:pPr>
    </w:p>
    <w:tbl>
      <w:tblPr>
        <w:tblOverlap w:val="never"/>
        <w:tblW w:w="14028" w:type="dxa"/>
        <w:tblInd w:w="328" w:type="dxa"/>
        <w:tblLayout w:type="fixed"/>
        <w:tblCellMar>
          <w:left w:w="10" w:type="dxa"/>
          <w:right w:w="10" w:type="dxa"/>
        </w:tblCellMar>
        <w:tblLook w:val="04A0" w:firstRow="1" w:lastRow="0" w:firstColumn="1" w:lastColumn="0" w:noHBand="0" w:noVBand="1"/>
      </w:tblPr>
      <w:tblGrid>
        <w:gridCol w:w="253"/>
        <w:gridCol w:w="1876"/>
        <w:gridCol w:w="354"/>
        <w:gridCol w:w="318"/>
        <w:gridCol w:w="402"/>
        <w:gridCol w:w="413"/>
        <w:gridCol w:w="365"/>
        <w:gridCol w:w="286"/>
        <w:gridCol w:w="6"/>
        <w:gridCol w:w="325"/>
        <w:gridCol w:w="379"/>
        <w:gridCol w:w="429"/>
        <w:gridCol w:w="355"/>
        <w:gridCol w:w="285"/>
        <w:gridCol w:w="9"/>
        <w:gridCol w:w="373"/>
        <w:gridCol w:w="10"/>
        <w:gridCol w:w="370"/>
        <w:gridCol w:w="10"/>
        <w:gridCol w:w="415"/>
        <w:gridCol w:w="349"/>
        <w:gridCol w:w="10"/>
        <w:gridCol w:w="481"/>
        <w:gridCol w:w="322"/>
        <w:gridCol w:w="249"/>
        <w:gridCol w:w="9"/>
        <w:gridCol w:w="387"/>
        <w:gridCol w:w="394"/>
        <w:gridCol w:w="6"/>
        <w:gridCol w:w="364"/>
        <w:gridCol w:w="288"/>
        <w:gridCol w:w="314"/>
        <w:gridCol w:w="415"/>
        <w:gridCol w:w="404"/>
        <w:gridCol w:w="403"/>
        <w:gridCol w:w="288"/>
        <w:gridCol w:w="417"/>
        <w:gridCol w:w="6"/>
        <w:gridCol w:w="480"/>
        <w:gridCol w:w="6"/>
        <w:gridCol w:w="390"/>
        <w:gridCol w:w="393"/>
        <w:gridCol w:w="420"/>
      </w:tblGrid>
      <w:tr w:rsidR="00A54846" w14:paraId="70C3F7FA" w14:textId="77777777">
        <w:trPr>
          <w:trHeight w:val="63"/>
        </w:trPr>
        <w:tc>
          <w:tcPr>
            <w:tcW w:w="2129" w:type="dxa"/>
            <w:gridSpan w:val="2"/>
            <w:shd w:val="clear" w:color="auto" w:fill="FFFFFF"/>
            <w:tcMar>
              <w:top w:w="20" w:type="dxa"/>
              <w:left w:w="40" w:type="dxa"/>
              <w:bottom w:w="20" w:type="dxa"/>
              <w:right w:w="40" w:type="dxa"/>
            </w:tcMar>
          </w:tcPr>
          <w:p w14:paraId="23967BB4"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6"/>
                <w:szCs w:val="6"/>
                <w:lang w:bidi="en-US"/>
              </w:rPr>
            </w:pPr>
          </w:p>
        </w:tc>
        <w:tc>
          <w:tcPr>
            <w:tcW w:w="354" w:type="dxa"/>
            <w:tcBorders>
              <w:top w:val="single" w:sz="4" w:space="0" w:color="auto"/>
              <w:left w:val="single" w:sz="4" w:space="0" w:color="auto"/>
              <w:bottom w:val="nil"/>
              <w:right w:val="single" w:sz="4" w:space="0" w:color="auto"/>
            </w:tcBorders>
            <w:shd w:val="clear" w:color="auto" w:fill="FFFFFF"/>
            <w:tcMar>
              <w:top w:w="20" w:type="dxa"/>
              <w:left w:w="40" w:type="dxa"/>
              <w:bottom w:w="20" w:type="dxa"/>
              <w:right w:w="40" w:type="dxa"/>
            </w:tcMar>
            <w:vAlign w:val="bottom"/>
            <w:hideMark/>
          </w:tcPr>
          <w:p w14:paraId="5F14805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w:t>
            </w:r>
          </w:p>
        </w:tc>
        <w:tc>
          <w:tcPr>
            <w:tcW w:w="318" w:type="dxa"/>
            <w:tcBorders>
              <w:top w:val="single" w:sz="4" w:space="0" w:color="auto"/>
              <w:left w:val="single" w:sz="4" w:space="0" w:color="auto"/>
              <w:bottom w:val="nil"/>
              <w:right w:val="single" w:sz="4" w:space="0" w:color="auto"/>
            </w:tcBorders>
            <w:shd w:val="clear" w:color="auto" w:fill="FFFFFF"/>
            <w:vAlign w:val="bottom"/>
            <w:hideMark/>
          </w:tcPr>
          <w:p w14:paraId="308D0657"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b</w:t>
            </w:r>
          </w:p>
        </w:tc>
        <w:tc>
          <w:tcPr>
            <w:tcW w:w="402" w:type="dxa"/>
            <w:tcBorders>
              <w:top w:val="single" w:sz="4" w:space="0" w:color="auto"/>
              <w:left w:val="single" w:sz="4" w:space="0" w:color="auto"/>
              <w:bottom w:val="nil"/>
              <w:right w:val="single" w:sz="4" w:space="0" w:color="auto"/>
            </w:tcBorders>
            <w:shd w:val="clear" w:color="auto" w:fill="FFFFFF"/>
            <w:vAlign w:val="bottom"/>
            <w:hideMark/>
          </w:tcPr>
          <w:p w14:paraId="2D3904EF"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c</w:t>
            </w:r>
          </w:p>
        </w:tc>
        <w:tc>
          <w:tcPr>
            <w:tcW w:w="413" w:type="dxa"/>
            <w:tcBorders>
              <w:top w:val="single" w:sz="4" w:space="0" w:color="auto"/>
              <w:left w:val="single" w:sz="4" w:space="0" w:color="auto"/>
              <w:bottom w:val="nil"/>
              <w:right w:val="single" w:sz="4" w:space="0" w:color="auto"/>
            </w:tcBorders>
            <w:shd w:val="clear" w:color="auto" w:fill="FFFFFF"/>
            <w:vAlign w:val="bottom"/>
            <w:hideMark/>
          </w:tcPr>
          <w:p w14:paraId="7F7F09A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d</w:t>
            </w:r>
          </w:p>
        </w:tc>
        <w:tc>
          <w:tcPr>
            <w:tcW w:w="365" w:type="dxa"/>
            <w:tcBorders>
              <w:top w:val="single" w:sz="4" w:space="0" w:color="auto"/>
              <w:left w:val="single" w:sz="4" w:space="0" w:color="auto"/>
              <w:bottom w:val="nil"/>
              <w:right w:val="single" w:sz="4" w:space="0" w:color="auto"/>
            </w:tcBorders>
            <w:shd w:val="clear" w:color="auto" w:fill="FFFFFF"/>
            <w:vAlign w:val="bottom"/>
            <w:hideMark/>
          </w:tcPr>
          <w:p w14:paraId="47A355A4"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e</w:t>
            </w:r>
          </w:p>
        </w:tc>
        <w:tc>
          <w:tcPr>
            <w:tcW w:w="286" w:type="dxa"/>
            <w:tcBorders>
              <w:top w:val="single" w:sz="4" w:space="0" w:color="auto"/>
              <w:left w:val="single" w:sz="4" w:space="0" w:color="auto"/>
              <w:bottom w:val="nil"/>
              <w:right w:val="single" w:sz="4" w:space="0" w:color="auto"/>
            </w:tcBorders>
            <w:shd w:val="clear" w:color="auto" w:fill="FFFFFF"/>
            <w:vAlign w:val="bottom"/>
            <w:hideMark/>
          </w:tcPr>
          <w:p w14:paraId="6019511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f</w:t>
            </w:r>
          </w:p>
        </w:tc>
        <w:tc>
          <w:tcPr>
            <w:tcW w:w="331" w:type="dxa"/>
            <w:gridSpan w:val="2"/>
            <w:tcBorders>
              <w:top w:val="single" w:sz="4" w:space="0" w:color="auto"/>
              <w:left w:val="single" w:sz="4" w:space="0" w:color="auto"/>
              <w:bottom w:val="nil"/>
              <w:right w:val="single" w:sz="4" w:space="0" w:color="auto"/>
            </w:tcBorders>
            <w:shd w:val="clear" w:color="auto" w:fill="FFFFFF"/>
            <w:vAlign w:val="bottom"/>
            <w:hideMark/>
          </w:tcPr>
          <w:p w14:paraId="4649ABE3"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g</w:t>
            </w:r>
          </w:p>
        </w:tc>
        <w:tc>
          <w:tcPr>
            <w:tcW w:w="379" w:type="dxa"/>
            <w:tcBorders>
              <w:top w:val="single" w:sz="4" w:space="0" w:color="auto"/>
              <w:left w:val="single" w:sz="4" w:space="0" w:color="auto"/>
              <w:bottom w:val="nil"/>
              <w:right w:val="single" w:sz="4" w:space="0" w:color="auto"/>
            </w:tcBorders>
            <w:shd w:val="clear" w:color="auto" w:fill="FFFFFF"/>
            <w:vAlign w:val="bottom"/>
            <w:hideMark/>
          </w:tcPr>
          <w:p w14:paraId="135401F4"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h</w:t>
            </w:r>
          </w:p>
        </w:tc>
        <w:tc>
          <w:tcPr>
            <w:tcW w:w="429" w:type="dxa"/>
            <w:tcBorders>
              <w:top w:val="single" w:sz="4" w:space="0" w:color="auto"/>
              <w:left w:val="single" w:sz="4" w:space="0" w:color="auto"/>
              <w:bottom w:val="nil"/>
              <w:right w:val="single" w:sz="4" w:space="0" w:color="auto"/>
            </w:tcBorders>
            <w:shd w:val="clear" w:color="auto" w:fill="FFFFFF"/>
            <w:vAlign w:val="bottom"/>
            <w:hideMark/>
          </w:tcPr>
          <w:p w14:paraId="18DBA2F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i</w:t>
            </w:r>
          </w:p>
        </w:tc>
        <w:tc>
          <w:tcPr>
            <w:tcW w:w="355" w:type="dxa"/>
            <w:tcBorders>
              <w:top w:val="single" w:sz="4" w:space="0" w:color="auto"/>
              <w:left w:val="single" w:sz="4" w:space="0" w:color="auto"/>
              <w:bottom w:val="nil"/>
              <w:right w:val="single" w:sz="4" w:space="0" w:color="auto"/>
            </w:tcBorders>
            <w:shd w:val="clear" w:color="auto" w:fill="FFFFFF"/>
            <w:vAlign w:val="bottom"/>
            <w:hideMark/>
          </w:tcPr>
          <w:p w14:paraId="3D08AA56"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j</w:t>
            </w:r>
          </w:p>
        </w:tc>
        <w:tc>
          <w:tcPr>
            <w:tcW w:w="285" w:type="dxa"/>
            <w:tcBorders>
              <w:top w:val="single" w:sz="4" w:space="0" w:color="auto"/>
              <w:left w:val="single" w:sz="4" w:space="0" w:color="auto"/>
              <w:bottom w:val="nil"/>
              <w:right w:val="single" w:sz="4" w:space="0" w:color="auto"/>
            </w:tcBorders>
            <w:shd w:val="clear" w:color="auto" w:fill="FFFFFF"/>
            <w:vAlign w:val="bottom"/>
            <w:hideMark/>
          </w:tcPr>
          <w:p w14:paraId="107B8AB3"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k</w:t>
            </w:r>
          </w:p>
        </w:tc>
        <w:tc>
          <w:tcPr>
            <w:tcW w:w="392" w:type="dxa"/>
            <w:gridSpan w:val="3"/>
            <w:tcBorders>
              <w:top w:val="single" w:sz="4" w:space="0" w:color="auto"/>
              <w:left w:val="single" w:sz="4" w:space="0" w:color="auto"/>
              <w:bottom w:val="nil"/>
              <w:right w:val="single" w:sz="4" w:space="0" w:color="auto"/>
            </w:tcBorders>
            <w:shd w:val="clear" w:color="auto" w:fill="FFFFFF"/>
            <w:vAlign w:val="bottom"/>
            <w:hideMark/>
          </w:tcPr>
          <w:p w14:paraId="6E84A64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l</w:t>
            </w:r>
          </w:p>
        </w:tc>
        <w:tc>
          <w:tcPr>
            <w:tcW w:w="380" w:type="dxa"/>
            <w:gridSpan w:val="2"/>
            <w:tcBorders>
              <w:top w:val="single" w:sz="4" w:space="0" w:color="auto"/>
              <w:left w:val="single" w:sz="4" w:space="0" w:color="auto"/>
              <w:bottom w:val="nil"/>
              <w:right w:val="single" w:sz="4" w:space="0" w:color="auto"/>
            </w:tcBorders>
            <w:shd w:val="clear" w:color="auto" w:fill="FFFFFF"/>
            <w:vAlign w:val="bottom"/>
            <w:hideMark/>
          </w:tcPr>
          <w:p w14:paraId="71EAF26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m</w:t>
            </w:r>
          </w:p>
        </w:tc>
        <w:tc>
          <w:tcPr>
            <w:tcW w:w="415" w:type="dxa"/>
            <w:tcBorders>
              <w:top w:val="single" w:sz="4" w:space="0" w:color="auto"/>
              <w:left w:val="single" w:sz="4" w:space="0" w:color="auto"/>
              <w:bottom w:val="nil"/>
              <w:right w:val="single" w:sz="4" w:space="0" w:color="auto"/>
            </w:tcBorders>
            <w:shd w:val="clear" w:color="auto" w:fill="FFFFFF"/>
            <w:vAlign w:val="bottom"/>
            <w:hideMark/>
          </w:tcPr>
          <w:p w14:paraId="5D62AE7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n</w:t>
            </w:r>
          </w:p>
        </w:tc>
        <w:tc>
          <w:tcPr>
            <w:tcW w:w="359" w:type="dxa"/>
            <w:gridSpan w:val="2"/>
            <w:tcBorders>
              <w:top w:val="single" w:sz="4" w:space="0" w:color="auto"/>
              <w:left w:val="single" w:sz="4" w:space="0" w:color="auto"/>
              <w:bottom w:val="nil"/>
              <w:right w:val="single" w:sz="4" w:space="0" w:color="auto"/>
            </w:tcBorders>
            <w:shd w:val="clear" w:color="auto" w:fill="FFFFFF"/>
            <w:vAlign w:val="bottom"/>
            <w:hideMark/>
          </w:tcPr>
          <w:p w14:paraId="2DCAE81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o</w:t>
            </w:r>
          </w:p>
        </w:tc>
        <w:tc>
          <w:tcPr>
            <w:tcW w:w="481" w:type="dxa"/>
            <w:tcBorders>
              <w:top w:val="single" w:sz="4" w:space="0" w:color="auto"/>
              <w:left w:val="single" w:sz="4" w:space="0" w:color="auto"/>
              <w:bottom w:val="nil"/>
              <w:right w:val="single" w:sz="4" w:space="0" w:color="auto"/>
            </w:tcBorders>
            <w:shd w:val="clear" w:color="auto" w:fill="FFFFFF"/>
            <w:vAlign w:val="bottom"/>
            <w:hideMark/>
          </w:tcPr>
          <w:p w14:paraId="5C3769D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p</w:t>
            </w:r>
          </w:p>
        </w:tc>
        <w:tc>
          <w:tcPr>
            <w:tcW w:w="322" w:type="dxa"/>
            <w:tcBorders>
              <w:top w:val="single" w:sz="4" w:space="0" w:color="auto"/>
              <w:left w:val="single" w:sz="4" w:space="0" w:color="auto"/>
              <w:bottom w:val="nil"/>
              <w:right w:val="single" w:sz="4" w:space="0" w:color="auto"/>
            </w:tcBorders>
            <w:shd w:val="clear" w:color="auto" w:fill="FFFFFF"/>
            <w:vAlign w:val="bottom"/>
            <w:hideMark/>
          </w:tcPr>
          <w:p w14:paraId="54E3432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q</w:t>
            </w:r>
          </w:p>
        </w:tc>
        <w:tc>
          <w:tcPr>
            <w:tcW w:w="249" w:type="dxa"/>
            <w:tcBorders>
              <w:top w:val="single" w:sz="4" w:space="0" w:color="auto"/>
              <w:left w:val="single" w:sz="4" w:space="0" w:color="auto"/>
              <w:bottom w:val="nil"/>
              <w:right w:val="single" w:sz="4" w:space="0" w:color="auto"/>
            </w:tcBorders>
            <w:shd w:val="clear" w:color="auto" w:fill="FFFFFF"/>
            <w:vAlign w:val="bottom"/>
            <w:hideMark/>
          </w:tcPr>
          <w:p w14:paraId="2D93186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r</w:t>
            </w:r>
          </w:p>
        </w:tc>
        <w:tc>
          <w:tcPr>
            <w:tcW w:w="396" w:type="dxa"/>
            <w:gridSpan w:val="2"/>
            <w:tcBorders>
              <w:top w:val="single" w:sz="4" w:space="0" w:color="auto"/>
              <w:left w:val="single" w:sz="4" w:space="0" w:color="auto"/>
              <w:bottom w:val="nil"/>
              <w:right w:val="single" w:sz="4" w:space="0" w:color="auto"/>
            </w:tcBorders>
            <w:shd w:val="clear" w:color="auto" w:fill="FFFFFF"/>
            <w:vAlign w:val="bottom"/>
            <w:hideMark/>
          </w:tcPr>
          <w:p w14:paraId="7F1C62A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s</w:t>
            </w:r>
          </w:p>
        </w:tc>
        <w:tc>
          <w:tcPr>
            <w:tcW w:w="400" w:type="dxa"/>
            <w:gridSpan w:val="2"/>
            <w:tcBorders>
              <w:top w:val="single" w:sz="4" w:space="0" w:color="auto"/>
              <w:left w:val="single" w:sz="4" w:space="0" w:color="auto"/>
              <w:bottom w:val="nil"/>
              <w:right w:val="single" w:sz="4" w:space="0" w:color="auto"/>
            </w:tcBorders>
            <w:shd w:val="clear" w:color="auto" w:fill="FFFFFF"/>
            <w:vAlign w:val="bottom"/>
            <w:hideMark/>
          </w:tcPr>
          <w:p w14:paraId="7F01EA8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t</w:t>
            </w:r>
          </w:p>
        </w:tc>
        <w:tc>
          <w:tcPr>
            <w:tcW w:w="364" w:type="dxa"/>
            <w:tcBorders>
              <w:top w:val="single" w:sz="4" w:space="0" w:color="auto"/>
              <w:left w:val="single" w:sz="4" w:space="0" w:color="auto"/>
              <w:bottom w:val="nil"/>
              <w:right w:val="single" w:sz="4" w:space="0" w:color="auto"/>
            </w:tcBorders>
            <w:shd w:val="clear" w:color="auto" w:fill="FFFFFF"/>
            <w:vAlign w:val="bottom"/>
            <w:hideMark/>
          </w:tcPr>
          <w:p w14:paraId="078EFDB6"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u</w:t>
            </w:r>
          </w:p>
        </w:tc>
        <w:tc>
          <w:tcPr>
            <w:tcW w:w="288" w:type="dxa"/>
            <w:tcBorders>
              <w:top w:val="single" w:sz="4" w:space="0" w:color="auto"/>
              <w:left w:val="single" w:sz="4" w:space="0" w:color="auto"/>
              <w:bottom w:val="nil"/>
              <w:right w:val="single" w:sz="4" w:space="0" w:color="auto"/>
            </w:tcBorders>
            <w:shd w:val="clear" w:color="auto" w:fill="FFFFFF"/>
            <w:vAlign w:val="bottom"/>
            <w:hideMark/>
          </w:tcPr>
          <w:p w14:paraId="13A7D94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v</w:t>
            </w:r>
          </w:p>
        </w:tc>
        <w:tc>
          <w:tcPr>
            <w:tcW w:w="314" w:type="dxa"/>
            <w:tcBorders>
              <w:top w:val="single" w:sz="4" w:space="0" w:color="auto"/>
              <w:left w:val="single" w:sz="4" w:space="0" w:color="auto"/>
              <w:bottom w:val="nil"/>
              <w:right w:val="single" w:sz="4" w:space="0" w:color="auto"/>
            </w:tcBorders>
            <w:shd w:val="clear" w:color="auto" w:fill="FFFFFF"/>
            <w:vAlign w:val="bottom"/>
            <w:hideMark/>
          </w:tcPr>
          <w:p w14:paraId="294842E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w</w:t>
            </w:r>
          </w:p>
        </w:tc>
        <w:tc>
          <w:tcPr>
            <w:tcW w:w="415" w:type="dxa"/>
            <w:tcBorders>
              <w:top w:val="single" w:sz="4" w:space="0" w:color="auto"/>
              <w:left w:val="single" w:sz="4" w:space="0" w:color="auto"/>
              <w:bottom w:val="nil"/>
              <w:right w:val="single" w:sz="4" w:space="0" w:color="auto"/>
            </w:tcBorders>
            <w:shd w:val="clear" w:color="auto" w:fill="FFFFFF"/>
            <w:vAlign w:val="bottom"/>
            <w:hideMark/>
          </w:tcPr>
          <w:p w14:paraId="543C63C6"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x</w:t>
            </w:r>
          </w:p>
        </w:tc>
        <w:tc>
          <w:tcPr>
            <w:tcW w:w="404" w:type="dxa"/>
            <w:tcBorders>
              <w:top w:val="single" w:sz="4" w:space="0" w:color="auto"/>
              <w:left w:val="single" w:sz="4" w:space="0" w:color="auto"/>
              <w:bottom w:val="nil"/>
              <w:right w:val="single" w:sz="4" w:space="0" w:color="auto"/>
            </w:tcBorders>
            <w:shd w:val="clear" w:color="auto" w:fill="FFFFFF"/>
            <w:vAlign w:val="bottom"/>
            <w:hideMark/>
          </w:tcPr>
          <w:p w14:paraId="2BCC8F6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y</w:t>
            </w:r>
          </w:p>
        </w:tc>
        <w:tc>
          <w:tcPr>
            <w:tcW w:w="403" w:type="dxa"/>
            <w:tcBorders>
              <w:top w:val="single" w:sz="4" w:space="0" w:color="auto"/>
              <w:left w:val="single" w:sz="4" w:space="0" w:color="auto"/>
              <w:bottom w:val="nil"/>
              <w:right w:val="single" w:sz="4" w:space="0" w:color="auto"/>
            </w:tcBorders>
            <w:shd w:val="clear" w:color="auto" w:fill="FFFFFF"/>
            <w:vAlign w:val="bottom"/>
            <w:hideMark/>
          </w:tcPr>
          <w:p w14:paraId="61A7230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z</w:t>
            </w:r>
          </w:p>
        </w:tc>
        <w:tc>
          <w:tcPr>
            <w:tcW w:w="288" w:type="dxa"/>
            <w:tcBorders>
              <w:top w:val="single" w:sz="4" w:space="0" w:color="auto"/>
              <w:left w:val="single" w:sz="4" w:space="0" w:color="auto"/>
              <w:bottom w:val="nil"/>
              <w:right w:val="single" w:sz="4" w:space="0" w:color="auto"/>
            </w:tcBorders>
            <w:shd w:val="clear" w:color="auto" w:fill="FFFFFF"/>
            <w:vAlign w:val="bottom"/>
            <w:hideMark/>
          </w:tcPr>
          <w:p w14:paraId="63F7F353"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aa</w:t>
            </w:r>
          </w:p>
        </w:tc>
        <w:tc>
          <w:tcPr>
            <w:tcW w:w="423" w:type="dxa"/>
            <w:gridSpan w:val="2"/>
            <w:tcBorders>
              <w:top w:val="single" w:sz="4" w:space="0" w:color="auto"/>
              <w:left w:val="single" w:sz="4" w:space="0" w:color="auto"/>
              <w:bottom w:val="nil"/>
              <w:right w:val="single" w:sz="4" w:space="0" w:color="auto"/>
            </w:tcBorders>
            <w:shd w:val="clear" w:color="auto" w:fill="FFFFFF"/>
            <w:vAlign w:val="bottom"/>
            <w:hideMark/>
          </w:tcPr>
          <w:p w14:paraId="3A3E95F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ab</w:t>
            </w:r>
          </w:p>
        </w:tc>
        <w:tc>
          <w:tcPr>
            <w:tcW w:w="486" w:type="dxa"/>
            <w:gridSpan w:val="2"/>
            <w:tcBorders>
              <w:top w:val="single" w:sz="4" w:space="0" w:color="auto"/>
              <w:left w:val="single" w:sz="4" w:space="0" w:color="auto"/>
              <w:bottom w:val="nil"/>
              <w:right w:val="single" w:sz="4" w:space="0" w:color="auto"/>
            </w:tcBorders>
            <w:shd w:val="clear" w:color="auto" w:fill="FFFFFF"/>
            <w:vAlign w:val="bottom"/>
            <w:hideMark/>
          </w:tcPr>
          <w:p w14:paraId="0E0AE96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ac</w:t>
            </w:r>
          </w:p>
        </w:tc>
        <w:tc>
          <w:tcPr>
            <w:tcW w:w="390" w:type="dxa"/>
            <w:tcBorders>
              <w:top w:val="single" w:sz="4" w:space="0" w:color="auto"/>
              <w:left w:val="single" w:sz="4" w:space="0" w:color="auto"/>
              <w:bottom w:val="nil"/>
              <w:right w:val="single" w:sz="4" w:space="0" w:color="auto"/>
            </w:tcBorders>
            <w:shd w:val="clear" w:color="auto" w:fill="FFFFFF"/>
            <w:vAlign w:val="bottom"/>
            <w:hideMark/>
          </w:tcPr>
          <w:p w14:paraId="53A93716"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ad</w:t>
            </w:r>
          </w:p>
        </w:tc>
        <w:tc>
          <w:tcPr>
            <w:tcW w:w="393" w:type="dxa"/>
            <w:tcBorders>
              <w:top w:val="single" w:sz="4" w:space="0" w:color="auto"/>
              <w:left w:val="single" w:sz="4" w:space="0" w:color="auto"/>
              <w:bottom w:val="nil"/>
              <w:right w:val="single" w:sz="4" w:space="0" w:color="auto"/>
            </w:tcBorders>
            <w:shd w:val="clear" w:color="auto" w:fill="FFFFFF"/>
            <w:vAlign w:val="bottom"/>
            <w:hideMark/>
          </w:tcPr>
          <w:p w14:paraId="1DB32DF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ae</w:t>
            </w:r>
          </w:p>
        </w:tc>
        <w:tc>
          <w:tcPr>
            <w:tcW w:w="420" w:type="dxa"/>
            <w:tcBorders>
              <w:top w:val="single" w:sz="4" w:space="0" w:color="auto"/>
              <w:left w:val="single" w:sz="4" w:space="0" w:color="auto"/>
              <w:bottom w:val="nil"/>
              <w:right w:val="single" w:sz="4" w:space="0" w:color="auto"/>
            </w:tcBorders>
            <w:shd w:val="clear" w:color="auto" w:fill="FFFFFF"/>
            <w:vAlign w:val="bottom"/>
            <w:hideMark/>
          </w:tcPr>
          <w:p w14:paraId="7DF6666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af</w:t>
            </w:r>
          </w:p>
        </w:tc>
      </w:tr>
      <w:tr w:rsidR="00A54846" w14:paraId="791D121D" w14:textId="77777777">
        <w:trPr>
          <w:trHeight w:val="76"/>
        </w:trPr>
        <w:tc>
          <w:tcPr>
            <w:tcW w:w="2129"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90D1B3F"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6"/>
                <w:szCs w:val="6"/>
                <w:lang w:val="en-US" w:bidi="en-US"/>
              </w:rPr>
            </w:pPr>
          </w:p>
        </w:tc>
        <w:tc>
          <w:tcPr>
            <w:tcW w:w="5944" w:type="dxa"/>
            <w:gridSpan w:val="21"/>
            <w:tcBorders>
              <w:top w:val="single" w:sz="4" w:space="0" w:color="auto"/>
              <w:left w:val="single" w:sz="4" w:space="0" w:color="auto"/>
              <w:bottom w:val="nil"/>
              <w:right w:val="nil"/>
            </w:tcBorders>
            <w:shd w:val="clear" w:color="auto" w:fill="B5B5B5"/>
            <w:tcMar>
              <w:top w:w="20" w:type="dxa"/>
              <w:left w:w="40" w:type="dxa"/>
              <w:bottom w:w="20" w:type="dxa"/>
              <w:right w:w="40" w:type="dxa"/>
            </w:tcMar>
            <w:vAlign w:val="center"/>
            <w:hideMark/>
          </w:tcPr>
          <w:p w14:paraId="76DB093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Referansedato for opplysningene T</w:t>
            </w:r>
          </w:p>
        </w:tc>
        <w:tc>
          <w:tcPr>
            <w:tcW w:w="5955" w:type="dxa"/>
            <w:gridSpan w:val="20"/>
            <w:tcBorders>
              <w:top w:val="single" w:sz="4" w:space="0" w:color="auto"/>
              <w:left w:val="single" w:sz="4" w:space="0" w:color="auto"/>
              <w:bottom w:val="nil"/>
              <w:right w:val="single" w:sz="4" w:space="0" w:color="auto"/>
            </w:tcBorders>
            <w:shd w:val="clear" w:color="auto" w:fill="B5B5B5"/>
            <w:tcMar>
              <w:top w:w="20" w:type="dxa"/>
              <w:left w:w="40" w:type="dxa"/>
              <w:bottom w:w="20" w:type="dxa"/>
              <w:right w:w="40" w:type="dxa"/>
            </w:tcMar>
            <w:vAlign w:val="center"/>
            <w:hideMark/>
          </w:tcPr>
          <w:p w14:paraId="4BFE62B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Referansedato for opplysningene T-1</w:t>
            </w:r>
          </w:p>
        </w:tc>
      </w:tr>
      <w:tr w:rsidR="00A54846" w14:paraId="43666A1D" w14:textId="77777777">
        <w:trPr>
          <w:trHeight w:val="63"/>
        </w:trPr>
        <w:tc>
          <w:tcPr>
            <w:tcW w:w="2129" w:type="dxa"/>
            <w:gridSpan w:val="2"/>
            <w:tcBorders>
              <w:top w:val="nil"/>
              <w:left w:val="single" w:sz="4" w:space="0" w:color="auto"/>
              <w:bottom w:val="nil"/>
              <w:right w:val="nil"/>
            </w:tcBorders>
            <w:shd w:val="clear" w:color="auto" w:fill="FFFFFF"/>
            <w:tcMar>
              <w:top w:w="20" w:type="dxa"/>
              <w:left w:w="40" w:type="dxa"/>
              <w:bottom w:w="20" w:type="dxa"/>
              <w:right w:w="40" w:type="dxa"/>
            </w:tcMar>
          </w:tcPr>
          <w:p w14:paraId="6B4CDF5D"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6"/>
                <w:szCs w:val="6"/>
                <w:lang w:val="en-US" w:bidi="en-US"/>
              </w:rPr>
            </w:pPr>
          </w:p>
        </w:tc>
        <w:tc>
          <w:tcPr>
            <w:tcW w:w="1852" w:type="dxa"/>
            <w:gridSpan w:val="5"/>
            <w:tcBorders>
              <w:top w:val="single" w:sz="4" w:space="0" w:color="auto"/>
              <w:left w:val="single" w:sz="4" w:space="0" w:color="auto"/>
              <w:bottom w:val="nil"/>
              <w:right w:val="nil"/>
            </w:tcBorders>
            <w:shd w:val="clear" w:color="auto" w:fill="B5B5B5"/>
            <w:tcMar>
              <w:top w:w="20" w:type="dxa"/>
              <w:left w:w="40" w:type="dxa"/>
              <w:bottom w:w="20" w:type="dxa"/>
              <w:right w:w="40" w:type="dxa"/>
            </w:tcMar>
            <w:vAlign w:val="bottom"/>
            <w:hideMark/>
          </w:tcPr>
          <w:p w14:paraId="7F21E44C"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6"/>
                <w:szCs w:val="6"/>
              </w:rPr>
            </w:pPr>
            <w:r>
              <w:rPr>
                <w:rFonts w:ascii="Helvetica" w:hAnsi="Helvetica"/>
                <w:b/>
                <w:color w:val="000000"/>
                <w:sz w:val="6"/>
              </w:rPr>
              <w:t>Begrensning av klimaendringer</w:t>
            </w:r>
          </w:p>
        </w:tc>
        <w:tc>
          <w:tcPr>
            <w:tcW w:w="1780" w:type="dxa"/>
            <w:gridSpan w:val="6"/>
            <w:tcBorders>
              <w:top w:val="single" w:sz="4" w:space="0" w:color="auto"/>
              <w:left w:val="single" w:sz="4" w:space="0" w:color="auto"/>
              <w:bottom w:val="nil"/>
              <w:right w:val="nil"/>
            </w:tcBorders>
            <w:shd w:val="clear" w:color="auto" w:fill="B5B5B5"/>
            <w:tcMar>
              <w:top w:w="20" w:type="dxa"/>
              <w:left w:w="40" w:type="dxa"/>
              <w:bottom w:w="20" w:type="dxa"/>
              <w:right w:w="40" w:type="dxa"/>
            </w:tcMar>
            <w:vAlign w:val="bottom"/>
            <w:hideMark/>
          </w:tcPr>
          <w:p w14:paraId="52403F01"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6"/>
                <w:szCs w:val="6"/>
              </w:rPr>
            </w:pPr>
            <w:r>
              <w:rPr>
                <w:rFonts w:ascii="Helvetica" w:hAnsi="Helvetica"/>
                <w:b/>
                <w:color w:val="000000"/>
                <w:sz w:val="6"/>
              </w:rPr>
              <w:t>Tilpasning til klimaendringer</w:t>
            </w:r>
          </w:p>
        </w:tc>
        <w:tc>
          <w:tcPr>
            <w:tcW w:w="1821" w:type="dxa"/>
            <w:gridSpan w:val="8"/>
            <w:tcBorders>
              <w:top w:val="single" w:sz="4" w:space="0" w:color="auto"/>
              <w:left w:val="single" w:sz="4" w:space="0" w:color="auto"/>
              <w:bottom w:val="nil"/>
              <w:right w:val="nil"/>
            </w:tcBorders>
            <w:shd w:val="clear" w:color="auto" w:fill="B5B5B5"/>
            <w:tcMar>
              <w:top w:w="20" w:type="dxa"/>
              <w:left w:w="40" w:type="dxa"/>
              <w:bottom w:w="20" w:type="dxa"/>
              <w:right w:w="40" w:type="dxa"/>
            </w:tcMar>
            <w:vAlign w:val="bottom"/>
            <w:hideMark/>
          </w:tcPr>
          <w:p w14:paraId="05BDEBE6"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6"/>
                <w:szCs w:val="6"/>
              </w:rPr>
            </w:pPr>
            <w:r>
              <w:rPr>
                <w:rFonts w:ascii="Helvetica" w:hAnsi="Helvetica"/>
                <w:b/>
                <w:color w:val="000000"/>
                <w:sz w:val="6"/>
              </w:rPr>
              <w:t>SUM (begrensning + tilpasning)</w:t>
            </w:r>
          </w:p>
        </w:tc>
        <w:tc>
          <w:tcPr>
            <w:tcW w:w="491" w:type="dxa"/>
            <w:gridSpan w:val="2"/>
            <w:tcBorders>
              <w:top w:val="single" w:sz="4" w:space="0" w:color="auto"/>
              <w:left w:val="single" w:sz="4" w:space="0" w:color="auto"/>
              <w:bottom w:val="nil"/>
              <w:right w:val="nil"/>
            </w:tcBorders>
            <w:shd w:val="clear" w:color="auto" w:fill="B5B5B5"/>
            <w:tcMar>
              <w:top w:w="20" w:type="dxa"/>
              <w:left w:w="40" w:type="dxa"/>
              <w:bottom w:w="20" w:type="dxa"/>
              <w:right w:w="40" w:type="dxa"/>
            </w:tcMar>
          </w:tcPr>
          <w:p w14:paraId="620F848F" w14:textId="77777777" w:rsidR="00A54846" w:rsidRDefault="00A54846">
            <w:pPr>
              <w:widowControl w:val="0"/>
              <w:shd w:val="clear" w:color="auto" w:fill="auto"/>
              <w:spacing w:after="0" w:line="240" w:lineRule="auto"/>
              <w:jc w:val="center"/>
              <w:rPr>
                <w:rFonts w:ascii="Helvetica" w:eastAsia="Arial Unicode MS" w:hAnsi="Helvetica" w:cs="Arial Unicode MS"/>
                <w:b/>
                <w:color w:val="000000"/>
                <w:sz w:val="6"/>
                <w:szCs w:val="6"/>
                <w:lang w:val="en-US" w:bidi="en-US"/>
              </w:rPr>
            </w:pPr>
          </w:p>
        </w:tc>
        <w:tc>
          <w:tcPr>
            <w:tcW w:w="1731" w:type="dxa"/>
            <w:gridSpan w:val="7"/>
            <w:tcBorders>
              <w:top w:val="single" w:sz="4" w:space="0" w:color="auto"/>
              <w:left w:val="single" w:sz="4" w:space="0" w:color="auto"/>
              <w:bottom w:val="nil"/>
              <w:right w:val="nil"/>
            </w:tcBorders>
            <w:shd w:val="clear" w:color="auto" w:fill="B5B5B5"/>
            <w:tcMar>
              <w:top w:w="20" w:type="dxa"/>
              <w:left w:w="40" w:type="dxa"/>
              <w:bottom w:w="20" w:type="dxa"/>
              <w:right w:w="40" w:type="dxa"/>
            </w:tcMar>
            <w:vAlign w:val="bottom"/>
            <w:hideMark/>
          </w:tcPr>
          <w:p w14:paraId="085D5006"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6"/>
                <w:szCs w:val="6"/>
              </w:rPr>
            </w:pPr>
            <w:r>
              <w:rPr>
                <w:rFonts w:ascii="Helvetica" w:hAnsi="Helvetica"/>
                <w:b/>
                <w:color w:val="000000"/>
                <w:sz w:val="6"/>
              </w:rPr>
              <w:t>Begrensning av klimaendringer</w:t>
            </w:r>
          </w:p>
        </w:tc>
        <w:tc>
          <w:tcPr>
            <w:tcW w:w="1824" w:type="dxa"/>
            <w:gridSpan w:val="5"/>
            <w:tcBorders>
              <w:top w:val="single" w:sz="4" w:space="0" w:color="auto"/>
              <w:left w:val="single" w:sz="4" w:space="0" w:color="auto"/>
              <w:bottom w:val="nil"/>
              <w:right w:val="nil"/>
            </w:tcBorders>
            <w:shd w:val="clear" w:color="auto" w:fill="B5B5B5"/>
            <w:tcMar>
              <w:top w:w="20" w:type="dxa"/>
              <w:left w:w="40" w:type="dxa"/>
              <w:bottom w:w="20" w:type="dxa"/>
              <w:right w:w="40" w:type="dxa"/>
            </w:tcMar>
            <w:vAlign w:val="bottom"/>
            <w:hideMark/>
          </w:tcPr>
          <w:p w14:paraId="7ED3A322"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6"/>
                <w:szCs w:val="6"/>
              </w:rPr>
            </w:pPr>
            <w:r>
              <w:rPr>
                <w:rFonts w:ascii="Helvetica" w:hAnsi="Helvetica"/>
                <w:b/>
                <w:color w:val="000000"/>
                <w:sz w:val="6"/>
              </w:rPr>
              <w:t>Tilpasning til klimaendringer</w:t>
            </w:r>
          </w:p>
        </w:tc>
        <w:tc>
          <w:tcPr>
            <w:tcW w:w="1980" w:type="dxa"/>
            <w:gridSpan w:val="7"/>
            <w:tcBorders>
              <w:top w:val="single" w:sz="4" w:space="0" w:color="auto"/>
              <w:left w:val="single" w:sz="4" w:space="0" w:color="auto"/>
              <w:bottom w:val="nil"/>
              <w:right w:val="nil"/>
            </w:tcBorders>
            <w:shd w:val="clear" w:color="auto" w:fill="B5B5B5"/>
            <w:tcMar>
              <w:top w:w="20" w:type="dxa"/>
              <w:left w:w="40" w:type="dxa"/>
              <w:bottom w:w="20" w:type="dxa"/>
              <w:right w:w="40" w:type="dxa"/>
            </w:tcMar>
            <w:vAlign w:val="bottom"/>
            <w:hideMark/>
          </w:tcPr>
          <w:p w14:paraId="18264EF5"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6"/>
                <w:szCs w:val="6"/>
              </w:rPr>
            </w:pPr>
            <w:r>
              <w:rPr>
                <w:rFonts w:ascii="Helvetica" w:hAnsi="Helvetica"/>
                <w:b/>
                <w:color w:val="000000"/>
                <w:sz w:val="6"/>
              </w:rPr>
              <w:t>SUM (begrensning + tilpasning)</w:t>
            </w:r>
          </w:p>
        </w:tc>
        <w:tc>
          <w:tcPr>
            <w:tcW w:w="420" w:type="dxa"/>
            <w:tcBorders>
              <w:top w:val="single" w:sz="4" w:space="0" w:color="auto"/>
              <w:left w:val="single" w:sz="4" w:space="0" w:color="auto"/>
              <w:bottom w:val="nil"/>
              <w:right w:val="nil"/>
            </w:tcBorders>
            <w:shd w:val="clear" w:color="auto" w:fill="B5B5B5"/>
            <w:tcMar>
              <w:top w:w="20" w:type="dxa"/>
              <w:left w:w="40" w:type="dxa"/>
              <w:bottom w:w="20" w:type="dxa"/>
              <w:right w:w="40" w:type="dxa"/>
            </w:tcMar>
          </w:tcPr>
          <w:p w14:paraId="10AFCD5F"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6"/>
                <w:szCs w:val="6"/>
                <w:lang w:val="en-US" w:bidi="en-US"/>
              </w:rPr>
            </w:pPr>
          </w:p>
        </w:tc>
      </w:tr>
      <w:tr w:rsidR="00A54846" w14:paraId="3486B8B3" w14:textId="77777777">
        <w:trPr>
          <w:trHeight w:val="140"/>
        </w:trPr>
        <w:tc>
          <w:tcPr>
            <w:tcW w:w="2129" w:type="dxa"/>
            <w:gridSpan w:val="2"/>
            <w:tcBorders>
              <w:top w:val="nil"/>
              <w:left w:val="single" w:sz="4" w:space="0" w:color="auto"/>
              <w:bottom w:val="nil"/>
              <w:right w:val="nil"/>
            </w:tcBorders>
            <w:shd w:val="clear" w:color="auto" w:fill="FFFFFF"/>
            <w:tcMar>
              <w:top w:w="20" w:type="dxa"/>
              <w:left w:w="40" w:type="dxa"/>
              <w:bottom w:w="20" w:type="dxa"/>
              <w:right w:w="40" w:type="dxa"/>
            </w:tcMar>
          </w:tcPr>
          <w:p w14:paraId="4B01A1A4"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6"/>
                <w:szCs w:val="6"/>
                <w:lang w:val="en-US" w:bidi="en-US"/>
              </w:rPr>
            </w:pPr>
          </w:p>
        </w:tc>
        <w:tc>
          <w:tcPr>
            <w:tcW w:w="1852" w:type="dxa"/>
            <w:gridSpan w:val="5"/>
            <w:tcBorders>
              <w:top w:val="single" w:sz="4" w:space="0" w:color="auto"/>
              <w:left w:val="single" w:sz="4" w:space="0" w:color="auto"/>
              <w:bottom w:val="nil"/>
              <w:right w:val="nil"/>
            </w:tcBorders>
            <w:shd w:val="clear" w:color="auto" w:fill="FFFFFF"/>
            <w:tcMar>
              <w:top w:w="20" w:type="dxa"/>
              <w:left w:w="40" w:type="dxa"/>
              <w:bottom w:w="20" w:type="dxa"/>
              <w:right w:w="40" w:type="dxa"/>
            </w:tcMar>
            <w:hideMark/>
          </w:tcPr>
          <w:p w14:paraId="18A2F8E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Andel av samlede dekkede eiendeler som finansierer taksonomirelevante sektorer (som er omfattet av taksonomien)</w:t>
            </w:r>
          </w:p>
        </w:tc>
        <w:tc>
          <w:tcPr>
            <w:tcW w:w="1780" w:type="dxa"/>
            <w:gridSpan w:val="6"/>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3F32A39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Andel av samlede dekkede eiendeler som finansierer taksonomirelevante sektorer (som er omfattet av taksonomien)</w:t>
            </w:r>
          </w:p>
        </w:tc>
        <w:tc>
          <w:tcPr>
            <w:tcW w:w="1821" w:type="dxa"/>
            <w:gridSpan w:val="8"/>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14BA6EC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Andel av samlede dekkede eiendeler som finansierer taksonomirelevante sektorer (som er omfattet av taksonomien)</w:t>
            </w:r>
          </w:p>
        </w:tc>
        <w:tc>
          <w:tcPr>
            <w:tcW w:w="491" w:type="dxa"/>
            <w:gridSpan w:val="2"/>
            <w:vMerge w:val="restart"/>
            <w:tcBorders>
              <w:top w:val="single" w:sz="4" w:space="0" w:color="auto"/>
              <w:left w:val="single" w:sz="4" w:space="0" w:color="auto"/>
              <w:right w:val="nil"/>
            </w:tcBorders>
            <w:shd w:val="clear" w:color="auto" w:fill="FFFFFF"/>
            <w:tcMar>
              <w:top w:w="20" w:type="dxa"/>
              <w:left w:w="40" w:type="dxa"/>
              <w:bottom w:w="20" w:type="dxa"/>
              <w:right w:w="40" w:type="dxa"/>
            </w:tcMar>
            <w:vAlign w:val="center"/>
            <w:hideMark/>
          </w:tcPr>
          <w:p w14:paraId="4F38DED3"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Andel av samlede dekkede eiendeler</w:t>
            </w:r>
          </w:p>
        </w:tc>
        <w:tc>
          <w:tcPr>
            <w:tcW w:w="1731" w:type="dxa"/>
            <w:gridSpan w:val="7"/>
            <w:tcBorders>
              <w:top w:val="single" w:sz="4" w:space="0" w:color="auto"/>
              <w:left w:val="single" w:sz="4" w:space="0" w:color="auto"/>
              <w:bottom w:val="nil"/>
              <w:right w:val="nil"/>
            </w:tcBorders>
            <w:shd w:val="clear" w:color="auto" w:fill="FFFFFF"/>
            <w:tcMar>
              <w:top w:w="20" w:type="dxa"/>
              <w:left w:w="40" w:type="dxa"/>
              <w:bottom w:w="20" w:type="dxa"/>
              <w:right w:w="40" w:type="dxa"/>
            </w:tcMar>
            <w:hideMark/>
          </w:tcPr>
          <w:p w14:paraId="53C91B4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Andel av samlede dekkede eiendeler som finansierer taksonomirelevante sektorer (som er omfattet av taksonomien)</w:t>
            </w:r>
          </w:p>
        </w:tc>
        <w:tc>
          <w:tcPr>
            <w:tcW w:w="1824" w:type="dxa"/>
            <w:gridSpan w:val="5"/>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6527FF0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Andel av samlede dekkede eiendeler som finansierer taksonomirelevante sektorer (som er omfattet av taksonomien)</w:t>
            </w:r>
          </w:p>
        </w:tc>
        <w:tc>
          <w:tcPr>
            <w:tcW w:w="1980" w:type="dxa"/>
            <w:gridSpan w:val="7"/>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4A6EBA8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Andel av samlede dekkede eiendeler som finansierer taksonomirelevante sektorer (som er omfattet av taksonomien)</w:t>
            </w:r>
          </w:p>
        </w:tc>
        <w:tc>
          <w:tcPr>
            <w:tcW w:w="420" w:type="dxa"/>
            <w:vMerge w:val="restart"/>
            <w:tcBorders>
              <w:top w:val="single" w:sz="4" w:space="0" w:color="auto"/>
              <w:left w:val="single" w:sz="4" w:space="0" w:color="auto"/>
              <w:right w:val="single" w:sz="4" w:space="0" w:color="auto"/>
            </w:tcBorders>
            <w:shd w:val="clear" w:color="auto" w:fill="FFFFFF"/>
            <w:tcMar>
              <w:top w:w="20" w:type="dxa"/>
              <w:left w:w="40" w:type="dxa"/>
              <w:bottom w:w="20" w:type="dxa"/>
              <w:right w:w="40" w:type="dxa"/>
            </w:tcMar>
            <w:vAlign w:val="center"/>
            <w:hideMark/>
          </w:tcPr>
          <w:p w14:paraId="14F5CB58"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Andel av samlede dekkede eiendeler</w:t>
            </w:r>
          </w:p>
        </w:tc>
      </w:tr>
      <w:tr w:rsidR="00A54846" w14:paraId="4F962BD0" w14:textId="77777777">
        <w:trPr>
          <w:trHeight w:val="140"/>
        </w:trPr>
        <w:tc>
          <w:tcPr>
            <w:tcW w:w="2129" w:type="dxa"/>
            <w:gridSpan w:val="2"/>
            <w:tcBorders>
              <w:top w:val="nil"/>
              <w:left w:val="single" w:sz="4" w:space="0" w:color="auto"/>
              <w:bottom w:val="nil"/>
              <w:right w:val="nil"/>
            </w:tcBorders>
            <w:shd w:val="clear" w:color="auto" w:fill="FFFFFF"/>
            <w:tcMar>
              <w:top w:w="20" w:type="dxa"/>
              <w:left w:w="40" w:type="dxa"/>
              <w:bottom w:w="20" w:type="dxa"/>
              <w:right w:w="40" w:type="dxa"/>
            </w:tcMar>
            <w:vAlign w:val="center"/>
            <w:hideMark/>
          </w:tcPr>
          <w:p w14:paraId="2F687AA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 (i forhold til samlede dekkede eiendeler i nevneren)</w:t>
            </w:r>
          </w:p>
        </w:tc>
        <w:tc>
          <w:tcPr>
            <w:tcW w:w="354" w:type="dxa"/>
            <w:tcBorders>
              <w:top w:val="nil"/>
              <w:left w:val="single" w:sz="4" w:space="0" w:color="auto"/>
              <w:bottom w:val="nil"/>
              <w:right w:val="nil"/>
            </w:tcBorders>
            <w:shd w:val="clear" w:color="auto" w:fill="FFFFFF"/>
            <w:tcMar>
              <w:top w:w="20" w:type="dxa"/>
              <w:left w:w="40" w:type="dxa"/>
              <w:bottom w:w="20" w:type="dxa"/>
              <w:right w:w="40" w:type="dxa"/>
            </w:tcMar>
          </w:tcPr>
          <w:p w14:paraId="56371BE8"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6"/>
                <w:szCs w:val="6"/>
                <w:lang w:bidi="en-US"/>
              </w:rPr>
            </w:pPr>
          </w:p>
        </w:tc>
        <w:tc>
          <w:tcPr>
            <w:tcW w:w="1498" w:type="dxa"/>
            <w:gridSpan w:val="4"/>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1B36840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Andel av samlede dekkede eiendeler som finansierer taksonomirelevante sektorer (taksonomiforenlige)</w:t>
            </w:r>
          </w:p>
        </w:tc>
        <w:tc>
          <w:tcPr>
            <w:tcW w:w="292" w:type="dxa"/>
            <w:gridSpan w:val="2"/>
            <w:tcBorders>
              <w:top w:val="nil"/>
              <w:left w:val="single" w:sz="4" w:space="0" w:color="auto"/>
              <w:bottom w:val="nil"/>
              <w:right w:val="nil"/>
            </w:tcBorders>
            <w:shd w:val="clear" w:color="auto" w:fill="FFFFFF"/>
            <w:tcMar>
              <w:top w:w="20" w:type="dxa"/>
              <w:left w:w="40" w:type="dxa"/>
              <w:bottom w:w="20" w:type="dxa"/>
              <w:right w:w="40" w:type="dxa"/>
            </w:tcMar>
          </w:tcPr>
          <w:p w14:paraId="1574A85D"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6"/>
                <w:szCs w:val="6"/>
                <w:lang w:bidi="en-US"/>
              </w:rPr>
            </w:pPr>
          </w:p>
        </w:tc>
        <w:tc>
          <w:tcPr>
            <w:tcW w:w="1488" w:type="dxa"/>
            <w:gridSpan w:val="4"/>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376BAFC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Andel av samlede dekkede eiendeler som finansierer taksonomirelevante sektorer (taksonomiforenlige)</w:t>
            </w:r>
          </w:p>
        </w:tc>
        <w:tc>
          <w:tcPr>
            <w:tcW w:w="294" w:type="dxa"/>
            <w:gridSpan w:val="2"/>
            <w:tcBorders>
              <w:top w:val="nil"/>
              <w:left w:val="single" w:sz="4" w:space="0" w:color="auto"/>
              <w:bottom w:val="nil"/>
              <w:right w:val="nil"/>
            </w:tcBorders>
            <w:shd w:val="clear" w:color="auto" w:fill="FFFFFF"/>
            <w:tcMar>
              <w:top w:w="20" w:type="dxa"/>
              <w:left w:w="40" w:type="dxa"/>
              <w:bottom w:w="20" w:type="dxa"/>
              <w:right w:w="40" w:type="dxa"/>
            </w:tcMar>
          </w:tcPr>
          <w:p w14:paraId="39427341"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6"/>
                <w:szCs w:val="6"/>
                <w:lang w:bidi="en-US"/>
              </w:rPr>
            </w:pPr>
          </w:p>
        </w:tc>
        <w:tc>
          <w:tcPr>
            <w:tcW w:w="1527" w:type="dxa"/>
            <w:gridSpan w:val="6"/>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454C4CE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Andel av samlede dekkede eiendeler som finansierer taksonomirelevante sektorer (taksonomiforenlige)</w:t>
            </w:r>
          </w:p>
        </w:tc>
        <w:tc>
          <w:tcPr>
            <w:tcW w:w="491" w:type="dxa"/>
            <w:gridSpan w:val="2"/>
            <w:vMerge/>
            <w:tcBorders>
              <w:left w:val="single" w:sz="4" w:space="0" w:color="auto"/>
              <w:right w:val="nil"/>
            </w:tcBorders>
            <w:vAlign w:val="center"/>
            <w:hideMark/>
          </w:tcPr>
          <w:p w14:paraId="1B2FB81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2" w:type="dxa"/>
            <w:tcBorders>
              <w:top w:val="nil"/>
              <w:left w:val="single" w:sz="4" w:space="0" w:color="auto"/>
              <w:bottom w:val="nil"/>
              <w:right w:val="nil"/>
            </w:tcBorders>
            <w:shd w:val="clear" w:color="auto" w:fill="FFFFFF"/>
            <w:tcMar>
              <w:top w:w="20" w:type="dxa"/>
              <w:left w:w="40" w:type="dxa"/>
              <w:bottom w:w="20" w:type="dxa"/>
              <w:right w:w="40" w:type="dxa"/>
            </w:tcMar>
          </w:tcPr>
          <w:p w14:paraId="10B58F8A"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6"/>
                <w:szCs w:val="6"/>
                <w:lang w:bidi="en-US"/>
              </w:rPr>
            </w:pPr>
          </w:p>
        </w:tc>
        <w:tc>
          <w:tcPr>
            <w:tcW w:w="1409" w:type="dxa"/>
            <w:gridSpan w:val="6"/>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2050646C"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Andel av samlede dekkede eiendeler som finansierer taksonomirelevante sektorer (taksonomiforenlige)</w:t>
            </w:r>
          </w:p>
        </w:tc>
        <w:tc>
          <w:tcPr>
            <w:tcW w:w="288" w:type="dxa"/>
            <w:tcBorders>
              <w:top w:val="nil"/>
              <w:left w:val="single" w:sz="4" w:space="0" w:color="auto"/>
              <w:bottom w:val="nil"/>
              <w:right w:val="nil"/>
            </w:tcBorders>
            <w:shd w:val="clear" w:color="auto" w:fill="FFFFFF"/>
            <w:tcMar>
              <w:top w:w="20" w:type="dxa"/>
              <w:left w:w="40" w:type="dxa"/>
              <w:bottom w:w="20" w:type="dxa"/>
              <w:right w:w="40" w:type="dxa"/>
            </w:tcMar>
          </w:tcPr>
          <w:p w14:paraId="47293B0E"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6"/>
                <w:szCs w:val="6"/>
                <w:lang w:bidi="en-US"/>
              </w:rPr>
            </w:pPr>
          </w:p>
        </w:tc>
        <w:tc>
          <w:tcPr>
            <w:tcW w:w="1536" w:type="dxa"/>
            <w:gridSpan w:val="4"/>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13CB6E4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Andel av samlede dekkede eiendeler som finansierer taksonomirelevante sektorer (taksonomiforenlige)</w:t>
            </w:r>
          </w:p>
        </w:tc>
        <w:tc>
          <w:tcPr>
            <w:tcW w:w="288" w:type="dxa"/>
            <w:tcBorders>
              <w:top w:val="nil"/>
              <w:left w:val="single" w:sz="4" w:space="0" w:color="auto"/>
              <w:bottom w:val="nil"/>
              <w:right w:val="nil"/>
            </w:tcBorders>
            <w:shd w:val="clear" w:color="auto" w:fill="FFFFFF"/>
            <w:tcMar>
              <w:top w:w="20" w:type="dxa"/>
              <w:left w:w="40" w:type="dxa"/>
              <w:bottom w:w="20" w:type="dxa"/>
              <w:right w:w="40" w:type="dxa"/>
            </w:tcMar>
          </w:tcPr>
          <w:p w14:paraId="7E52DD6D"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6"/>
                <w:szCs w:val="6"/>
                <w:lang w:bidi="en-US"/>
              </w:rPr>
            </w:pPr>
          </w:p>
        </w:tc>
        <w:tc>
          <w:tcPr>
            <w:tcW w:w="1692" w:type="dxa"/>
            <w:gridSpan w:val="6"/>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4C05A8E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Andel av samlede dekkede eiendeler som finansierer taksonomirelevante sektorer (taksonomiforenlige)</w:t>
            </w:r>
          </w:p>
        </w:tc>
        <w:tc>
          <w:tcPr>
            <w:tcW w:w="420" w:type="dxa"/>
            <w:vMerge/>
            <w:tcBorders>
              <w:left w:val="single" w:sz="4" w:space="0" w:color="auto"/>
              <w:right w:val="single" w:sz="4" w:space="0" w:color="auto"/>
            </w:tcBorders>
            <w:vAlign w:val="center"/>
            <w:hideMark/>
          </w:tcPr>
          <w:p w14:paraId="102DFED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r>
      <w:tr w:rsidR="00A54846" w14:paraId="35194F81" w14:textId="77777777">
        <w:trPr>
          <w:trHeight w:val="216"/>
        </w:trPr>
        <w:tc>
          <w:tcPr>
            <w:tcW w:w="2129" w:type="dxa"/>
            <w:gridSpan w:val="2"/>
            <w:tcBorders>
              <w:top w:val="nil"/>
              <w:left w:val="single" w:sz="4" w:space="0" w:color="auto"/>
              <w:bottom w:val="nil"/>
              <w:right w:val="nil"/>
            </w:tcBorders>
            <w:shd w:val="clear" w:color="auto" w:fill="FFFFFF"/>
            <w:tcMar>
              <w:top w:w="20" w:type="dxa"/>
              <w:left w:w="40" w:type="dxa"/>
              <w:bottom w:w="20" w:type="dxa"/>
              <w:right w:w="40" w:type="dxa"/>
            </w:tcMar>
          </w:tcPr>
          <w:p w14:paraId="4F1B9CC2"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6"/>
                <w:szCs w:val="6"/>
                <w:lang w:bidi="en-US"/>
              </w:rPr>
            </w:pPr>
          </w:p>
        </w:tc>
        <w:tc>
          <w:tcPr>
            <w:tcW w:w="354" w:type="dxa"/>
            <w:tcBorders>
              <w:top w:val="nil"/>
              <w:left w:val="single" w:sz="4" w:space="0" w:color="auto"/>
              <w:bottom w:val="nil"/>
              <w:right w:val="nil"/>
            </w:tcBorders>
            <w:shd w:val="clear" w:color="auto" w:fill="FFFFFF"/>
            <w:tcMar>
              <w:top w:w="20" w:type="dxa"/>
              <w:left w:w="40" w:type="dxa"/>
              <w:bottom w:w="20" w:type="dxa"/>
              <w:right w:w="40" w:type="dxa"/>
            </w:tcMar>
          </w:tcPr>
          <w:p w14:paraId="7159A247"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6"/>
                <w:szCs w:val="6"/>
                <w:lang w:bidi="en-US"/>
              </w:rPr>
            </w:pPr>
          </w:p>
        </w:tc>
        <w:tc>
          <w:tcPr>
            <w:tcW w:w="318" w:type="dxa"/>
            <w:tcBorders>
              <w:top w:val="nil"/>
              <w:left w:val="single" w:sz="4" w:space="0" w:color="auto"/>
              <w:bottom w:val="nil"/>
              <w:right w:val="nil"/>
            </w:tcBorders>
            <w:shd w:val="clear" w:color="auto" w:fill="FFFFFF"/>
            <w:tcMar>
              <w:top w:w="20" w:type="dxa"/>
              <w:left w:w="40" w:type="dxa"/>
              <w:bottom w:w="20" w:type="dxa"/>
              <w:right w:w="40" w:type="dxa"/>
            </w:tcMar>
          </w:tcPr>
          <w:p w14:paraId="16B37BE6"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6"/>
                <w:szCs w:val="6"/>
                <w:lang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7EA4F500"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lån for spesielle formål</w:t>
            </w:r>
          </w:p>
        </w:tc>
        <w:tc>
          <w:tcPr>
            <w:tcW w:w="41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19580806"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omstilling</w:t>
            </w:r>
          </w:p>
        </w:tc>
        <w:tc>
          <w:tcPr>
            <w:tcW w:w="365"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61388DF1" w14:textId="16E4862C"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mulig</w:t>
            </w:r>
            <w:r w:rsidR="005B4732">
              <w:rPr>
                <w:rFonts w:ascii="Helvetica" w:hAnsi="Helvetica"/>
                <w:color w:val="000000"/>
                <w:sz w:val="6"/>
              </w:rPr>
              <w:softHyphen/>
            </w:r>
            <w:r>
              <w:rPr>
                <w:rFonts w:ascii="Helvetica" w:hAnsi="Helvetica"/>
                <w:color w:val="000000"/>
                <w:sz w:val="6"/>
              </w:rPr>
              <w:t>gjørende</w:t>
            </w:r>
          </w:p>
        </w:tc>
        <w:tc>
          <w:tcPr>
            <w:tcW w:w="292" w:type="dxa"/>
            <w:gridSpan w:val="2"/>
            <w:tcBorders>
              <w:top w:val="nil"/>
              <w:left w:val="single" w:sz="4" w:space="0" w:color="auto"/>
              <w:bottom w:val="nil"/>
              <w:right w:val="nil"/>
            </w:tcBorders>
            <w:shd w:val="clear" w:color="auto" w:fill="FFFFFF"/>
            <w:tcMar>
              <w:top w:w="20" w:type="dxa"/>
              <w:left w:w="40" w:type="dxa"/>
              <w:bottom w:w="20" w:type="dxa"/>
              <w:right w:w="40" w:type="dxa"/>
            </w:tcMar>
            <w:vAlign w:val="center"/>
          </w:tcPr>
          <w:p w14:paraId="51AA467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nil"/>
              <w:left w:val="single" w:sz="4" w:space="0" w:color="auto"/>
              <w:bottom w:val="nil"/>
              <w:right w:val="nil"/>
            </w:tcBorders>
            <w:shd w:val="clear" w:color="auto" w:fill="FFFFFF"/>
            <w:tcMar>
              <w:top w:w="20" w:type="dxa"/>
              <w:left w:w="40" w:type="dxa"/>
              <w:bottom w:w="20" w:type="dxa"/>
              <w:right w:w="40" w:type="dxa"/>
            </w:tcMar>
            <w:vAlign w:val="center"/>
          </w:tcPr>
          <w:p w14:paraId="0C5F37D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3BEE6523"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lån for spesielle formål</w:t>
            </w:r>
          </w:p>
        </w:tc>
        <w:tc>
          <w:tcPr>
            <w:tcW w:w="429"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43AAB95F"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omstilling</w:t>
            </w:r>
          </w:p>
        </w:tc>
        <w:tc>
          <w:tcPr>
            <w:tcW w:w="355"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07963A32" w14:textId="57FBF770"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mulig</w:t>
            </w:r>
            <w:r w:rsidR="005B4732">
              <w:rPr>
                <w:rFonts w:ascii="Helvetica" w:hAnsi="Helvetica"/>
                <w:color w:val="000000"/>
                <w:sz w:val="6"/>
              </w:rPr>
              <w:softHyphen/>
            </w:r>
            <w:r>
              <w:rPr>
                <w:rFonts w:ascii="Helvetica" w:hAnsi="Helvetica"/>
                <w:color w:val="000000"/>
                <w:sz w:val="6"/>
              </w:rPr>
              <w:t>gjørende</w:t>
            </w:r>
          </w:p>
        </w:tc>
        <w:tc>
          <w:tcPr>
            <w:tcW w:w="294" w:type="dxa"/>
            <w:gridSpan w:val="2"/>
            <w:tcBorders>
              <w:top w:val="nil"/>
              <w:left w:val="single" w:sz="4" w:space="0" w:color="auto"/>
              <w:bottom w:val="nil"/>
              <w:right w:val="nil"/>
            </w:tcBorders>
            <w:shd w:val="clear" w:color="auto" w:fill="FFFFFF"/>
            <w:tcMar>
              <w:top w:w="20" w:type="dxa"/>
              <w:left w:w="40" w:type="dxa"/>
              <w:bottom w:w="20" w:type="dxa"/>
              <w:right w:w="40" w:type="dxa"/>
            </w:tcMar>
            <w:vAlign w:val="center"/>
          </w:tcPr>
          <w:p w14:paraId="29434AF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nil"/>
              <w:left w:val="single" w:sz="4" w:space="0" w:color="auto"/>
              <w:bottom w:val="nil"/>
              <w:right w:val="nil"/>
            </w:tcBorders>
            <w:shd w:val="clear" w:color="auto" w:fill="FFFFFF"/>
            <w:tcMar>
              <w:top w:w="20" w:type="dxa"/>
              <w:left w:w="40" w:type="dxa"/>
              <w:bottom w:w="20" w:type="dxa"/>
              <w:right w:w="40" w:type="dxa"/>
            </w:tcMar>
            <w:vAlign w:val="center"/>
          </w:tcPr>
          <w:p w14:paraId="15A06F9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46E545ED"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lån for spesielle formål</w:t>
            </w:r>
          </w:p>
        </w:tc>
        <w:tc>
          <w:tcPr>
            <w:tcW w:w="425"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64B861AC"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omstilling</w:t>
            </w:r>
          </w:p>
        </w:tc>
        <w:tc>
          <w:tcPr>
            <w:tcW w:w="349"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1087F5C1" w14:textId="7850590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mulig</w:t>
            </w:r>
            <w:r w:rsidR="005B4732">
              <w:rPr>
                <w:rFonts w:ascii="Helvetica" w:hAnsi="Helvetica"/>
                <w:color w:val="000000"/>
                <w:sz w:val="6"/>
              </w:rPr>
              <w:softHyphen/>
            </w:r>
            <w:r>
              <w:rPr>
                <w:rFonts w:ascii="Helvetica" w:hAnsi="Helvetica"/>
                <w:color w:val="000000"/>
                <w:sz w:val="6"/>
              </w:rPr>
              <w:t>gjørende</w:t>
            </w:r>
          </w:p>
        </w:tc>
        <w:tc>
          <w:tcPr>
            <w:tcW w:w="491" w:type="dxa"/>
            <w:gridSpan w:val="2"/>
            <w:vMerge/>
            <w:tcBorders>
              <w:left w:val="single" w:sz="4" w:space="0" w:color="auto"/>
              <w:bottom w:val="nil"/>
              <w:right w:val="nil"/>
            </w:tcBorders>
            <w:vAlign w:val="center"/>
            <w:hideMark/>
          </w:tcPr>
          <w:p w14:paraId="4AEBA0A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nil"/>
              <w:left w:val="single" w:sz="4" w:space="0" w:color="auto"/>
              <w:bottom w:val="nil"/>
              <w:right w:val="nil"/>
            </w:tcBorders>
            <w:shd w:val="clear" w:color="auto" w:fill="FFFFFF"/>
            <w:tcMar>
              <w:top w:w="20" w:type="dxa"/>
              <w:left w:w="40" w:type="dxa"/>
              <w:bottom w:w="20" w:type="dxa"/>
              <w:right w:w="40" w:type="dxa"/>
            </w:tcMar>
            <w:vAlign w:val="center"/>
          </w:tcPr>
          <w:p w14:paraId="4C7F726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nil"/>
              <w:left w:val="single" w:sz="4" w:space="0" w:color="auto"/>
              <w:bottom w:val="nil"/>
              <w:right w:val="nil"/>
            </w:tcBorders>
            <w:shd w:val="clear" w:color="auto" w:fill="FFFFFF"/>
            <w:tcMar>
              <w:top w:w="20" w:type="dxa"/>
              <w:left w:w="40" w:type="dxa"/>
              <w:bottom w:w="20" w:type="dxa"/>
              <w:right w:w="40" w:type="dxa"/>
            </w:tcMar>
            <w:vAlign w:val="center"/>
          </w:tcPr>
          <w:p w14:paraId="5054885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55FEA6C0"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utlån</w:t>
            </w:r>
          </w:p>
        </w:tc>
        <w:tc>
          <w:tcPr>
            <w:tcW w:w="39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25500259"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omstilling</w:t>
            </w:r>
          </w:p>
        </w:tc>
        <w:tc>
          <w:tcPr>
            <w:tcW w:w="370"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0976C7B5" w14:textId="3D745D7A"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mulig</w:t>
            </w:r>
            <w:r w:rsidR="005B4732">
              <w:rPr>
                <w:rFonts w:ascii="Helvetica" w:hAnsi="Helvetica"/>
                <w:color w:val="000000"/>
                <w:sz w:val="6"/>
              </w:rPr>
              <w:softHyphen/>
            </w:r>
            <w:r>
              <w:rPr>
                <w:rFonts w:ascii="Helvetica" w:hAnsi="Helvetica"/>
                <w:color w:val="000000"/>
                <w:sz w:val="6"/>
              </w:rPr>
              <w:t>gjørende</w:t>
            </w:r>
          </w:p>
        </w:tc>
        <w:tc>
          <w:tcPr>
            <w:tcW w:w="288" w:type="dxa"/>
            <w:tcBorders>
              <w:top w:val="nil"/>
              <w:left w:val="single" w:sz="4" w:space="0" w:color="auto"/>
              <w:bottom w:val="nil"/>
              <w:right w:val="nil"/>
            </w:tcBorders>
            <w:shd w:val="clear" w:color="auto" w:fill="FFFFFF"/>
            <w:tcMar>
              <w:top w:w="20" w:type="dxa"/>
              <w:left w:w="40" w:type="dxa"/>
              <w:bottom w:w="20" w:type="dxa"/>
              <w:right w:w="40" w:type="dxa"/>
            </w:tcMar>
            <w:vAlign w:val="center"/>
          </w:tcPr>
          <w:p w14:paraId="2CD8272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nil"/>
              <w:left w:val="single" w:sz="4" w:space="0" w:color="auto"/>
              <w:bottom w:val="nil"/>
              <w:right w:val="nil"/>
            </w:tcBorders>
            <w:shd w:val="clear" w:color="auto" w:fill="FFFFFF"/>
            <w:tcMar>
              <w:top w:w="20" w:type="dxa"/>
              <w:left w:w="40" w:type="dxa"/>
              <w:bottom w:w="20" w:type="dxa"/>
              <w:right w:w="40" w:type="dxa"/>
            </w:tcMar>
            <w:vAlign w:val="center"/>
          </w:tcPr>
          <w:p w14:paraId="7B629FB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11961131"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lån for spesielle formål</w:t>
            </w:r>
          </w:p>
        </w:tc>
        <w:tc>
          <w:tcPr>
            <w:tcW w:w="40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451E32E2"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omstilling</w:t>
            </w:r>
          </w:p>
        </w:tc>
        <w:tc>
          <w:tcPr>
            <w:tcW w:w="40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3292D6C7" w14:textId="3432D595"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mulig</w:t>
            </w:r>
            <w:r w:rsidR="005B4732">
              <w:rPr>
                <w:rFonts w:ascii="Helvetica" w:hAnsi="Helvetica"/>
                <w:color w:val="000000"/>
                <w:sz w:val="6"/>
              </w:rPr>
              <w:softHyphen/>
            </w:r>
            <w:r>
              <w:rPr>
                <w:rFonts w:ascii="Helvetica" w:hAnsi="Helvetica"/>
                <w:color w:val="000000"/>
                <w:sz w:val="6"/>
              </w:rPr>
              <w:t>gjørende</w:t>
            </w:r>
          </w:p>
        </w:tc>
        <w:tc>
          <w:tcPr>
            <w:tcW w:w="288" w:type="dxa"/>
            <w:tcBorders>
              <w:top w:val="nil"/>
              <w:left w:val="single" w:sz="4" w:space="0" w:color="auto"/>
              <w:bottom w:val="nil"/>
              <w:right w:val="nil"/>
            </w:tcBorders>
            <w:shd w:val="clear" w:color="auto" w:fill="FFFFFF"/>
            <w:tcMar>
              <w:top w:w="20" w:type="dxa"/>
              <w:left w:w="40" w:type="dxa"/>
              <w:bottom w:w="20" w:type="dxa"/>
              <w:right w:w="40" w:type="dxa"/>
            </w:tcMar>
            <w:vAlign w:val="center"/>
          </w:tcPr>
          <w:p w14:paraId="46465F7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nil"/>
              <w:left w:val="single" w:sz="4" w:space="0" w:color="auto"/>
              <w:bottom w:val="nil"/>
              <w:right w:val="nil"/>
            </w:tcBorders>
            <w:shd w:val="clear" w:color="auto" w:fill="FFFFFF"/>
            <w:tcMar>
              <w:top w:w="20" w:type="dxa"/>
              <w:left w:w="40" w:type="dxa"/>
              <w:bottom w:w="20" w:type="dxa"/>
              <w:right w:w="40" w:type="dxa"/>
            </w:tcMar>
            <w:vAlign w:val="center"/>
          </w:tcPr>
          <w:p w14:paraId="14CA3E6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2DC83F19"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lån for spesielle formål</w:t>
            </w:r>
          </w:p>
        </w:tc>
        <w:tc>
          <w:tcPr>
            <w:tcW w:w="396" w:type="dxa"/>
            <w:gridSpan w:val="2"/>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76296178"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omstilling</w:t>
            </w:r>
          </w:p>
        </w:tc>
        <w:tc>
          <w:tcPr>
            <w:tcW w:w="39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2C8D2C0F" w14:textId="1D387AD1" w:rsidR="00A54846" w:rsidRDefault="008A2731">
            <w:pPr>
              <w:widowControl w:val="0"/>
              <w:shd w:val="clear" w:color="auto" w:fill="auto"/>
              <w:spacing w:after="0" w:line="240" w:lineRule="auto"/>
              <w:jc w:val="left"/>
              <w:rPr>
                <w:rFonts w:ascii="Helvetica" w:eastAsia="Arial Unicode MS" w:hAnsi="Helvetica" w:cs="Arial Unicode MS"/>
                <w:color w:val="000000"/>
                <w:sz w:val="6"/>
                <w:szCs w:val="6"/>
              </w:rPr>
            </w:pPr>
            <w:r>
              <w:rPr>
                <w:rFonts w:ascii="Helvetica" w:hAnsi="Helvetica"/>
                <w:color w:val="000000"/>
                <w:sz w:val="6"/>
              </w:rPr>
              <w:t>Hvorav mulig</w:t>
            </w:r>
            <w:r w:rsidR="005B4732">
              <w:rPr>
                <w:rFonts w:ascii="Helvetica" w:hAnsi="Helvetica"/>
                <w:color w:val="000000"/>
                <w:sz w:val="6"/>
              </w:rPr>
              <w:softHyphen/>
            </w:r>
            <w:r>
              <w:rPr>
                <w:rFonts w:ascii="Helvetica" w:hAnsi="Helvetica"/>
                <w:color w:val="000000"/>
                <w:sz w:val="6"/>
              </w:rPr>
              <w:t>gjørende</w:t>
            </w:r>
          </w:p>
        </w:tc>
        <w:tc>
          <w:tcPr>
            <w:tcW w:w="420" w:type="dxa"/>
            <w:vMerge/>
            <w:tcBorders>
              <w:left w:val="single" w:sz="4" w:space="0" w:color="auto"/>
              <w:bottom w:val="nil"/>
              <w:right w:val="single" w:sz="4" w:space="0" w:color="auto"/>
            </w:tcBorders>
            <w:vAlign w:val="center"/>
            <w:hideMark/>
          </w:tcPr>
          <w:p w14:paraId="3EE011D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3B4332C1"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270BDF0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1</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0D770CB9" w14:textId="77777777" w:rsidR="00A54846" w:rsidRDefault="008A2731">
            <w:pPr>
              <w:widowControl w:val="0"/>
              <w:shd w:val="clear" w:color="auto" w:fill="auto"/>
              <w:spacing w:after="0" w:line="240" w:lineRule="auto"/>
              <w:jc w:val="left"/>
              <w:rPr>
                <w:rFonts w:ascii="Helvetica" w:eastAsia="Arial Unicode MS" w:hAnsi="Helvetica" w:cs="Arial Unicode MS"/>
                <w:b/>
                <w:color w:val="000000"/>
                <w:sz w:val="6"/>
                <w:szCs w:val="6"/>
                <w:u w:val="single"/>
              </w:rPr>
            </w:pPr>
            <w:r>
              <w:rPr>
                <w:rFonts w:ascii="Helvetica" w:hAnsi="Helvetica"/>
                <w:b/>
                <w:color w:val="000000"/>
                <w:sz w:val="6"/>
                <w:u w:val="single"/>
              </w:rPr>
              <w:t>GAR – dekkede eiendeler i både teller og nevner</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B2FC32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25DFCD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AB8B55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B12B00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6F74D4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85BEBF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97745E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FC1A87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368357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FD71EF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ACAFD2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85EE02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ACA960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8EA848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7EAFDC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D172AE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CD6288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EDC9A0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00CFA9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CF6782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66C4F5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42C173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A8380A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1EC7C0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85F438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9AE7F3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532D6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001D31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10CBB6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07E3D5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0484D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2669934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r>
      <w:tr w:rsidR="00A54846" w14:paraId="59C9BDE6" w14:textId="77777777">
        <w:trPr>
          <w:trHeight w:val="140"/>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1BFEDF8C"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2</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1BD2B1A3" w14:textId="77777777" w:rsidR="00A54846" w:rsidRDefault="008A2731">
            <w:pPr>
              <w:widowControl w:val="0"/>
              <w:shd w:val="clear" w:color="auto" w:fill="auto"/>
              <w:spacing w:after="0" w:line="240" w:lineRule="auto"/>
              <w:ind w:left="40"/>
              <w:jc w:val="left"/>
              <w:rPr>
                <w:rFonts w:ascii="Helvetica" w:eastAsia="Arial Unicode MS" w:hAnsi="Helvetica" w:cs="Arial Unicode MS"/>
                <w:color w:val="000000"/>
                <w:sz w:val="6"/>
                <w:szCs w:val="6"/>
              </w:rPr>
            </w:pPr>
            <w:r>
              <w:rPr>
                <w:rFonts w:ascii="Helvetica" w:hAnsi="Helvetica"/>
                <w:color w:val="000000"/>
                <w:sz w:val="6"/>
              </w:rPr>
              <w:t>Lån og forskudd, gjeldsinstrumenter og egenkapitalinstrumenter som ikke innehas for handelsformål, og som inngår i beregningen av GAR</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CF5816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171EEF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AE9232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CF6ED5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7FB9F0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B0FF45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E1E1EB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48D8CF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56630A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C647A3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5B14ED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E2A9D9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3ECA3F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85BFD9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C1CA48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1DFE57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573090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92F3D7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456073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35F0AD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030AA3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5FF937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8CA1E9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D0379B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9604D0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E78A5B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57A4DF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00D2F6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4E0713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164FD7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A5B881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548051A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r>
      <w:tr w:rsidR="00A54846" w14:paraId="25557225" w14:textId="77777777">
        <w:trPr>
          <w:trHeight w:val="76"/>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2B8703E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3</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75ADD5F0" w14:textId="77777777" w:rsidR="00A54846" w:rsidRDefault="008A2731">
            <w:pPr>
              <w:widowControl w:val="0"/>
              <w:shd w:val="clear" w:color="auto" w:fill="auto"/>
              <w:spacing w:after="0" w:line="240" w:lineRule="auto"/>
              <w:ind w:left="120"/>
              <w:jc w:val="left"/>
              <w:rPr>
                <w:rFonts w:ascii="Helvetica" w:eastAsia="Arial Unicode MS" w:hAnsi="Helvetica" w:cs="Arial Unicode MS"/>
                <w:b/>
                <w:color w:val="000000"/>
                <w:sz w:val="6"/>
                <w:szCs w:val="6"/>
              </w:rPr>
            </w:pPr>
            <w:r>
              <w:rPr>
                <w:rFonts w:ascii="Helvetica" w:hAnsi="Helvetica"/>
                <w:b/>
                <w:color w:val="000000"/>
                <w:sz w:val="6"/>
              </w:rPr>
              <w:t>Finansielle foretak</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8F53F4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389D15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930360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99521A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937DFB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F8EABE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F66764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8D4005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81F050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9114A3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759FEC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2909C8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0D16DF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D735EF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E0DF35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83DBF8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3EA67B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29A2CC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FB5935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3E1FC1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F90105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4D080B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DE80BB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A16F7C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E2D386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7D9CBD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96CE93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23AD59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620E51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7005D2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40329F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786DBF6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071E63C3"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5A08BC1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4</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1C24EFF0" w14:textId="77777777" w:rsidR="00A54846" w:rsidRDefault="008A2731">
            <w:pPr>
              <w:widowControl w:val="0"/>
              <w:shd w:val="clear" w:color="auto" w:fill="auto"/>
              <w:spacing w:after="0" w:line="240" w:lineRule="auto"/>
              <w:ind w:left="160"/>
              <w:jc w:val="left"/>
              <w:rPr>
                <w:rFonts w:ascii="Helvetica" w:eastAsia="Arial Unicode MS" w:hAnsi="Helvetica" w:cs="Arial Unicode MS"/>
                <w:color w:val="000000"/>
                <w:sz w:val="6"/>
                <w:szCs w:val="6"/>
              </w:rPr>
            </w:pPr>
            <w:r>
              <w:rPr>
                <w:rFonts w:ascii="Helvetica" w:hAnsi="Helvetica"/>
                <w:color w:val="000000"/>
                <w:sz w:val="6"/>
              </w:rPr>
              <w:t>Kredittinstitusjoner</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015906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651541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914220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469D29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AC19EB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0F37A1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79EF45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8103B0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1B4F60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64E26E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F37620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AB7BB6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59CF54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17A414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A26A87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818CF9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AE1AEB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EF7DBB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5B61C9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67447A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5ED368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85255C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9B1809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9A018A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DDD62D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1253B6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C64B6D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EC6F01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0F616C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BD4710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0014E9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0D300AE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48B8100C" w14:textId="77777777">
        <w:trPr>
          <w:trHeight w:val="76"/>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33E5D348"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5</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12E747C7"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Lån og forskudd</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DB94FD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939E8C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1DA471D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8B0F50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7B46A1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F57448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1EBF9A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4D47D9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E1E29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2BFA80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D9F073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8E4928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3D7600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88BAB8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1415DA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3B274D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038ECD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2E1D4C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CADDC9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4F4936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5C89F2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C8D895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CDB562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584036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482A6C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34635B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7881B4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B8C470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F8E445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FDFB0A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389506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05DEA04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7D43EAD9"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584C7C0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6</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093F8A1E"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Gjeldsinstrumenter, herunder bruk av proveny</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5A2456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1D4CD26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730F21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BC538E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8258F4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3F64C9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AE526E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411606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9AC210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B7B68D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8732BB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56123A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AA1E0D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F3C494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6D46EF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EB2578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AD455F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EF2DDF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3A22A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F51078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299FD2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8910BA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F7984C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3E872A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4"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27845EB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C31923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4C2AFE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BE40B8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69B6AF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6" w:type="dxa"/>
            <w:gridSpan w:val="2"/>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7362C07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E7FA84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72673AB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r>
      <w:tr w:rsidR="00A54846" w14:paraId="5558E935" w14:textId="77777777">
        <w:trPr>
          <w:trHeight w:val="76"/>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3195708F"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7</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4D0BDCD0"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Egenkapitalinstrumenter</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B23009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8DB53D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12C198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53DD03C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0E69CB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A16235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E57AAA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43AE33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722CB72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87B807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4FCA76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BAF078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4C0186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78755C9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96E150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F287C7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F3C98E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2C3D44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DB37E5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5A027B3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C3DD2E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AD0032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9154A2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0CA9E5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82990A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D9E313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8D3558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E845B7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6B55B5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67CF4A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2C2E71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3A2916B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569B33A2"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4EF76CB8"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8</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0512C037" w14:textId="77777777" w:rsidR="00A54846" w:rsidRDefault="008A2731">
            <w:pPr>
              <w:widowControl w:val="0"/>
              <w:shd w:val="clear" w:color="auto" w:fill="auto"/>
              <w:spacing w:after="0" w:line="240" w:lineRule="auto"/>
              <w:ind w:left="160"/>
              <w:jc w:val="left"/>
              <w:rPr>
                <w:rFonts w:ascii="Helvetica" w:eastAsia="Arial Unicode MS" w:hAnsi="Helvetica" w:cs="Arial Unicode MS"/>
                <w:color w:val="000000"/>
                <w:sz w:val="6"/>
                <w:szCs w:val="6"/>
              </w:rPr>
            </w:pPr>
            <w:r>
              <w:rPr>
                <w:rFonts w:ascii="Helvetica" w:hAnsi="Helvetica"/>
                <w:color w:val="000000"/>
                <w:sz w:val="6"/>
              </w:rPr>
              <w:t>Andre finansielle foretak</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B64AAA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1FF312F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B2A9EB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D16986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6E2B3A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21261D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401E9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4E35F0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1C0677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D4EA36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CDFE92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50080A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F54F17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8C152A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B8CAF6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F30E67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20749E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CAB5D3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522E9B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76C947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B88F05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F7972F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13CC95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4051DC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354D31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8329A6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85A501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BBF40B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321CB4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2810C4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BC01E2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0451F11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6CF16796" w14:textId="77777777">
        <w:trPr>
          <w:trHeight w:val="76"/>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1B18A8B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9</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1C0E412A"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hvorav verdipapirforetak</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9E6AE5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1BA2CE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E59345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F3AD88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F92BAB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B1102E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6AA03C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35FE6C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126037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A5FC08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669BBC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155BF1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190FAF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1F8001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228349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B76749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A62FE9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2CD18D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13F600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753B78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1B55FE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62C3BC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9FD9FF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1EE0DA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48DF07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44F05A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698E4C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28CC17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CE5D32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7E28DD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967F83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14AA865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09B74B95"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041FE27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10</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564014E5" w14:textId="77777777" w:rsidR="00A54846" w:rsidRDefault="008A2731">
            <w:pPr>
              <w:widowControl w:val="0"/>
              <w:shd w:val="clear" w:color="auto" w:fill="auto"/>
              <w:spacing w:after="0" w:line="240" w:lineRule="auto"/>
              <w:ind w:left="260"/>
              <w:jc w:val="left"/>
              <w:rPr>
                <w:rFonts w:ascii="Helvetica" w:eastAsia="Arial Unicode MS" w:hAnsi="Helvetica" w:cs="Arial Unicode MS"/>
                <w:color w:val="000000"/>
                <w:sz w:val="6"/>
                <w:szCs w:val="6"/>
              </w:rPr>
            </w:pPr>
            <w:r>
              <w:rPr>
                <w:rFonts w:ascii="Helvetica" w:hAnsi="Helvetica"/>
                <w:color w:val="000000"/>
                <w:sz w:val="6"/>
              </w:rPr>
              <w:t>Lån og forskudd</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36E865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2244F5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605463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363F5C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CD819D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963814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963618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4A13EA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8EC5E0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EDF636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AF5E0E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5C1E06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9C9904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4B0BF9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BB409B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4E5419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A1219B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37175D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2C2BCA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3CD378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2D8FBF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947AB4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D823CC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86349E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41817E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B5A276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CA75C0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B81A9A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855EE9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3AEF3E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9D048E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068A7BA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7D66E24F" w14:textId="77777777">
        <w:trPr>
          <w:trHeight w:val="76"/>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57DB3B4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11</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107E6D83"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Gjeldsinstrumenter, herunder bruk av proveny</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D3BF61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05C660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3C2478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F3EAFA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2E4861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3F7CDB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49C687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F5F519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6C959C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5861E4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54474B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E3E720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CA9B02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4D72BF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DBFA41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C06C0A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A19864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0415A2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62CC73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EE3472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02E33A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7818C2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FEB7EC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86A74D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712892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D242D4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FE9D8A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929730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62ED71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DFF723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BCE6DE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695BAF7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r>
      <w:tr w:rsidR="00A54846" w14:paraId="64BF7B9F"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6F04E37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12</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299816BE" w14:textId="77777777" w:rsidR="00A54846" w:rsidRDefault="008A2731">
            <w:pPr>
              <w:widowControl w:val="0"/>
              <w:shd w:val="clear" w:color="auto" w:fill="auto"/>
              <w:spacing w:after="0" w:line="240" w:lineRule="auto"/>
              <w:ind w:left="260"/>
              <w:jc w:val="left"/>
              <w:rPr>
                <w:rFonts w:ascii="Helvetica" w:eastAsia="Arial Unicode MS" w:hAnsi="Helvetica" w:cs="Arial Unicode MS"/>
                <w:color w:val="000000"/>
                <w:sz w:val="6"/>
                <w:szCs w:val="6"/>
              </w:rPr>
            </w:pPr>
            <w:r>
              <w:rPr>
                <w:rFonts w:ascii="Helvetica" w:hAnsi="Helvetica"/>
                <w:color w:val="000000"/>
                <w:sz w:val="6"/>
              </w:rPr>
              <w:t>Egenkapitalinstrumenter</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AAD32E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18633A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479BF2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0DA626E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A2E9A6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8E5FCE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A24904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7BEA8A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38594B3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4A64A9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A87D6F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84DF12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12A67C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52DCE12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EB5E85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3A0054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CF6AE4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E89034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94FB60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6207E2D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396554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9536D3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0910B8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774174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4BACF0F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4A4A06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AAA482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19E53C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202180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0560605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D5CD25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4CFEC45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0C7288BC" w14:textId="77777777">
        <w:trPr>
          <w:trHeight w:val="76"/>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20F6752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13</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29FA2733"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hvorav forvaltningsselskaper</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CBE9FE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80A1D1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70BCF7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B2280E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5B7661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7D49A8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23A32B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DB9983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4112CC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1EEB97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E4EADE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B733BE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ECD1E6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E140BF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21BE58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3428F3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B7C288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52BF28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203E7F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AE65D5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297F3C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A6FFEF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5955C9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E0DE74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6F0B6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D1447B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E0F988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75B98F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006E88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4129B5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8DE49D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02C2F66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22093892"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20F44F3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14</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578EF2CA" w14:textId="77777777" w:rsidR="00A54846" w:rsidRDefault="008A2731">
            <w:pPr>
              <w:widowControl w:val="0"/>
              <w:shd w:val="clear" w:color="auto" w:fill="auto"/>
              <w:spacing w:after="0" w:line="240" w:lineRule="auto"/>
              <w:ind w:left="260"/>
              <w:jc w:val="left"/>
              <w:rPr>
                <w:rFonts w:ascii="Helvetica" w:eastAsia="Arial Unicode MS" w:hAnsi="Helvetica" w:cs="Arial Unicode MS"/>
                <w:color w:val="000000"/>
                <w:sz w:val="6"/>
                <w:szCs w:val="6"/>
              </w:rPr>
            </w:pPr>
            <w:r>
              <w:rPr>
                <w:rFonts w:ascii="Helvetica" w:hAnsi="Helvetica"/>
                <w:color w:val="000000"/>
                <w:sz w:val="6"/>
              </w:rPr>
              <w:t>Lån og forskudd</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20524D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A62E1A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E78DC6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DAC2F7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1A6A0C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071FDE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02769E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3179A7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B8DA5C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41CA92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A92982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4E51A7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43432F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1935C4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D48255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3CDB67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5DD420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439ED3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D4F24F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048D49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5118B8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D22F45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1039EB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2EC39C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B71ED2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CA3255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9DC5B5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5A8DF4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A89F23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91D2E5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F88D3E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6F36BD4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70B09027" w14:textId="77777777">
        <w:trPr>
          <w:trHeight w:val="76"/>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56CC0DC8"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15</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6D399C34"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Gjeldsinstrumenter, herunder bruk av proveny</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62A5BF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217144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A71EA2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F314F8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1C5F5E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278117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342B49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116945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A46BBA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698F56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50AD85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C1B5C3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0ADDAE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8B30AB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7ADBBB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F06EA5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757FDE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5B4E7B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829BB3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400B44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A10EC9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5082A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9B0B31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AD3F17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FE265B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B64623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51897D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B8523D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DBCACB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A3A0E5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0450C1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53EE1BE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r>
      <w:tr w:rsidR="00A54846" w14:paraId="14FC9D2B"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40972D5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16</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02B24DBA" w14:textId="77777777" w:rsidR="00A54846" w:rsidRDefault="008A2731">
            <w:pPr>
              <w:widowControl w:val="0"/>
              <w:shd w:val="clear" w:color="auto" w:fill="auto"/>
              <w:spacing w:after="0" w:line="240" w:lineRule="auto"/>
              <w:ind w:left="260"/>
              <w:jc w:val="left"/>
              <w:rPr>
                <w:rFonts w:ascii="Helvetica" w:eastAsia="Arial Unicode MS" w:hAnsi="Helvetica" w:cs="Arial Unicode MS"/>
                <w:color w:val="000000"/>
                <w:sz w:val="6"/>
                <w:szCs w:val="6"/>
              </w:rPr>
            </w:pPr>
            <w:r>
              <w:rPr>
                <w:rFonts w:ascii="Helvetica" w:hAnsi="Helvetica"/>
                <w:color w:val="000000"/>
                <w:sz w:val="6"/>
              </w:rPr>
              <w:t>Egenkapitalinstrumenter</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0D5C8F1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2EB54B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091E6AD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6EF4A87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AEEF30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BEF519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71A61E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A2AB68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13AA450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627A09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947D84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4401FF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B160A5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179852E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9B1158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9948D7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3035CB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3083CC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E0FB06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5AEE1AE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B8A18E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BEB519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DA582F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19F173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6F4AD47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4C52B7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B20B55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0DAA1C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E7D25D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722154C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3BE9F4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42F03A6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3C916AF0" w14:textId="77777777">
        <w:trPr>
          <w:trHeight w:val="76"/>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3A262CC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17</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658F8914"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hvorav forsikringsforetak</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E8AC17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C2D067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65CDB7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35C49D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68955E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DB183D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E1BB1C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7804E5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049ABF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557904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B45DFF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2ADABB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BA28DE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62A0C9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31CF8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FF248C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CDDD34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4FF296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BE5243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0AC631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0618FD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9D71C7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C6AFAE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F27A48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EE0265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82A9F5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6304D2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60CF55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A2CBD1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15F9EF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C62EBD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29FF273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56642BF2"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31C044D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18</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381EBDA9" w14:textId="77777777" w:rsidR="00A54846" w:rsidRDefault="008A2731">
            <w:pPr>
              <w:widowControl w:val="0"/>
              <w:shd w:val="clear" w:color="auto" w:fill="auto"/>
              <w:spacing w:after="0" w:line="240" w:lineRule="auto"/>
              <w:ind w:left="260"/>
              <w:jc w:val="left"/>
              <w:rPr>
                <w:rFonts w:ascii="Helvetica" w:eastAsia="Arial Unicode MS" w:hAnsi="Helvetica" w:cs="Arial Unicode MS"/>
                <w:color w:val="000000"/>
                <w:sz w:val="6"/>
                <w:szCs w:val="6"/>
              </w:rPr>
            </w:pPr>
            <w:r>
              <w:rPr>
                <w:rFonts w:ascii="Helvetica" w:hAnsi="Helvetica"/>
                <w:color w:val="000000"/>
                <w:sz w:val="6"/>
              </w:rPr>
              <w:t>Lån og forskudd</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0E5EBB0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33A1C6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760E7A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BA4912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361F6B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0437B8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7E63C0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69A113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F9455E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8B1869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D84533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87996C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B9A783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002654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F3BDA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FBF118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0110EE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974EB0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568B60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D1CA9A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FA617F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1F2D2A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B8700D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53730B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154875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2D8EA8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AAE3C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4F2779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4E1E58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92FE69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DAE8B5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4C2584C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07578F9F" w14:textId="77777777">
        <w:trPr>
          <w:trHeight w:val="76"/>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5BF6D8B3"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19</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27E4398C"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Gjeldsinstrumenter, herunder bruk av proveny</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98086A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2B98F0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3AFDBF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C96CBA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00FAA9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4107CD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791DBA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1A3B10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FCBA8B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3147DB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428FF9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3E26A1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00E038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4A90FF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4D6D8C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147A53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49ABF3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FA5B72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3714DA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CBC054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424902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9BAE3B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1BF8CA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C837E9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B9D43B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B3BDF4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2F0B2B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7057BE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86F7A8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7BC618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0F7A6F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77CCD01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r>
      <w:tr w:rsidR="00A54846" w14:paraId="3A7644E3"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452D801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20</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7D977DBE" w14:textId="77777777" w:rsidR="00A54846" w:rsidRDefault="008A2731">
            <w:pPr>
              <w:widowControl w:val="0"/>
              <w:shd w:val="clear" w:color="auto" w:fill="auto"/>
              <w:spacing w:after="0" w:line="240" w:lineRule="auto"/>
              <w:ind w:left="260"/>
              <w:jc w:val="left"/>
              <w:rPr>
                <w:rFonts w:ascii="Helvetica" w:eastAsia="Arial Unicode MS" w:hAnsi="Helvetica" w:cs="Arial Unicode MS"/>
                <w:color w:val="000000"/>
                <w:sz w:val="6"/>
                <w:szCs w:val="6"/>
              </w:rPr>
            </w:pPr>
            <w:r>
              <w:rPr>
                <w:rFonts w:ascii="Helvetica" w:hAnsi="Helvetica"/>
                <w:color w:val="000000"/>
                <w:sz w:val="6"/>
              </w:rPr>
              <w:t>Egenkapitalinstrumenter</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7BFD33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517B6A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09C8242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5E1FB81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1E5647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84B8EC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5B163E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15360B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56B1988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365E2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EC6942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32D4BA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BBBBF6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2CA995D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0E5923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22774F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EBFF76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58352E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A0FDAF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4D4FB29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582E65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9CBFDF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1D9A19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5195A6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78ACEF0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D5A33A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87BBD4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E18DDB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AFF045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7457047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952B77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0555750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43D4964B" w14:textId="77777777">
        <w:trPr>
          <w:trHeight w:val="76"/>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663D81A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21</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60A468B7" w14:textId="77777777" w:rsidR="00A54846" w:rsidRDefault="008A2731">
            <w:pPr>
              <w:widowControl w:val="0"/>
              <w:shd w:val="clear" w:color="auto" w:fill="auto"/>
              <w:spacing w:after="0" w:line="240" w:lineRule="auto"/>
              <w:ind w:left="120"/>
              <w:jc w:val="left"/>
              <w:rPr>
                <w:rFonts w:ascii="Helvetica" w:eastAsia="Arial Unicode MS" w:hAnsi="Helvetica" w:cs="Arial Unicode MS"/>
                <w:b/>
                <w:color w:val="000000"/>
                <w:sz w:val="6"/>
                <w:szCs w:val="6"/>
              </w:rPr>
            </w:pPr>
            <w:r>
              <w:rPr>
                <w:rFonts w:ascii="Helvetica" w:hAnsi="Helvetica"/>
                <w:b/>
                <w:color w:val="000000"/>
                <w:sz w:val="6"/>
              </w:rPr>
              <w:t>Ikke-finansielle foretak</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1E522E6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1CA7A1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FBB5E7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223A9F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D3D0F9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A8B4AE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CC4505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24BC33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F8D277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52FDE4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86EAEF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93B38E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002194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B91B20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F68B26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E91FCA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196729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3B65E6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6513A1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52E4A9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BEF57B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8050CC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4C80D7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9B8E8D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5C967C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AA032A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EC45BA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DFD02D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E62BE8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D344BB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A4A4D7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0F8A330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52C02C17"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4D9693A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22</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24ABA120" w14:textId="77777777" w:rsidR="00A54846" w:rsidRDefault="008A2731">
            <w:pPr>
              <w:widowControl w:val="0"/>
              <w:shd w:val="clear" w:color="auto" w:fill="auto"/>
              <w:spacing w:after="0" w:line="240" w:lineRule="auto"/>
              <w:ind w:left="160"/>
              <w:jc w:val="left"/>
              <w:rPr>
                <w:rFonts w:ascii="Helvetica" w:eastAsia="Arial Unicode MS" w:hAnsi="Helvetica" w:cs="Arial Unicode MS"/>
                <w:color w:val="000000"/>
                <w:sz w:val="6"/>
                <w:szCs w:val="6"/>
              </w:rPr>
            </w:pPr>
            <w:r>
              <w:rPr>
                <w:rFonts w:ascii="Helvetica" w:hAnsi="Helvetica"/>
                <w:color w:val="000000"/>
                <w:sz w:val="6"/>
              </w:rPr>
              <w:t>Ikke-finansielle foretak som er omfattet av opplysningsplikten i direktivet om ikke-finansiell rapportering</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750FD3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90F612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E0FE3A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29D2B2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28D347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E225CA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74A092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E4EE34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37121A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62428C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43D4DD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EDFC1A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915761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75F45D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D061C0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E6DD56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6A0348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B0CA2D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ECF227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B69F05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A3633E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C71761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7CC160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B7654C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59F134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2B3ABD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1D331A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E251E3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104636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065DDA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EF51FE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4CD6427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r>
      <w:tr w:rsidR="00A54846" w14:paraId="08D27061" w14:textId="77777777">
        <w:trPr>
          <w:trHeight w:val="76"/>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316840E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23</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078FA462"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Lån og forskudd</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CA206B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EE950E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7D1C2B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528295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0C7E62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FD501F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9B9498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447AAD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C720DA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E82190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0061FB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5FAAB7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C907F8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E79E1B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4D625B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672BD4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AD3D25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B39180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85B251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BAA18A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78094D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ADAAB3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1E8004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C606C3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A23E5B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E31CEF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7DCC55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B8CB4D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002621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679D8D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B8134E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16D8737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10696C9E"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hideMark/>
          </w:tcPr>
          <w:p w14:paraId="0C2DEC0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24</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hideMark/>
          </w:tcPr>
          <w:p w14:paraId="58C51B51"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Gjeldsinstrumenter, herunder bruk av proveny</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1CB5CA8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0528015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AC89EC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D80244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7FC14C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CB6DCF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E48613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9C6B1F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A5CD3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1BE55D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DF05FB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995C3C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185901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BF6F0B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B7E900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169133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712422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280959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9F8211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F19672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C96920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76C774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729825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E7A146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C6C9FB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E38C89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374F64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9196B3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F322FB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35E1F9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CEE5A5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2F0C92D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r>
      <w:tr w:rsidR="00A54846" w14:paraId="751A4E7E" w14:textId="77777777">
        <w:trPr>
          <w:trHeight w:val="76"/>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37789336"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25</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27B43FBB"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Egenkapitalinstrumenter</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8FDBCD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942E1D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5DDFAF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4FF1F97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0FB863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C5808B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852A16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505E4B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1E2468F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5DCC5A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198127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208C42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55B02F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5F8D609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DBEACA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6F1BCC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2E34CA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4FF4A0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0C8A9D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3D28842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661DCD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36167A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AD1C20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C0CD93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43F5CA9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769613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0C33F7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D6692D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31B4CE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000000" w:themeFill="text1"/>
            <w:tcMar>
              <w:top w:w="20" w:type="dxa"/>
              <w:left w:w="40" w:type="dxa"/>
              <w:bottom w:w="20" w:type="dxa"/>
              <w:right w:w="40" w:type="dxa"/>
            </w:tcMar>
          </w:tcPr>
          <w:p w14:paraId="7962A9E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91D480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5362170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16030C0E"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0D4227A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26</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3DF79FC3" w14:textId="77777777" w:rsidR="00A54846" w:rsidRDefault="008A2731">
            <w:pPr>
              <w:widowControl w:val="0"/>
              <w:shd w:val="clear" w:color="auto" w:fill="auto"/>
              <w:spacing w:after="0" w:line="240" w:lineRule="auto"/>
              <w:ind w:left="120"/>
              <w:jc w:val="left"/>
              <w:rPr>
                <w:rFonts w:ascii="Helvetica" w:eastAsia="Arial Unicode MS" w:hAnsi="Helvetica" w:cs="Arial Unicode MS"/>
                <w:b/>
                <w:color w:val="000000"/>
                <w:sz w:val="6"/>
                <w:szCs w:val="6"/>
              </w:rPr>
            </w:pPr>
            <w:r>
              <w:rPr>
                <w:rFonts w:ascii="Helvetica" w:hAnsi="Helvetica"/>
                <w:b/>
                <w:color w:val="000000"/>
                <w:sz w:val="6"/>
              </w:rPr>
              <w:t>Husholdninger</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FB8C5D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E8BC12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27E818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A3D3D3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A6240E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6069D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BC8E5A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51EE00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C864F5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79E25F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923C73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C9DF87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352FB7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1863AF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59189D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B62326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13595A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FBC076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B74060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D191D8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78F9B9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B50C2D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450EF1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FF1AFA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5EC997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0C9725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B33EE8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251E3F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AA271F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4FBBDC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8ACE82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4C528D4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09FFBB79" w14:textId="77777777">
        <w:trPr>
          <w:trHeight w:val="140"/>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0DF22318"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27</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1D39176D"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hvorav lån med sikkerhet i boligeiendommer</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324483E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0985A79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77BF25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90C2E2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353330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9D9A1D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D223FC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5F46B4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CC4B4B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156EC7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EB9517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678093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60676E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10C08F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5C069B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1A4224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0C3588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1290ED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F2BEE8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369A9D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7A6C1A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35F88E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3147F2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45DF41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36943A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85489A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E3273F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096799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7C40AB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6DC25C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6A1796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1BBBAD9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r>
      <w:tr w:rsidR="00A54846" w14:paraId="398E1E28" w14:textId="77777777">
        <w:trPr>
          <w:trHeight w:val="76"/>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32C7D23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28</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36D89033"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hvorav lån til byggrenovering</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D20D6E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FE16F1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66F223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0806A8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984838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BB5D55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9C7210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74B1E5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7D8327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C15F6C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1A8CC1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3AA771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DA81E1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597966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370ACE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4A6E7F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21D25A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33B33D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141933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BB91DA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7B2D7B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309ADA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5574E9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16E9A7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B27EBF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59459C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74597C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3DC730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B3527D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14700B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BF3EFA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383DE52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0BE7EDD0"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hideMark/>
          </w:tcPr>
          <w:p w14:paraId="1C27B57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29</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hideMark/>
          </w:tcPr>
          <w:p w14:paraId="3A690393"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6"/>
                <w:szCs w:val="6"/>
              </w:rPr>
            </w:pPr>
            <w:r>
              <w:rPr>
                <w:rFonts w:ascii="Helvetica" w:hAnsi="Helvetica"/>
                <w:color w:val="000000"/>
                <w:sz w:val="6"/>
              </w:rPr>
              <w:t>hvorav billån</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9BAEF7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381E35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68FAD65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9FDDD1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B177D2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F28BA7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88793F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444786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1CC8D3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F5269D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7B36EC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9AD333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493836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A25C56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6124A2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6B4405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C1538F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53698F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A97420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7CBE70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46A8FA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7167FD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5334A7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BBBF47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49E7F8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F8E3E8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F01594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1C9932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D1E89F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79FCA4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820083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5FE9156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17DB1F7B" w14:textId="77777777">
        <w:trPr>
          <w:trHeight w:val="76"/>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5B9AF7A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30</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631C09F3" w14:textId="77777777" w:rsidR="00A54846" w:rsidRDefault="008A2731">
            <w:pPr>
              <w:widowControl w:val="0"/>
              <w:shd w:val="clear" w:color="auto" w:fill="auto"/>
              <w:spacing w:after="0" w:line="240" w:lineRule="auto"/>
              <w:ind w:left="120"/>
              <w:jc w:val="left"/>
              <w:rPr>
                <w:rFonts w:ascii="Helvetica" w:eastAsia="Arial Unicode MS" w:hAnsi="Helvetica" w:cs="Arial Unicode MS"/>
                <w:b/>
                <w:color w:val="000000"/>
                <w:sz w:val="6"/>
                <w:szCs w:val="6"/>
              </w:rPr>
            </w:pPr>
            <w:r>
              <w:rPr>
                <w:rFonts w:ascii="Helvetica" w:hAnsi="Helvetica"/>
                <w:b/>
                <w:color w:val="000000"/>
                <w:sz w:val="6"/>
              </w:rPr>
              <w:t>Finansiering til lokale myndigheter</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5B69D4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09BC52C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18C0A00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0C79FB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547A07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7E33B9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372B5C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2B5430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EDA31C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3B5446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C0E602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E8BF3F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A1A1F5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732498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F3C1EA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070DF9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53F2FB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416B40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60673D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09721D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0FA6FC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29E047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31F5D9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5575C6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37FB0E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4B1980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C2335A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DCDA54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54A605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15E073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F4802F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78A61E0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6"/>
                <w:szCs w:val="6"/>
                <w:lang w:val="en-US" w:bidi="en-US"/>
              </w:rPr>
            </w:pPr>
          </w:p>
        </w:tc>
      </w:tr>
      <w:tr w:rsidR="00A54846" w14:paraId="18FB6158" w14:textId="77777777">
        <w:trPr>
          <w:trHeight w:val="140"/>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center"/>
            <w:hideMark/>
          </w:tcPr>
          <w:p w14:paraId="4C536DD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31</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37AA1891" w14:textId="77777777" w:rsidR="00A54846" w:rsidRDefault="008A2731">
            <w:pPr>
              <w:widowControl w:val="0"/>
              <w:shd w:val="clear" w:color="auto" w:fill="auto"/>
              <w:spacing w:after="0" w:line="240" w:lineRule="auto"/>
              <w:ind w:left="40"/>
              <w:jc w:val="left"/>
              <w:rPr>
                <w:rFonts w:ascii="Helvetica" w:eastAsia="Arial Unicode MS" w:hAnsi="Helvetica" w:cs="Arial Unicode MS"/>
                <w:color w:val="000000"/>
                <w:sz w:val="6"/>
                <w:szCs w:val="6"/>
              </w:rPr>
            </w:pPr>
            <w:r>
              <w:rPr>
                <w:rFonts w:ascii="Helvetica" w:hAnsi="Helvetica"/>
                <w:color w:val="000000"/>
                <w:sz w:val="6"/>
              </w:rPr>
              <w:t>Overtatte sikkerheter: bolig- og næringseiendommer</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137D3A6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463594E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109EFAF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E0F091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1DD4B2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1997BD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8311BC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F02B8D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7A13E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45A722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CDA88C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6BF0E9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AA09DB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ECE3E0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92F861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F38D71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2A024A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4AB2DA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042E3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96E1B8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0229CD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AE8216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65532F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D913EC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822BE6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7EF21E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BF556E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E1341D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3D1CD3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2BA975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B4CAEB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77D7483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r>
      <w:tr w:rsidR="00A54846" w14:paraId="53094830" w14:textId="77777777">
        <w:trPr>
          <w:trHeight w:val="63"/>
        </w:trPr>
        <w:tc>
          <w:tcPr>
            <w:tcW w:w="253"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7ED2395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32</w:t>
            </w:r>
          </w:p>
        </w:tc>
        <w:tc>
          <w:tcPr>
            <w:tcW w:w="1876" w:type="dxa"/>
            <w:tcBorders>
              <w:top w:val="single" w:sz="4" w:space="0" w:color="auto"/>
              <w:left w:val="single" w:sz="4" w:space="0" w:color="auto"/>
              <w:bottom w:val="nil"/>
              <w:right w:val="nil"/>
            </w:tcBorders>
            <w:shd w:val="clear" w:color="auto" w:fill="FFFFFF"/>
            <w:tcMar>
              <w:top w:w="20" w:type="dxa"/>
              <w:left w:w="40" w:type="dxa"/>
              <w:bottom w:w="20" w:type="dxa"/>
              <w:right w:w="40" w:type="dxa"/>
            </w:tcMar>
            <w:vAlign w:val="bottom"/>
            <w:hideMark/>
          </w:tcPr>
          <w:p w14:paraId="61EDDC26" w14:textId="77777777" w:rsidR="00A54846" w:rsidRDefault="008A2731">
            <w:pPr>
              <w:widowControl w:val="0"/>
              <w:shd w:val="clear" w:color="auto" w:fill="auto"/>
              <w:spacing w:after="0" w:line="240" w:lineRule="auto"/>
              <w:ind w:left="40"/>
              <w:jc w:val="left"/>
              <w:rPr>
                <w:rFonts w:ascii="Helvetica" w:eastAsia="Arial Unicode MS" w:hAnsi="Helvetica" w:cs="Arial Unicode MS"/>
                <w:color w:val="000000"/>
                <w:sz w:val="6"/>
                <w:szCs w:val="6"/>
              </w:rPr>
            </w:pPr>
            <w:r>
              <w:rPr>
                <w:rFonts w:ascii="Helvetica" w:hAnsi="Helvetica"/>
                <w:color w:val="000000"/>
                <w:sz w:val="6"/>
              </w:rPr>
              <w:t>Annen finansiering av lokale myndigheter</w:t>
            </w:r>
          </w:p>
        </w:tc>
        <w:tc>
          <w:tcPr>
            <w:tcW w:w="354"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7D23843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8"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5694B0E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2" w:type="dxa"/>
            <w:tcBorders>
              <w:top w:val="single" w:sz="4" w:space="0" w:color="auto"/>
              <w:left w:val="single" w:sz="4" w:space="0" w:color="auto"/>
              <w:bottom w:val="nil"/>
              <w:right w:val="nil"/>
            </w:tcBorders>
            <w:shd w:val="clear" w:color="auto" w:fill="FFFFFF"/>
            <w:tcMar>
              <w:top w:w="20" w:type="dxa"/>
              <w:left w:w="40" w:type="dxa"/>
              <w:bottom w:w="20" w:type="dxa"/>
              <w:right w:w="40" w:type="dxa"/>
            </w:tcMar>
          </w:tcPr>
          <w:p w14:paraId="2152CC3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070DBA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6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4A6892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2"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3E96D7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D189B8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413F7F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D1DA12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5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4BBC20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94"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210AD7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24DA826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DCA2FD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5"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09942D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49"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2A4EFF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9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C96BEB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22"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E1FF5C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58"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B24630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8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DF7E2E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39C980B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70"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25B54B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4CE4D8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1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7980BB0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5"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5A934EC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4"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042EE9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0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2C88BE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288"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62AAC28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17"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4BF4963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8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132EA0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6"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1948338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393" w:type="dxa"/>
            <w:tcBorders>
              <w:top w:val="single" w:sz="4" w:space="0" w:color="auto"/>
              <w:left w:val="single" w:sz="4" w:space="0" w:color="auto"/>
              <w:bottom w:val="single" w:sz="4" w:space="0" w:color="auto"/>
              <w:right w:val="nil"/>
            </w:tcBorders>
            <w:shd w:val="clear" w:color="auto" w:fill="FFFFFF"/>
            <w:tcMar>
              <w:top w:w="20" w:type="dxa"/>
              <w:left w:w="40" w:type="dxa"/>
              <w:bottom w:w="20" w:type="dxa"/>
              <w:right w:w="40" w:type="dxa"/>
            </w:tcMar>
          </w:tcPr>
          <w:p w14:paraId="01ECC17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c>
          <w:tcPr>
            <w:tcW w:w="420"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20" w:type="dxa"/>
              <w:right w:w="40" w:type="dxa"/>
            </w:tcMar>
          </w:tcPr>
          <w:p w14:paraId="72C6E34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6"/>
                <w:szCs w:val="6"/>
                <w:lang w:bidi="en-US"/>
              </w:rPr>
            </w:pPr>
          </w:p>
        </w:tc>
      </w:tr>
      <w:tr w:rsidR="00A54846" w14:paraId="54963EDB" w14:textId="77777777">
        <w:trPr>
          <w:trHeight w:val="76"/>
        </w:trPr>
        <w:tc>
          <w:tcPr>
            <w:tcW w:w="253"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hideMark/>
          </w:tcPr>
          <w:p w14:paraId="26232D4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6"/>
                <w:szCs w:val="6"/>
              </w:rPr>
            </w:pPr>
            <w:r>
              <w:rPr>
                <w:rFonts w:ascii="Helvetica" w:hAnsi="Helvetica"/>
                <w:color w:val="000000"/>
                <w:sz w:val="6"/>
              </w:rPr>
              <w:t>49</w:t>
            </w:r>
          </w:p>
        </w:tc>
        <w:tc>
          <w:tcPr>
            <w:tcW w:w="1876"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hideMark/>
          </w:tcPr>
          <w:p w14:paraId="2E8D06D0" w14:textId="77777777" w:rsidR="00A54846" w:rsidRDefault="008A2731">
            <w:pPr>
              <w:widowControl w:val="0"/>
              <w:shd w:val="clear" w:color="auto" w:fill="auto"/>
              <w:spacing w:after="0" w:line="240" w:lineRule="auto"/>
              <w:jc w:val="left"/>
              <w:rPr>
                <w:rFonts w:ascii="Helvetica" w:eastAsia="Arial Unicode MS" w:hAnsi="Helvetica" w:cs="Arial Unicode MS"/>
                <w:b/>
                <w:color w:val="000000"/>
                <w:sz w:val="6"/>
                <w:szCs w:val="6"/>
              </w:rPr>
            </w:pPr>
            <w:r>
              <w:rPr>
                <w:rFonts w:ascii="Helvetica" w:hAnsi="Helvetica"/>
                <w:b/>
                <w:color w:val="000000"/>
                <w:sz w:val="6"/>
              </w:rPr>
              <w:t>Samlet GAR for eiendeler</w:t>
            </w:r>
          </w:p>
        </w:tc>
        <w:tc>
          <w:tcPr>
            <w:tcW w:w="354"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734B235D"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18"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2498A3C4"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402"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0ECF6F25"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413"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46E7A938"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65"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4053ADD3"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292" w:type="dxa"/>
            <w:gridSpan w:val="2"/>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65404161"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25"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6D191C3F"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79"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775DA04F"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429"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5DDBE79D"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55"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5851680C"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294" w:type="dxa"/>
            <w:gridSpan w:val="2"/>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4611716C"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73"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263906A4"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80" w:type="dxa"/>
            <w:gridSpan w:val="2"/>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74C08336"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425" w:type="dxa"/>
            <w:gridSpan w:val="2"/>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1876B351"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49"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1CC9F847"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491" w:type="dxa"/>
            <w:gridSpan w:val="2"/>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0B468B12"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22"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2C51EBC3"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258" w:type="dxa"/>
            <w:gridSpan w:val="2"/>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5DCE507C"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87"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4EF28B2C"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94"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49D206ED"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70" w:type="dxa"/>
            <w:gridSpan w:val="2"/>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19609A2D"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2A076F4A"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14"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7A453389"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415"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4BD6FDD0"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404"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11D3F5E6"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403"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0B8D2A29"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288"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419723D0"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417"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5E45AFE3"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486" w:type="dxa"/>
            <w:gridSpan w:val="2"/>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327982B0"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96" w:type="dxa"/>
            <w:gridSpan w:val="2"/>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7A977100"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393" w:type="dxa"/>
            <w:tcBorders>
              <w:top w:val="single" w:sz="4" w:space="0" w:color="auto"/>
              <w:left w:val="single" w:sz="4" w:space="0" w:color="auto"/>
              <w:bottom w:val="single" w:sz="4" w:space="0" w:color="auto"/>
              <w:right w:val="nil"/>
            </w:tcBorders>
            <w:shd w:val="clear" w:color="auto" w:fill="DCEAF6"/>
            <w:tcMar>
              <w:top w:w="20" w:type="dxa"/>
              <w:left w:w="40" w:type="dxa"/>
              <w:bottom w:w="20" w:type="dxa"/>
              <w:right w:w="40" w:type="dxa"/>
            </w:tcMar>
          </w:tcPr>
          <w:p w14:paraId="1ED70FC1"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c>
          <w:tcPr>
            <w:tcW w:w="420" w:type="dxa"/>
            <w:tcBorders>
              <w:top w:val="single" w:sz="4" w:space="0" w:color="auto"/>
              <w:left w:val="single" w:sz="4" w:space="0" w:color="auto"/>
              <w:bottom w:val="single" w:sz="4" w:space="0" w:color="auto"/>
              <w:right w:val="single" w:sz="4" w:space="0" w:color="auto"/>
            </w:tcBorders>
            <w:shd w:val="clear" w:color="auto" w:fill="DCEAF6"/>
            <w:tcMar>
              <w:top w:w="20" w:type="dxa"/>
              <w:left w:w="40" w:type="dxa"/>
              <w:bottom w:w="20" w:type="dxa"/>
              <w:right w:w="40" w:type="dxa"/>
            </w:tcMar>
          </w:tcPr>
          <w:p w14:paraId="3B84113E" w14:textId="77777777" w:rsidR="00A54846" w:rsidRDefault="00A54846">
            <w:pPr>
              <w:widowControl w:val="0"/>
              <w:shd w:val="clear" w:color="auto" w:fill="auto"/>
              <w:spacing w:after="0" w:line="240" w:lineRule="auto"/>
              <w:jc w:val="left"/>
              <w:rPr>
                <w:rFonts w:ascii="Helvetica" w:eastAsia="Arial Unicode MS" w:hAnsi="Helvetica" w:cs="Arial Unicode MS"/>
                <w:b/>
                <w:color w:val="000000"/>
                <w:sz w:val="6"/>
                <w:szCs w:val="6"/>
                <w:lang w:val="en-US" w:bidi="en-US"/>
              </w:rPr>
            </w:pPr>
          </w:p>
        </w:tc>
      </w:tr>
    </w:tbl>
    <w:p w14:paraId="22F62E67" w14:textId="77777777" w:rsidR="00A54846" w:rsidRDefault="00A54846">
      <w:pPr>
        <w:pStyle w:val="Para"/>
        <w:spacing w:line="240" w:lineRule="auto"/>
        <w:jc w:val="left"/>
        <w:rPr>
          <w:noProof/>
          <w:lang w:val="en-US"/>
        </w:rPr>
      </w:pPr>
    </w:p>
    <w:p w14:paraId="595EECE6" w14:textId="77777777" w:rsidR="00A54846" w:rsidRDefault="008A2731">
      <w:pPr>
        <w:pStyle w:val="Para"/>
        <w:spacing w:line="240" w:lineRule="auto"/>
        <w:jc w:val="left"/>
      </w:pPr>
      <w:r>
        <w:br w:type="page"/>
      </w:r>
    </w:p>
    <w:p w14:paraId="29B31856" w14:textId="77777777" w:rsidR="00A54846" w:rsidRDefault="008A2731">
      <w:pPr>
        <w:pStyle w:val="AnnexNumberedText"/>
        <w:ind w:left="279" w:hanging="279"/>
      </w:pPr>
      <w:r>
        <w:lastRenderedPageBreak/>
        <w:t>4.</w:t>
      </w:r>
      <w:r>
        <w:rPr>
          <w:b/>
        </w:rPr>
        <w:tab/>
        <w:t>GAR – KPI for strømmer</w:t>
      </w:r>
    </w:p>
    <w:tbl>
      <w:tblPr>
        <w:tblOverlap w:val="never"/>
        <w:tblW w:w="14028" w:type="dxa"/>
        <w:tblInd w:w="340" w:type="dxa"/>
        <w:tblLayout w:type="fixed"/>
        <w:tblCellMar>
          <w:left w:w="10" w:type="dxa"/>
          <w:right w:w="10" w:type="dxa"/>
        </w:tblCellMar>
        <w:tblLook w:val="04A0" w:firstRow="1" w:lastRow="0" w:firstColumn="1" w:lastColumn="0" w:noHBand="0" w:noVBand="1"/>
      </w:tblPr>
      <w:tblGrid>
        <w:gridCol w:w="267"/>
        <w:gridCol w:w="3788"/>
        <w:gridCol w:w="587"/>
        <w:gridCol w:w="33"/>
        <w:gridCol w:w="479"/>
        <w:gridCol w:w="143"/>
        <w:gridCol w:w="552"/>
        <w:gridCol w:w="70"/>
        <w:gridCol w:w="622"/>
        <w:gridCol w:w="47"/>
        <w:gridCol w:w="580"/>
        <w:gridCol w:w="579"/>
        <w:gridCol w:w="37"/>
        <w:gridCol w:w="6"/>
        <w:gridCol w:w="478"/>
        <w:gridCol w:w="137"/>
        <w:gridCol w:w="7"/>
        <w:gridCol w:w="564"/>
        <w:gridCol w:w="58"/>
        <w:gridCol w:w="612"/>
        <w:gridCol w:w="10"/>
        <w:gridCol w:w="39"/>
        <w:gridCol w:w="576"/>
        <w:gridCol w:w="7"/>
        <w:gridCol w:w="568"/>
        <w:gridCol w:w="45"/>
        <w:gridCol w:w="9"/>
        <w:gridCol w:w="497"/>
        <w:gridCol w:w="115"/>
        <w:gridCol w:w="10"/>
        <w:gridCol w:w="615"/>
        <w:gridCol w:w="7"/>
        <w:gridCol w:w="613"/>
        <w:gridCol w:w="9"/>
        <w:gridCol w:w="73"/>
        <w:gridCol w:w="540"/>
        <w:gridCol w:w="9"/>
        <w:gridCol w:w="640"/>
      </w:tblGrid>
      <w:tr w:rsidR="00A54846" w14:paraId="1F94788E" w14:textId="77777777">
        <w:trPr>
          <w:trHeight w:val="612"/>
        </w:trPr>
        <w:tc>
          <w:tcPr>
            <w:tcW w:w="4055" w:type="dxa"/>
            <w:gridSpan w:val="2"/>
            <w:shd w:val="clear" w:color="auto" w:fill="FFFFFF"/>
            <w:tcMar>
              <w:top w:w="20" w:type="dxa"/>
              <w:left w:w="40" w:type="dxa"/>
              <w:bottom w:w="20" w:type="dxa"/>
              <w:right w:w="40" w:type="dxa"/>
            </w:tcMar>
            <w:hideMark/>
          </w:tcPr>
          <w:p w14:paraId="56B95A7B"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1. Institusjonen skal i denne malen opplyse om KPI-ene for GAR for lånestrømmen (nye lån på nettobasis) beregnet på grunnlag av dataene framlagt i mal 1, om dekkede eiendeler, ved anvendelse av formlene i denne malen</w:t>
            </w:r>
          </w:p>
        </w:tc>
        <w:tc>
          <w:tcPr>
            <w:tcW w:w="620" w:type="dxa"/>
            <w:gridSpan w:val="2"/>
            <w:shd w:val="clear" w:color="auto" w:fill="FFFFFF"/>
            <w:tcMar>
              <w:top w:w="20" w:type="dxa"/>
              <w:left w:w="40" w:type="dxa"/>
              <w:bottom w:w="20" w:type="dxa"/>
              <w:right w:w="40" w:type="dxa"/>
            </w:tcMar>
          </w:tcPr>
          <w:p w14:paraId="1FD10637"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2" w:type="dxa"/>
            <w:gridSpan w:val="2"/>
            <w:shd w:val="clear" w:color="auto" w:fill="FFFFFF"/>
          </w:tcPr>
          <w:p w14:paraId="30E8242E"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2" w:type="dxa"/>
            <w:gridSpan w:val="2"/>
            <w:shd w:val="clear" w:color="auto" w:fill="FFFFFF"/>
          </w:tcPr>
          <w:p w14:paraId="54C0B507"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2" w:type="dxa"/>
            <w:shd w:val="clear" w:color="auto" w:fill="FFFFFF"/>
          </w:tcPr>
          <w:p w14:paraId="7FEDAFD8"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7" w:type="dxa"/>
            <w:gridSpan w:val="2"/>
            <w:shd w:val="clear" w:color="auto" w:fill="FFFFFF"/>
          </w:tcPr>
          <w:p w14:paraId="5C7FFDA8"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2" w:type="dxa"/>
            <w:gridSpan w:val="3"/>
            <w:shd w:val="clear" w:color="auto" w:fill="FFFFFF"/>
          </w:tcPr>
          <w:p w14:paraId="3533108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2" w:type="dxa"/>
            <w:gridSpan w:val="3"/>
            <w:shd w:val="clear" w:color="auto" w:fill="FFFFFF"/>
          </w:tcPr>
          <w:p w14:paraId="030E574D"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2" w:type="dxa"/>
            <w:gridSpan w:val="2"/>
            <w:shd w:val="clear" w:color="auto" w:fill="FFFFFF"/>
          </w:tcPr>
          <w:p w14:paraId="5837DE4B"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2" w:type="dxa"/>
            <w:gridSpan w:val="2"/>
            <w:shd w:val="clear" w:color="auto" w:fill="FFFFFF"/>
          </w:tcPr>
          <w:p w14:paraId="7257BB5D"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2" w:type="dxa"/>
            <w:gridSpan w:val="3"/>
            <w:shd w:val="clear" w:color="auto" w:fill="FFFFFF"/>
          </w:tcPr>
          <w:p w14:paraId="2ABBC0A5"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2" w:type="dxa"/>
            <w:gridSpan w:val="3"/>
            <w:shd w:val="clear" w:color="auto" w:fill="FFFFFF"/>
          </w:tcPr>
          <w:p w14:paraId="7FDA361B"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2" w:type="dxa"/>
            <w:gridSpan w:val="3"/>
            <w:shd w:val="clear" w:color="auto" w:fill="FFFFFF"/>
          </w:tcPr>
          <w:p w14:paraId="715AA48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2" w:type="dxa"/>
            <w:gridSpan w:val="2"/>
            <w:shd w:val="clear" w:color="auto" w:fill="FFFFFF"/>
          </w:tcPr>
          <w:p w14:paraId="3D67305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2" w:type="dxa"/>
            <w:gridSpan w:val="2"/>
            <w:shd w:val="clear" w:color="auto" w:fill="FFFFFF"/>
          </w:tcPr>
          <w:p w14:paraId="3AB6CE07"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2" w:type="dxa"/>
            <w:gridSpan w:val="3"/>
            <w:shd w:val="clear" w:color="auto" w:fill="FFFFFF"/>
          </w:tcPr>
          <w:p w14:paraId="120ABA83"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40" w:type="dxa"/>
            <w:shd w:val="clear" w:color="auto" w:fill="FFFFFF"/>
          </w:tcPr>
          <w:p w14:paraId="40A1F082"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r>
      <w:tr w:rsidR="00A54846" w14:paraId="3BB571F3" w14:textId="77777777">
        <w:trPr>
          <w:trHeight w:val="156"/>
        </w:trPr>
        <w:tc>
          <w:tcPr>
            <w:tcW w:w="4055" w:type="dxa"/>
            <w:gridSpan w:val="2"/>
            <w:shd w:val="clear" w:color="auto" w:fill="FFFFFF"/>
            <w:tcMar>
              <w:top w:w="0" w:type="dxa"/>
              <w:left w:w="40" w:type="dxa"/>
              <w:bottom w:w="0" w:type="dxa"/>
              <w:right w:w="40" w:type="dxa"/>
            </w:tcMar>
          </w:tcPr>
          <w:p w14:paraId="1DE1A473"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20"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hideMark/>
          </w:tcPr>
          <w:p w14:paraId="746E807A"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a</w:t>
            </w:r>
          </w:p>
        </w:tc>
        <w:tc>
          <w:tcPr>
            <w:tcW w:w="622" w:type="dxa"/>
            <w:gridSpan w:val="2"/>
            <w:tcBorders>
              <w:top w:val="single" w:sz="4" w:space="0" w:color="auto"/>
              <w:left w:val="single" w:sz="4" w:space="0" w:color="auto"/>
              <w:bottom w:val="nil"/>
              <w:right w:val="nil"/>
            </w:tcBorders>
            <w:shd w:val="clear" w:color="auto" w:fill="FFFFFF"/>
            <w:hideMark/>
          </w:tcPr>
          <w:p w14:paraId="4E43CB12"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b</w:t>
            </w:r>
          </w:p>
        </w:tc>
        <w:tc>
          <w:tcPr>
            <w:tcW w:w="622" w:type="dxa"/>
            <w:gridSpan w:val="2"/>
            <w:tcBorders>
              <w:top w:val="single" w:sz="4" w:space="0" w:color="auto"/>
              <w:left w:val="single" w:sz="4" w:space="0" w:color="auto"/>
              <w:bottom w:val="nil"/>
              <w:right w:val="nil"/>
            </w:tcBorders>
            <w:shd w:val="clear" w:color="auto" w:fill="FFFFFF"/>
            <w:hideMark/>
          </w:tcPr>
          <w:p w14:paraId="19D24A08"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c</w:t>
            </w:r>
          </w:p>
        </w:tc>
        <w:tc>
          <w:tcPr>
            <w:tcW w:w="622" w:type="dxa"/>
            <w:tcBorders>
              <w:top w:val="single" w:sz="4" w:space="0" w:color="auto"/>
              <w:left w:val="single" w:sz="4" w:space="0" w:color="auto"/>
              <w:bottom w:val="nil"/>
              <w:right w:val="nil"/>
            </w:tcBorders>
            <w:shd w:val="clear" w:color="auto" w:fill="FFFFFF"/>
            <w:hideMark/>
          </w:tcPr>
          <w:p w14:paraId="336EDC3D"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d</w:t>
            </w:r>
          </w:p>
        </w:tc>
        <w:tc>
          <w:tcPr>
            <w:tcW w:w="627" w:type="dxa"/>
            <w:gridSpan w:val="2"/>
            <w:tcBorders>
              <w:top w:val="single" w:sz="4" w:space="0" w:color="auto"/>
              <w:left w:val="single" w:sz="4" w:space="0" w:color="auto"/>
              <w:bottom w:val="nil"/>
              <w:right w:val="nil"/>
            </w:tcBorders>
            <w:shd w:val="clear" w:color="auto" w:fill="FFFFFF"/>
            <w:hideMark/>
          </w:tcPr>
          <w:p w14:paraId="3F03E701"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e</w:t>
            </w:r>
          </w:p>
        </w:tc>
        <w:tc>
          <w:tcPr>
            <w:tcW w:w="616" w:type="dxa"/>
            <w:gridSpan w:val="2"/>
            <w:tcBorders>
              <w:top w:val="single" w:sz="4" w:space="0" w:color="auto"/>
              <w:left w:val="single" w:sz="4" w:space="0" w:color="auto"/>
              <w:bottom w:val="nil"/>
              <w:right w:val="nil"/>
            </w:tcBorders>
            <w:shd w:val="clear" w:color="auto" w:fill="FFFFFF"/>
            <w:hideMark/>
          </w:tcPr>
          <w:p w14:paraId="13C1D8D9"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f</w:t>
            </w:r>
          </w:p>
        </w:tc>
        <w:tc>
          <w:tcPr>
            <w:tcW w:w="621" w:type="dxa"/>
            <w:gridSpan w:val="3"/>
            <w:tcBorders>
              <w:top w:val="single" w:sz="4" w:space="0" w:color="auto"/>
              <w:left w:val="single" w:sz="4" w:space="0" w:color="auto"/>
              <w:bottom w:val="nil"/>
              <w:right w:val="nil"/>
            </w:tcBorders>
            <w:shd w:val="clear" w:color="auto" w:fill="FFFFFF"/>
            <w:hideMark/>
          </w:tcPr>
          <w:p w14:paraId="0EA8BB40"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g</w:t>
            </w:r>
          </w:p>
        </w:tc>
        <w:tc>
          <w:tcPr>
            <w:tcW w:w="571" w:type="dxa"/>
            <w:gridSpan w:val="2"/>
            <w:tcBorders>
              <w:top w:val="single" w:sz="4" w:space="0" w:color="auto"/>
              <w:left w:val="single" w:sz="4" w:space="0" w:color="auto"/>
              <w:bottom w:val="nil"/>
              <w:right w:val="nil"/>
            </w:tcBorders>
            <w:shd w:val="clear" w:color="auto" w:fill="FFFFFF"/>
            <w:hideMark/>
          </w:tcPr>
          <w:p w14:paraId="7A24457C"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h</w:t>
            </w:r>
          </w:p>
        </w:tc>
        <w:tc>
          <w:tcPr>
            <w:tcW w:w="670" w:type="dxa"/>
            <w:gridSpan w:val="2"/>
            <w:tcBorders>
              <w:top w:val="single" w:sz="4" w:space="0" w:color="auto"/>
              <w:left w:val="single" w:sz="4" w:space="0" w:color="auto"/>
              <w:bottom w:val="nil"/>
              <w:right w:val="nil"/>
            </w:tcBorders>
            <w:shd w:val="clear" w:color="auto" w:fill="FFFFFF"/>
            <w:hideMark/>
          </w:tcPr>
          <w:p w14:paraId="5C8AB1F0"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i</w:t>
            </w:r>
          </w:p>
        </w:tc>
        <w:tc>
          <w:tcPr>
            <w:tcW w:w="625" w:type="dxa"/>
            <w:gridSpan w:val="3"/>
            <w:tcBorders>
              <w:top w:val="single" w:sz="4" w:space="0" w:color="auto"/>
              <w:left w:val="single" w:sz="4" w:space="0" w:color="auto"/>
              <w:bottom w:val="nil"/>
              <w:right w:val="nil"/>
            </w:tcBorders>
            <w:shd w:val="clear" w:color="auto" w:fill="FFFFFF"/>
            <w:hideMark/>
          </w:tcPr>
          <w:p w14:paraId="4FD922D2"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j</w:t>
            </w:r>
          </w:p>
        </w:tc>
        <w:tc>
          <w:tcPr>
            <w:tcW w:w="620" w:type="dxa"/>
            <w:gridSpan w:val="3"/>
            <w:tcBorders>
              <w:top w:val="single" w:sz="4" w:space="0" w:color="auto"/>
              <w:left w:val="single" w:sz="4" w:space="0" w:color="auto"/>
              <w:bottom w:val="nil"/>
              <w:right w:val="nil"/>
            </w:tcBorders>
            <w:shd w:val="clear" w:color="auto" w:fill="FFFFFF"/>
            <w:hideMark/>
          </w:tcPr>
          <w:p w14:paraId="5819BBF0"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k</w:t>
            </w:r>
          </w:p>
        </w:tc>
        <w:tc>
          <w:tcPr>
            <w:tcW w:w="621" w:type="dxa"/>
            <w:gridSpan w:val="3"/>
            <w:tcBorders>
              <w:top w:val="single" w:sz="4" w:space="0" w:color="auto"/>
              <w:left w:val="single" w:sz="4" w:space="0" w:color="auto"/>
              <w:bottom w:val="nil"/>
              <w:right w:val="nil"/>
            </w:tcBorders>
            <w:shd w:val="clear" w:color="auto" w:fill="FFFFFF"/>
            <w:hideMark/>
          </w:tcPr>
          <w:p w14:paraId="6E4BC45F"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l</w:t>
            </w:r>
          </w:p>
        </w:tc>
        <w:tc>
          <w:tcPr>
            <w:tcW w:w="625" w:type="dxa"/>
            <w:gridSpan w:val="2"/>
            <w:tcBorders>
              <w:top w:val="single" w:sz="4" w:space="0" w:color="auto"/>
              <w:left w:val="single" w:sz="4" w:space="0" w:color="auto"/>
              <w:bottom w:val="nil"/>
              <w:right w:val="nil"/>
            </w:tcBorders>
            <w:shd w:val="clear" w:color="auto" w:fill="FFFFFF"/>
            <w:hideMark/>
          </w:tcPr>
          <w:p w14:paraId="6BB956B6"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m</w:t>
            </w:r>
          </w:p>
        </w:tc>
        <w:tc>
          <w:tcPr>
            <w:tcW w:w="620" w:type="dxa"/>
            <w:gridSpan w:val="2"/>
            <w:tcBorders>
              <w:top w:val="single" w:sz="4" w:space="0" w:color="auto"/>
              <w:left w:val="single" w:sz="4" w:space="0" w:color="auto"/>
              <w:bottom w:val="nil"/>
              <w:right w:val="nil"/>
            </w:tcBorders>
            <w:shd w:val="clear" w:color="auto" w:fill="FFFFFF"/>
            <w:hideMark/>
          </w:tcPr>
          <w:p w14:paraId="40407B07"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n</w:t>
            </w:r>
          </w:p>
        </w:tc>
        <w:tc>
          <w:tcPr>
            <w:tcW w:w="622" w:type="dxa"/>
            <w:gridSpan w:val="3"/>
            <w:tcBorders>
              <w:top w:val="single" w:sz="4" w:space="0" w:color="auto"/>
              <w:left w:val="single" w:sz="4" w:space="0" w:color="auto"/>
              <w:bottom w:val="nil"/>
              <w:right w:val="nil"/>
            </w:tcBorders>
            <w:shd w:val="clear" w:color="auto" w:fill="FFFFFF"/>
            <w:hideMark/>
          </w:tcPr>
          <w:p w14:paraId="04BC9F94"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o</w:t>
            </w:r>
          </w:p>
        </w:tc>
        <w:tc>
          <w:tcPr>
            <w:tcW w:w="649" w:type="dxa"/>
            <w:gridSpan w:val="2"/>
            <w:tcBorders>
              <w:top w:val="single" w:sz="4" w:space="0" w:color="auto"/>
              <w:left w:val="single" w:sz="4" w:space="0" w:color="auto"/>
              <w:bottom w:val="nil"/>
              <w:right w:val="single" w:sz="4" w:space="0" w:color="auto"/>
            </w:tcBorders>
            <w:shd w:val="clear" w:color="auto" w:fill="FFFFFF"/>
            <w:hideMark/>
          </w:tcPr>
          <w:p w14:paraId="534290AF"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p</w:t>
            </w:r>
          </w:p>
        </w:tc>
      </w:tr>
      <w:tr w:rsidR="00A54846" w14:paraId="1E95C402" w14:textId="77777777">
        <w:trPr>
          <w:trHeight w:val="156"/>
        </w:trPr>
        <w:tc>
          <w:tcPr>
            <w:tcW w:w="4055" w:type="dxa"/>
            <w:gridSpan w:val="2"/>
            <w:vMerge w:val="restart"/>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3AE15217"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 (i forhold til strømmen av alle eiendeler som omfattes av taksonomien)</w:t>
            </w:r>
          </w:p>
        </w:tc>
        <w:tc>
          <w:tcPr>
            <w:tcW w:w="9973" w:type="dxa"/>
            <w:gridSpan w:val="36"/>
            <w:tcBorders>
              <w:top w:val="single" w:sz="4" w:space="0" w:color="auto"/>
              <w:left w:val="single" w:sz="4" w:space="0" w:color="auto"/>
              <w:bottom w:val="nil"/>
              <w:right w:val="nil"/>
            </w:tcBorders>
            <w:shd w:val="clear" w:color="auto" w:fill="B5B5B5"/>
            <w:hideMark/>
          </w:tcPr>
          <w:p w14:paraId="71171BE3"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Referansedato for opplysningene T</w:t>
            </w:r>
          </w:p>
        </w:tc>
      </w:tr>
      <w:tr w:rsidR="00A54846" w14:paraId="3BBAE9E2" w14:textId="77777777">
        <w:trPr>
          <w:trHeight w:val="156"/>
        </w:trPr>
        <w:tc>
          <w:tcPr>
            <w:tcW w:w="4055" w:type="dxa"/>
            <w:gridSpan w:val="2"/>
            <w:vMerge/>
            <w:tcBorders>
              <w:top w:val="single" w:sz="4" w:space="0" w:color="auto"/>
              <w:left w:val="single" w:sz="4" w:space="0" w:color="auto"/>
              <w:bottom w:val="nil"/>
              <w:right w:val="nil"/>
            </w:tcBorders>
            <w:vAlign w:val="center"/>
            <w:hideMark/>
          </w:tcPr>
          <w:p w14:paraId="728D53F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2"/>
                <w:szCs w:val="12"/>
                <w:lang w:val="en-US" w:bidi="en-US"/>
              </w:rPr>
            </w:pPr>
          </w:p>
        </w:tc>
        <w:tc>
          <w:tcPr>
            <w:tcW w:w="3113" w:type="dxa"/>
            <w:gridSpan w:val="9"/>
            <w:tcBorders>
              <w:top w:val="single" w:sz="4" w:space="0" w:color="auto"/>
              <w:left w:val="single" w:sz="4" w:space="0" w:color="auto"/>
              <w:bottom w:val="nil"/>
              <w:right w:val="nil"/>
            </w:tcBorders>
            <w:shd w:val="clear" w:color="auto" w:fill="B5B5B5"/>
            <w:tcMar>
              <w:top w:w="0" w:type="dxa"/>
              <w:left w:w="40" w:type="dxa"/>
              <w:bottom w:w="0" w:type="dxa"/>
              <w:right w:w="40" w:type="dxa"/>
            </w:tcMar>
            <w:vAlign w:val="bottom"/>
            <w:hideMark/>
          </w:tcPr>
          <w:p w14:paraId="32DB49BB" w14:textId="77777777" w:rsidR="00A54846" w:rsidRDefault="008A2731">
            <w:pPr>
              <w:widowControl w:val="0"/>
              <w:shd w:val="clear" w:color="auto" w:fill="auto"/>
              <w:spacing w:after="0" w:line="160" w:lineRule="exact"/>
              <w:jc w:val="center"/>
              <w:rPr>
                <w:rFonts w:ascii="Helvetica" w:eastAsia="Arial Unicode MS" w:hAnsi="Helvetica" w:cs="Arial Unicode MS"/>
                <w:b/>
                <w:color w:val="000000"/>
                <w:sz w:val="12"/>
                <w:szCs w:val="12"/>
              </w:rPr>
            </w:pPr>
            <w:r>
              <w:rPr>
                <w:rFonts w:ascii="Helvetica" w:hAnsi="Helvetica"/>
                <w:b/>
                <w:color w:val="000000"/>
                <w:sz w:val="12"/>
              </w:rPr>
              <w:t>Begrensning av klimaendringer</w:t>
            </w:r>
          </w:p>
        </w:tc>
        <w:tc>
          <w:tcPr>
            <w:tcW w:w="3103" w:type="dxa"/>
            <w:gridSpan w:val="12"/>
            <w:tcBorders>
              <w:top w:val="single" w:sz="4" w:space="0" w:color="auto"/>
              <w:left w:val="single" w:sz="4" w:space="0" w:color="auto"/>
              <w:bottom w:val="nil"/>
              <w:right w:val="nil"/>
            </w:tcBorders>
            <w:shd w:val="clear" w:color="auto" w:fill="B5B5B5"/>
            <w:tcMar>
              <w:top w:w="0" w:type="dxa"/>
              <w:left w:w="40" w:type="dxa"/>
              <w:bottom w:w="0" w:type="dxa"/>
              <w:right w:w="40" w:type="dxa"/>
            </w:tcMar>
            <w:vAlign w:val="bottom"/>
            <w:hideMark/>
          </w:tcPr>
          <w:p w14:paraId="21A84F7F" w14:textId="77777777" w:rsidR="00A54846" w:rsidRDefault="008A2731">
            <w:pPr>
              <w:widowControl w:val="0"/>
              <w:shd w:val="clear" w:color="auto" w:fill="auto"/>
              <w:spacing w:after="0" w:line="160" w:lineRule="exact"/>
              <w:jc w:val="center"/>
              <w:rPr>
                <w:rFonts w:ascii="Helvetica" w:eastAsia="Arial Unicode MS" w:hAnsi="Helvetica" w:cs="Arial Unicode MS"/>
                <w:b/>
                <w:color w:val="000000"/>
                <w:sz w:val="12"/>
                <w:szCs w:val="12"/>
              </w:rPr>
            </w:pPr>
            <w:r>
              <w:rPr>
                <w:rFonts w:ascii="Helvetica" w:hAnsi="Helvetica"/>
                <w:b/>
                <w:color w:val="000000"/>
                <w:sz w:val="12"/>
              </w:rPr>
              <w:t>Tilpasning til klimaendringer</w:t>
            </w:r>
          </w:p>
        </w:tc>
        <w:tc>
          <w:tcPr>
            <w:tcW w:w="3108" w:type="dxa"/>
            <w:gridSpan w:val="13"/>
            <w:tcBorders>
              <w:top w:val="single" w:sz="4" w:space="0" w:color="auto"/>
              <w:left w:val="single" w:sz="4" w:space="0" w:color="auto"/>
              <w:bottom w:val="nil"/>
              <w:right w:val="nil"/>
            </w:tcBorders>
            <w:shd w:val="clear" w:color="auto" w:fill="B5B5B5"/>
            <w:tcMar>
              <w:top w:w="0" w:type="dxa"/>
              <w:left w:w="40" w:type="dxa"/>
              <w:bottom w:w="0" w:type="dxa"/>
              <w:right w:w="40" w:type="dxa"/>
            </w:tcMar>
            <w:vAlign w:val="bottom"/>
            <w:hideMark/>
          </w:tcPr>
          <w:p w14:paraId="50FE7654" w14:textId="77777777" w:rsidR="00A54846" w:rsidRDefault="008A2731">
            <w:pPr>
              <w:widowControl w:val="0"/>
              <w:shd w:val="clear" w:color="auto" w:fill="auto"/>
              <w:spacing w:after="0" w:line="160" w:lineRule="exact"/>
              <w:jc w:val="center"/>
              <w:rPr>
                <w:rFonts w:ascii="Helvetica" w:eastAsia="Arial Unicode MS" w:hAnsi="Helvetica" w:cs="Arial Unicode MS"/>
                <w:b/>
                <w:color w:val="000000"/>
                <w:sz w:val="12"/>
                <w:szCs w:val="12"/>
              </w:rPr>
            </w:pPr>
            <w:r>
              <w:rPr>
                <w:rFonts w:ascii="Helvetica" w:hAnsi="Helvetica"/>
                <w:b/>
                <w:color w:val="000000"/>
                <w:sz w:val="12"/>
              </w:rPr>
              <w:t>SUM (begrensning + tilpasning)</w:t>
            </w:r>
          </w:p>
        </w:tc>
        <w:tc>
          <w:tcPr>
            <w:tcW w:w="649" w:type="dxa"/>
            <w:gridSpan w:val="2"/>
            <w:tcBorders>
              <w:top w:val="single" w:sz="4" w:space="0" w:color="auto"/>
              <w:left w:val="single" w:sz="4" w:space="0" w:color="auto"/>
              <w:bottom w:val="single" w:sz="4" w:space="0" w:color="auto"/>
              <w:right w:val="nil"/>
            </w:tcBorders>
            <w:shd w:val="clear" w:color="auto" w:fill="B5B5B5"/>
          </w:tcPr>
          <w:p w14:paraId="4D0E6163" w14:textId="77777777" w:rsidR="00A54846" w:rsidRDefault="00A54846">
            <w:pPr>
              <w:widowControl w:val="0"/>
              <w:shd w:val="clear" w:color="auto" w:fill="auto"/>
              <w:spacing w:after="0" w:line="160" w:lineRule="exact"/>
              <w:jc w:val="center"/>
              <w:rPr>
                <w:rFonts w:ascii="Helvetica" w:eastAsia="Arial Unicode MS" w:hAnsi="Helvetica" w:cs="Arial Unicode MS"/>
                <w:color w:val="000000"/>
                <w:sz w:val="12"/>
                <w:szCs w:val="12"/>
                <w:lang w:val="en-US" w:bidi="en-US"/>
              </w:rPr>
            </w:pPr>
          </w:p>
        </w:tc>
      </w:tr>
      <w:tr w:rsidR="00A54846" w14:paraId="50584257" w14:textId="77777777">
        <w:trPr>
          <w:trHeight w:val="323"/>
        </w:trPr>
        <w:tc>
          <w:tcPr>
            <w:tcW w:w="4055" w:type="dxa"/>
            <w:gridSpan w:val="2"/>
            <w:vMerge/>
            <w:tcBorders>
              <w:top w:val="single" w:sz="4" w:space="0" w:color="auto"/>
              <w:left w:val="single" w:sz="4" w:space="0" w:color="auto"/>
              <w:bottom w:val="nil"/>
              <w:right w:val="nil"/>
            </w:tcBorders>
            <w:vAlign w:val="center"/>
            <w:hideMark/>
          </w:tcPr>
          <w:p w14:paraId="0CAB518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2"/>
                <w:szCs w:val="12"/>
                <w:lang w:val="en-US" w:bidi="en-US"/>
              </w:rPr>
            </w:pPr>
          </w:p>
        </w:tc>
        <w:tc>
          <w:tcPr>
            <w:tcW w:w="3113" w:type="dxa"/>
            <w:gridSpan w:val="9"/>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23646EE2"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Andel av samlede dekkede eiendeler som finansierer taksonomirelevante sektorer (som er omfattet av taksonomien)</w:t>
            </w:r>
          </w:p>
        </w:tc>
        <w:tc>
          <w:tcPr>
            <w:tcW w:w="3103" w:type="dxa"/>
            <w:gridSpan w:val="12"/>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5EFE93B7"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Andel av samlede dekkede eiendeler som finansierer taksonomirelevante sektorer (som er omfattet av taksonomien)</w:t>
            </w:r>
          </w:p>
        </w:tc>
        <w:tc>
          <w:tcPr>
            <w:tcW w:w="3108" w:type="dxa"/>
            <w:gridSpan w:val="13"/>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6775B57C"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Andel av samlede dekkede eiendeler som finansierer taksonomirelevante sektorer (som er omfattet av taksonomien)</w:t>
            </w:r>
          </w:p>
        </w:tc>
        <w:tc>
          <w:tcPr>
            <w:tcW w:w="649" w:type="dxa"/>
            <w:gridSpan w:val="2"/>
            <w:vMerge w:val="restart"/>
            <w:tcBorders>
              <w:top w:val="single" w:sz="4" w:space="0" w:color="auto"/>
              <w:left w:val="single" w:sz="4" w:space="0" w:color="auto"/>
              <w:right w:val="single" w:sz="4" w:space="0" w:color="auto"/>
            </w:tcBorders>
            <w:shd w:val="clear" w:color="auto" w:fill="FFFFFF"/>
            <w:vAlign w:val="center"/>
            <w:hideMark/>
          </w:tcPr>
          <w:p w14:paraId="29C0465E"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Andel av samlede nye eiendeler som omfattes</w:t>
            </w:r>
          </w:p>
        </w:tc>
      </w:tr>
      <w:tr w:rsidR="00A54846" w14:paraId="0DDFB5CA" w14:textId="77777777">
        <w:trPr>
          <w:trHeight w:val="467"/>
        </w:trPr>
        <w:tc>
          <w:tcPr>
            <w:tcW w:w="4055" w:type="dxa"/>
            <w:gridSpan w:val="2"/>
            <w:vMerge/>
            <w:tcBorders>
              <w:top w:val="single" w:sz="4" w:space="0" w:color="auto"/>
              <w:left w:val="single" w:sz="4" w:space="0" w:color="auto"/>
              <w:bottom w:val="nil"/>
              <w:right w:val="nil"/>
            </w:tcBorders>
            <w:vAlign w:val="center"/>
            <w:hideMark/>
          </w:tcPr>
          <w:p w14:paraId="64F5D44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87" w:type="dxa"/>
            <w:vMerge w:val="restart"/>
            <w:tcBorders>
              <w:top w:val="nil"/>
              <w:left w:val="single" w:sz="4" w:space="0" w:color="auto"/>
              <w:bottom w:val="nil"/>
              <w:right w:val="nil"/>
            </w:tcBorders>
            <w:shd w:val="clear" w:color="auto" w:fill="FFFFFF"/>
            <w:tcMar>
              <w:top w:w="0" w:type="dxa"/>
              <w:left w:w="40" w:type="dxa"/>
              <w:bottom w:w="0" w:type="dxa"/>
              <w:right w:w="40" w:type="dxa"/>
            </w:tcMar>
          </w:tcPr>
          <w:p w14:paraId="45DE7FDD" w14:textId="77777777" w:rsidR="00A54846" w:rsidRPr="006A792F" w:rsidRDefault="00A54846">
            <w:pPr>
              <w:widowControl w:val="0"/>
              <w:shd w:val="clear" w:color="auto" w:fill="auto"/>
              <w:spacing w:after="0" w:line="160" w:lineRule="exact"/>
              <w:jc w:val="center"/>
              <w:rPr>
                <w:rFonts w:ascii="Helvetica" w:eastAsia="Arial Unicode MS" w:hAnsi="Helvetica" w:cs="Arial Unicode MS"/>
                <w:color w:val="000000"/>
                <w:sz w:val="12"/>
                <w:szCs w:val="12"/>
                <w:lang w:bidi="en-US"/>
              </w:rPr>
            </w:pPr>
          </w:p>
        </w:tc>
        <w:tc>
          <w:tcPr>
            <w:tcW w:w="2526" w:type="dxa"/>
            <w:gridSpan w:val="8"/>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03DC1EBA"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Andel av samlede dekkede eiendeler som finansierer taksonomirelevante sektorer (taksonomiforenlige)</w:t>
            </w:r>
          </w:p>
        </w:tc>
        <w:tc>
          <w:tcPr>
            <w:tcW w:w="579" w:type="dxa"/>
            <w:vMerge w:val="restart"/>
            <w:tcBorders>
              <w:top w:val="nil"/>
              <w:left w:val="single" w:sz="4" w:space="0" w:color="auto"/>
              <w:bottom w:val="nil"/>
              <w:right w:val="nil"/>
            </w:tcBorders>
            <w:shd w:val="clear" w:color="auto" w:fill="FFFFFF"/>
            <w:tcMar>
              <w:top w:w="0" w:type="dxa"/>
              <w:left w:w="40" w:type="dxa"/>
              <w:bottom w:w="0" w:type="dxa"/>
              <w:right w:w="40" w:type="dxa"/>
            </w:tcMar>
          </w:tcPr>
          <w:p w14:paraId="2E936617" w14:textId="77777777" w:rsidR="00A54846" w:rsidRPr="006A792F" w:rsidRDefault="00A54846">
            <w:pPr>
              <w:widowControl w:val="0"/>
              <w:shd w:val="clear" w:color="auto" w:fill="auto"/>
              <w:spacing w:after="0" w:line="160" w:lineRule="exact"/>
              <w:jc w:val="center"/>
              <w:rPr>
                <w:rFonts w:ascii="Helvetica" w:eastAsia="Arial Unicode MS" w:hAnsi="Helvetica" w:cs="Arial Unicode MS"/>
                <w:color w:val="000000"/>
                <w:sz w:val="12"/>
                <w:szCs w:val="12"/>
                <w:lang w:bidi="en-US"/>
              </w:rPr>
            </w:pPr>
          </w:p>
        </w:tc>
        <w:tc>
          <w:tcPr>
            <w:tcW w:w="2524" w:type="dxa"/>
            <w:gridSpan w:val="11"/>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67C053C0"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Andel av samlede dekkede eiendeler som finansierer taksonomirelevante sektorer (taksonomiforenlige)</w:t>
            </w:r>
          </w:p>
        </w:tc>
        <w:tc>
          <w:tcPr>
            <w:tcW w:w="575" w:type="dxa"/>
            <w:gridSpan w:val="2"/>
            <w:vMerge w:val="restart"/>
            <w:tcBorders>
              <w:top w:val="nil"/>
              <w:left w:val="single" w:sz="4" w:space="0" w:color="auto"/>
              <w:bottom w:val="nil"/>
              <w:right w:val="nil"/>
            </w:tcBorders>
            <w:shd w:val="clear" w:color="auto" w:fill="FFFFFF"/>
            <w:tcMar>
              <w:top w:w="0" w:type="dxa"/>
              <w:left w:w="40" w:type="dxa"/>
              <w:bottom w:w="0" w:type="dxa"/>
              <w:right w:w="40" w:type="dxa"/>
            </w:tcMar>
          </w:tcPr>
          <w:p w14:paraId="5859CCF5" w14:textId="77777777" w:rsidR="00A54846" w:rsidRPr="006A792F" w:rsidRDefault="00A54846">
            <w:pPr>
              <w:widowControl w:val="0"/>
              <w:shd w:val="clear" w:color="auto" w:fill="auto"/>
              <w:spacing w:after="0" w:line="160" w:lineRule="exact"/>
              <w:jc w:val="center"/>
              <w:rPr>
                <w:rFonts w:ascii="Helvetica" w:eastAsia="Arial Unicode MS" w:hAnsi="Helvetica" w:cs="Arial Unicode MS"/>
                <w:color w:val="000000"/>
                <w:sz w:val="12"/>
                <w:szCs w:val="12"/>
                <w:lang w:bidi="en-US"/>
              </w:rPr>
            </w:pPr>
          </w:p>
        </w:tc>
        <w:tc>
          <w:tcPr>
            <w:tcW w:w="2533" w:type="dxa"/>
            <w:gridSpan w:val="11"/>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0818B58A"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Andel av samlede dekkede eiendeler som finansierer taksonomirelevante sektorer (taksonomiforenlige)</w:t>
            </w:r>
          </w:p>
        </w:tc>
        <w:tc>
          <w:tcPr>
            <w:tcW w:w="649" w:type="dxa"/>
            <w:gridSpan w:val="2"/>
            <w:vMerge/>
            <w:tcBorders>
              <w:left w:val="single" w:sz="4" w:space="0" w:color="auto"/>
              <w:right w:val="single" w:sz="4" w:space="0" w:color="auto"/>
            </w:tcBorders>
            <w:vAlign w:val="center"/>
            <w:hideMark/>
          </w:tcPr>
          <w:p w14:paraId="36F91D2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r>
      <w:tr w:rsidR="00A54846" w14:paraId="6958E389" w14:textId="77777777">
        <w:trPr>
          <w:trHeight w:val="480"/>
        </w:trPr>
        <w:tc>
          <w:tcPr>
            <w:tcW w:w="4055" w:type="dxa"/>
            <w:gridSpan w:val="2"/>
            <w:vMerge/>
            <w:tcBorders>
              <w:top w:val="single" w:sz="4" w:space="0" w:color="auto"/>
              <w:left w:val="single" w:sz="4" w:space="0" w:color="auto"/>
              <w:bottom w:val="nil"/>
              <w:right w:val="nil"/>
            </w:tcBorders>
            <w:vAlign w:val="center"/>
            <w:hideMark/>
          </w:tcPr>
          <w:p w14:paraId="5A4DB35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87" w:type="dxa"/>
            <w:vMerge/>
            <w:tcBorders>
              <w:top w:val="nil"/>
              <w:left w:val="single" w:sz="4" w:space="0" w:color="auto"/>
              <w:bottom w:val="single" w:sz="4" w:space="0" w:color="auto"/>
              <w:right w:val="nil"/>
            </w:tcBorders>
            <w:vAlign w:val="center"/>
            <w:hideMark/>
          </w:tcPr>
          <w:p w14:paraId="71E5E9D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12" w:type="dxa"/>
            <w:gridSpan w:val="2"/>
            <w:tcBorders>
              <w:top w:val="nil"/>
              <w:left w:val="single" w:sz="4" w:space="0" w:color="auto"/>
              <w:bottom w:val="single" w:sz="4" w:space="0" w:color="auto"/>
              <w:right w:val="nil"/>
            </w:tcBorders>
            <w:shd w:val="clear" w:color="auto" w:fill="FFFFFF"/>
            <w:tcMar>
              <w:top w:w="0" w:type="dxa"/>
              <w:left w:w="40" w:type="dxa"/>
              <w:bottom w:w="0" w:type="dxa"/>
              <w:right w:w="40" w:type="dxa"/>
            </w:tcMar>
          </w:tcPr>
          <w:p w14:paraId="1C48EA1F" w14:textId="77777777" w:rsidR="00A54846" w:rsidRPr="006A792F" w:rsidRDefault="00A54846">
            <w:pPr>
              <w:widowControl w:val="0"/>
              <w:shd w:val="clear" w:color="auto" w:fill="auto"/>
              <w:spacing w:after="0" w:line="160" w:lineRule="exact"/>
              <w:jc w:val="center"/>
              <w:rPr>
                <w:rFonts w:ascii="Helvetica" w:eastAsia="Arial Unicode MS" w:hAnsi="Helvetica" w:cs="Arial Unicode MS"/>
                <w:color w:val="000000"/>
                <w:sz w:val="12"/>
                <w:szCs w:val="12"/>
                <w:lang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vAlign w:val="center"/>
            <w:hideMark/>
          </w:tcPr>
          <w:p w14:paraId="344A7B68" w14:textId="77777777" w:rsidR="00A54846" w:rsidRDefault="008A2731">
            <w:pPr>
              <w:widowControl w:val="0"/>
              <w:shd w:val="clear" w:color="auto" w:fill="auto"/>
              <w:spacing w:after="0" w:line="160" w:lineRule="exact"/>
              <w:jc w:val="left"/>
              <w:rPr>
                <w:rFonts w:ascii="Helvetica" w:eastAsia="Arial Unicode MS" w:hAnsi="Helvetica" w:cs="Arial Unicode MS"/>
                <w:color w:val="000000"/>
                <w:sz w:val="12"/>
                <w:szCs w:val="12"/>
              </w:rPr>
            </w:pPr>
            <w:r>
              <w:rPr>
                <w:rFonts w:ascii="Helvetica" w:hAnsi="Helvetica"/>
                <w:color w:val="000000"/>
                <w:sz w:val="12"/>
              </w:rPr>
              <w:t>Hvorav lån for spesielle formål</w:t>
            </w: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vAlign w:val="center"/>
            <w:hideMark/>
          </w:tcPr>
          <w:p w14:paraId="286D1DF3" w14:textId="77777777" w:rsidR="00A54846" w:rsidRDefault="008A2731">
            <w:pPr>
              <w:widowControl w:val="0"/>
              <w:shd w:val="clear" w:color="auto" w:fill="auto"/>
              <w:spacing w:after="0" w:line="160" w:lineRule="exact"/>
              <w:jc w:val="left"/>
              <w:rPr>
                <w:rFonts w:ascii="Helvetica" w:eastAsia="Arial Unicode MS" w:hAnsi="Helvetica" w:cs="Arial Unicode MS"/>
                <w:color w:val="000000"/>
                <w:sz w:val="12"/>
                <w:szCs w:val="12"/>
              </w:rPr>
            </w:pPr>
            <w:r>
              <w:rPr>
                <w:rFonts w:ascii="Helvetica" w:hAnsi="Helvetica"/>
                <w:color w:val="000000"/>
                <w:sz w:val="12"/>
              </w:rPr>
              <w:t>Hvorav omstilling</w:t>
            </w: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vAlign w:val="center"/>
            <w:hideMark/>
          </w:tcPr>
          <w:p w14:paraId="7D22AC98" w14:textId="1ACC548F" w:rsidR="00A54846" w:rsidRDefault="008A2731">
            <w:pPr>
              <w:widowControl w:val="0"/>
              <w:shd w:val="clear" w:color="auto" w:fill="auto"/>
              <w:spacing w:after="0" w:line="160" w:lineRule="exact"/>
              <w:jc w:val="left"/>
              <w:rPr>
                <w:rFonts w:ascii="Helvetica" w:eastAsia="Arial Unicode MS" w:hAnsi="Helvetica" w:cs="Arial Unicode MS"/>
                <w:color w:val="000000"/>
                <w:sz w:val="12"/>
                <w:szCs w:val="12"/>
              </w:rPr>
            </w:pPr>
            <w:r>
              <w:rPr>
                <w:rFonts w:ascii="Helvetica" w:hAnsi="Helvetica"/>
                <w:color w:val="000000"/>
                <w:sz w:val="12"/>
              </w:rPr>
              <w:t>Hvorav mulig</w:t>
            </w:r>
            <w:r w:rsidR="005B4732">
              <w:rPr>
                <w:rFonts w:ascii="Helvetica" w:hAnsi="Helvetica"/>
                <w:color w:val="000000"/>
                <w:sz w:val="12"/>
              </w:rPr>
              <w:softHyphen/>
            </w:r>
            <w:r>
              <w:rPr>
                <w:rFonts w:ascii="Helvetica" w:hAnsi="Helvetica"/>
                <w:color w:val="000000"/>
                <w:sz w:val="12"/>
              </w:rPr>
              <w:t>gjørende</w:t>
            </w:r>
          </w:p>
        </w:tc>
        <w:tc>
          <w:tcPr>
            <w:tcW w:w="579" w:type="dxa"/>
            <w:vMerge/>
            <w:tcBorders>
              <w:top w:val="nil"/>
              <w:left w:val="single" w:sz="4" w:space="0" w:color="auto"/>
              <w:bottom w:val="single" w:sz="4" w:space="0" w:color="auto"/>
              <w:right w:val="nil"/>
            </w:tcBorders>
            <w:vAlign w:val="center"/>
            <w:hideMark/>
          </w:tcPr>
          <w:p w14:paraId="364441B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2"/>
                <w:szCs w:val="12"/>
                <w:lang w:val="en-US" w:bidi="en-US"/>
              </w:rPr>
            </w:pPr>
          </w:p>
        </w:tc>
        <w:tc>
          <w:tcPr>
            <w:tcW w:w="521" w:type="dxa"/>
            <w:gridSpan w:val="3"/>
            <w:tcBorders>
              <w:top w:val="nil"/>
              <w:left w:val="single" w:sz="4" w:space="0" w:color="auto"/>
              <w:bottom w:val="single" w:sz="4" w:space="0" w:color="auto"/>
              <w:right w:val="nil"/>
            </w:tcBorders>
            <w:shd w:val="clear" w:color="auto" w:fill="FFFFFF"/>
            <w:tcMar>
              <w:top w:w="0" w:type="dxa"/>
              <w:left w:w="40" w:type="dxa"/>
              <w:bottom w:w="0" w:type="dxa"/>
              <w:right w:w="40" w:type="dxa"/>
            </w:tcMar>
            <w:vAlign w:val="center"/>
          </w:tcPr>
          <w:p w14:paraId="73993AE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vAlign w:val="center"/>
            <w:hideMark/>
          </w:tcPr>
          <w:p w14:paraId="5874B52F" w14:textId="77777777" w:rsidR="00A54846" w:rsidRDefault="008A2731">
            <w:pPr>
              <w:widowControl w:val="0"/>
              <w:shd w:val="clear" w:color="auto" w:fill="auto"/>
              <w:spacing w:after="0" w:line="160" w:lineRule="exact"/>
              <w:jc w:val="left"/>
              <w:rPr>
                <w:rFonts w:ascii="Helvetica" w:eastAsia="Arial Unicode MS" w:hAnsi="Helvetica" w:cs="Arial Unicode MS"/>
                <w:color w:val="000000"/>
                <w:sz w:val="12"/>
                <w:szCs w:val="12"/>
              </w:rPr>
            </w:pPr>
            <w:r>
              <w:rPr>
                <w:rFonts w:ascii="Helvetica" w:hAnsi="Helvetica"/>
                <w:color w:val="000000"/>
                <w:sz w:val="12"/>
              </w:rPr>
              <w:t>Hvorav lån for spesielle formål</w:t>
            </w: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vAlign w:val="center"/>
            <w:hideMark/>
          </w:tcPr>
          <w:p w14:paraId="1057B833" w14:textId="77777777" w:rsidR="00A54846" w:rsidRDefault="008A2731">
            <w:pPr>
              <w:widowControl w:val="0"/>
              <w:shd w:val="clear" w:color="auto" w:fill="auto"/>
              <w:spacing w:after="0" w:line="160" w:lineRule="exact"/>
              <w:jc w:val="left"/>
              <w:rPr>
                <w:rFonts w:ascii="Helvetica" w:eastAsia="Arial Unicode MS" w:hAnsi="Helvetica" w:cs="Arial Unicode MS"/>
                <w:color w:val="000000"/>
                <w:sz w:val="12"/>
                <w:szCs w:val="12"/>
              </w:rPr>
            </w:pPr>
            <w:r>
              <w:rPr>
                <w:rFonts w:ascii="Helvetica" w:hAnsi="Helvetica"/>
                <w:color w:val="000000"/>
                <w:sz w:val="12"/>
              </w:rPr>
              <w:t>Hvorav omstilling</w:t>
            </w: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vAlign w:val="center"/>
            <w:hideMark/>
          </w:tcPr>
          <w:p w14:paraId="10423421" w14:textId="2BD4A101" w:rsidR="00A54846" w:rsidRDefault="008A2731">
            <w:pPr>
              <w:widowControl w:val="0"/>
              <w:shd w:val="clear" w:color="auto" w:fill="auto"/>
              <w:spacing w:after="0" w:line="160" w:lineRule="exact"/>
              <w:jc w:val="left"/>
              <w:rPr>
                <w:rFonts w:ascii="Helvetica" w:eastAsia="Arial Unicode MS" w:hAnsi="Helvetica" w:cs="Arial Unicode MS"/>
                <w:color w:val="000000"/>
                <w:sz w:val="12"/>
                <w:szCs w:val="12"/>
              </w:rPr>
            </w:pPr>
            <w:r>
              <w:rPr>
                <w:rFonts w:ascii="Helvetica" w:hAnsi="Helvetica"/>
                <w:color w:val="000000"/>
                <w:sz w:val="12"/>
              </w:rPr>
              <w:t>Hvorav mulig</w:t>
            </w:r>
            <w:r w:rsidR="005B4732">
              <w:rPr>
                <w:rFonts w:ascii="Helvetica" w:hAnsi="Helvetica"/>
                <w:color w:val="000000"/>
                <w:sz w:val="12"/>
              </w:rPr>
              <w:softHyphen/>
            </w:r>
            <w:r>
              <w:rPr>
                <w:rFonts w:ascii="Helvetica" w:hAnsi="Helvetica"/>
                <w:color w:val="000000"/>
                <w:sz w:val="12"/>
              </w:rPr>
              <w:t>gjørende</w:t>
            </w:r>
          </w:p>
        </w:tc>
        <w:tc>
          <w:tcPr>
            <w:tcW w:w="575" w:type="dxa"/>
            <w:gridSpan w:val="2"/>
            <w:vMerge/>
            <w:tcBorders>
              <w:top w:val="nil"/>
              <w:left w:val="single" w:sz="4" w:space="0" w:color="auto"/>
              <w:bottom w:val="single" w:sz="4" w:space="0" w:color="auto"/>
              <w:right w:val="nil"/>
            </w:tcBorders>
            <w:vAlign w:val="center"/>
            <w:hideMark/>
          </w:tcPr>
          <w:p w14:paraId="56D680E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2"/>
                <w:szCs w:val="12"/>
                <w:lang w:val="en-US" w:bidi="en-US"/>
              </w:rPr>
            </w:pPr>
          </w:p>
        </w:tc>
        <w:tc>
          <w:tcPr>
            <w:tcW w:w="551" w:type="dxa"/>
            <w:gridSpan w:val="3"/>
            <w:tcBorders>
              <w:top w:val="nil"/>
              <w:left w:val="single" w:sz="4" w:space="0" w:color="auto"/>
              <w:bottom w:val="single" w:sz="4" w:space="0" w:color="auto"/>
              <w:right w:val="nil"/>
            </w:tcBorders>
            <w:shd w:val="clear" w:color="auto" w:fill="FFFFFF"/>
            <w:tcMar>
              <w:top w:w="0" w:type="dxa"/>
              <w:left w:w="40" w:type="dxa"/>
              <w:bottom w:w="0" w:type="dxa"/>
              <w:right w:w="40" w:type="dxa"/>
            </w:tcMar>
            <w:vAlign w:val="center"/>
          </w:tcPr>
          <w:p w14:paraId="7E1CBAA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vAlign w:val="center"/>
            <w:hideMark/>
          </w:tcPr>
          <w:p w14:paraId="2F312EC6" w14:textId="77777777" w:rsidR="00A54846" w:rsidRDefault="008A2731">
            <w:pPr>
              <w:widowControl w:val="0"/>
              <w:shd w:val="clear" w:color="auto" w:fill="auto"/>
              <w:spacing w:after="0" w:line="160" w:lineRule="exact"/>
              <w:jc w:val="left"/>
              <w:rPr>
                <w:rFonts w:ascii="Helvetica" w:eastAsia="Arial Unicode MS" w:hAnsi="Helvetica" w:cs="Arial Unicode MS"/>
                <w:color w:val="000000"/>
                <w:sz w:val="12"/>
                <w:szCs w:val="12"/>
              </w:rPr>
            </w:pPr>
            <w:r>
              <w:rPr>
                <w:rFonts w:ascii="Helvetica" w:hAnsi="Helvetica"/>
                <w:color w:val="000000"/>
                <w:sz w:val="12"/>
              </w:rPr>
              <w:t>Hvorav lån for spesielle formål</w:t>
            </w: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vAlign w:val="center"/>
            <w:hideMark/>
          </w:tcPr>
          <w:p w14:paraId="0CDC2BE3" w14:textId="77777777" w:rsidR="00A54846" w:rsidRDefault="008A2731">
            <w:pPr>
              <w:widowControl w:val="0"/>
              <w:shd w:val="clear" w:color="auto" w:fill="auto"/>
              <w:spacing w:after="0" w:line="160" w:lineRule="exact"/>
              <w:jc w:val="left"/>
              <w:rPr>
                <w:rFonts w:ascii="Helvetica" w:eastAsia="Arial Unicode MS" w:hAnsi="Helvetica" w:cs="Arial Unicode MS"/>
                <w:color w:val="000000"/>
                <w:sz w:val="12"/>
                <w:szCs w:val="12"/>
              </w:rPr>
            </w:pPr>
            <w:r>
              <w:rPr>
                <w:rFonts w:ascii="Helvetica" w:hAnsi="Helvetica"/>
                <w:color w:val="000000"/>
                <w:sz w:val="12"/>
              </w:rPr>
              <w:t>Hvorav omstilling</w:t>
            </w: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vAlign w:val="center"/>
            <w:hideMark/>
          </w:tcPr>
          <w:p w14:paraId="758C61A7" w14:textId="02D6CFE8" w:rsidR="00A54846" w:rsidRDefault="008A2731">
            <w:pPr>
              <w:widowControl w:val="0"/>
              <w:shd w:val="clear" w:color="auto" w:fill="auto"/>
              <w:spacing w:after="0" w:line="160" w:lineRule="exact"/>
              <w:jc w:val="left"/>
              <w:rPr>
                <w:rFonts w:ascii="Helvetica" w:eastAsia="Arial Unicode MS" w:hAnsi="Helvetica" w:cs="Arial Unicode MS"/>
                <w:color w:val="000000"/>
                <w:sz w:val="12"/>
                <w:szCs w:val="12"/>
              </w:rPr>
            </w:pPr>
            <w:r>
              <w:rPr>
                <w:rFonts w:ascii="Helvetica" w:hAnsi="Helvetica"/>
                <w:color w:val="000000"/>
                <w:sz w:val="12"/>
              </w:rPr>
              <w:t>Hvorav mulig</w:t>
            </w:r>
            <w:r w:rsidR="003929D8">
              <w:rPr>
                <w:rFonts w:ascii="Helvetica" w:hAnsi="Helvetica"/>
                <w:color w:val="000000"/>
                <w:sz w:val="12"/>
              </w:rPr>
              <w:softHyphen/>
            </w:r>
            <w:r>
              <w:rPr>
                <w:rFonts w:ascii="Helvetica" w:hAnsi="Helvetica"/>
                <w:color w:val="000000"/>
                <w:sz w:val="12"/>
              </w:rPr>
              <w:t>gjøren</w:t>
            </w:r>
            <w:r w:rsidR="003929D8">
              <w:rPr>
                <w:rFonts w:ascii="Helvetica" w:hAnsi="Helvetica"/>
                <w:color w:val="000000"/>
                <w:sz w:val="12"/>
              </w:rPr>
              <w:softHyphen/>
            </w:r>
            <w:r>
              <w:rPr>
                <w:rFonts w:ascii="Helvetica" w:hAnsi="Helvetica"/>
                <w:color w:val="000000"/>
                <w:sz w:val="12"/>
              </w:rPr>
              <w:t>de</w:t>
            </w:r>
          </w:p>
        </w:tc>
        <w:tc>
          <w:tcPr>
            <w:tcW w:w="649" w:type="dxa"/>
            <w:gridSpan w:val="2"/>
            <w:vMerge/>
            <w:tcBorders>
              <w:left w:val="single" w:sz="4" w:space="0" w:color="auto"/>
              <w:bottom w:val="single" w:sz="4" w:space="0" w:color="auto"/>
              <w:right w:val="single" w:sz="4" w:space="0" w:color="auto"/>
            </w:tcBorders>
            <w:vAlign w:val="center"/>
            <w:hideMark/>
          </w:tcPr>
          <w:p w14:paraId="258B3AB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2"/>
                <w:szCs w:val="12"/>
                <w:lang w:val="en-US" w:bidi="en-US"/>
              </w:rPr>
            </w:pPr>
          </w:p>
        </w:tc>
      </w:tr>
      <w:tr w:rsidR="00A54846" w14:paraId="40F8B683"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21DE32D"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1</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1FA0F81C" w14:textId="77777777" w:rsidR="00A54846" w:rsidRDefault="008A2731">
            <w:pPr>
              <w:widowControl w:val="0"/>
              <w:shd w:val="clear" w:color="auto" w:fill="auto"/>
              <w:spacing w:after="0" w:line="160" w:lineRule="exact"/>
              <w:jc w:val="left"/>
              <w:rPr>
                <w:rFonts w:ascii="Helvetica" w:eastAsia="Arial Unicode MS" w:hAnsi="Helvetica" w:cs="Arial Unicode MS"/>
                <w:b/>
                <w:color w:val="000000"/>
                <w:sz w:val="12"/>
                <w:szCs w:val="12"/>
                <w:u w:val="single"/>
              </w:rPr>
            </w:pPr>
            <w:r>
              <w:rPr>
                <w:rFonts w:ascii="Helvetica" w:hAnsi="Helvetica"/>
                <w:b/>
                <w:color w:val="000000"/>
                <w:sz w:val="12"/>
                <w:u w:val="single"/>
              </w:rPr>
              <w:t>GAR-dekkede eiendeler som inngår i både teller og nevner</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D5B1DF0"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B98833D"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4EF892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46DC71B"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27C2F26"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129A490"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59B0766"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7779AC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279FCD7"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CE5AC8F"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219A55F"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CE9E290"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3A578DF"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E1AC33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3C0551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048D6F6F" w14:textId="77777777" w:rsidR="00A54846" w:rsidRPr="006A792F" w:rsidRDefault="00A54846">
            <w:pPr>
              <w:widowControl w:val="0"/>
              <w:shd w:val="clear" w:color="auto" w:fill="auto"/>
              <w:spacing w:after="0" w:line="160" w:lineRule="exact"/>
              <w:jc w:val="center"/>
              <w:rPr>
                <w:rFonts w:ascii="Helvetica" w:eastAsia="Arial Unicode MS" w:hAnsi="Helvetica" w:cs="Arial Unicode MS"/>
                <w:color w:val="000000"/>
                <w:sz w:val="12"/>
                <w:szCs w:val="12"/>
                <w:lang w:bidi="en-US"/>
              </w:rPr>
            </w:pPr>
          </w:p>
        </w:tc>
      </w:tr>
      <w:tr w:rsidR="00A54846" w14:paraId="2A6FC568" w14:textId="77777777">
        <w:trPr>
          <w:trHeight w:val="300"/>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207E9A7B"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2</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33F920D3" w14:textId="77777777" w:rsidR="00A54846" w:rsidRDefault="008A2731">
            <w:pPr>
              <w:widowControl w:val="0"/>
              <w:shd w:val="clear" w:color="auto" w:fill="auto"/>
              <w:spacing w:after="0" w:line="160" w:lineRule="exact"/>
              <w:ind w:left="100"/>
              <w:jc w:val="left"/>
              <w:rPr>
                <w:rFonts w:ascii="Helvetica" w:eastAsia="Arial Unicode MS" w:hAnsi="Helvetica" w:cs="Arial Unicode MS"/>
                <w:color w:val="000000"/>
                <w:sz w:val="12"/>
                <w:szCs w:val="12"/>
              </w:rPr>
            </w:pPr>
            <w:r>
              <w:rPr>
                <w:rFonts w:ascii="Helvetica" w:hAnsi="Helvetica"/>
                <w:color w:val="000000"/>
                <w:sz w:val="12"/>
              </w:rPr>
              <w:t>Lån og forskudd, gjeldsinstrumenter og egenkapitalinstrumenter som ikke innehas for handelsformål, og som inngår i beregningen av GAR</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76D04B5"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C5A8D97"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8F69AD2"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79E3046"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AAEB9EF"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C1FCAC3"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AB25283"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61443D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27C015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A4C968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737F27E"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85E94C1"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F7D86CE"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DA96CBF"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7BDA20C"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30FE64D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r>
      <w:tr w:rsidR="00A54846" w14:paraId="0A3567AA"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CF4E1D4"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3</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9883A95" w14:textId="77777777" w:rsidR="00A54846" w:rsidRDefault="008A2731">
            <w:pPr>
              <w:widowControl w:val="0"/>
              <w:shd w:val="clear" w:color="auto" w:fill="auto"/>
              <w:spacing w:after="0" w:line="160" w:lineRule="exact"/>
              <w:ind w:left="260"/>
              <w:jc w:val="left"/>
              <w:rPr>
                <w:rFonts w:ascii="Helvetica" w:eastAsia="Arial Unicode MS" w:hAnsi="Helvetica" w:cs="Arial Unicode MS"/>
                <w:b/>
                <w:color w:val="000000"/>
                <w:sz w:val="12"/>
                <w:szCs w:val="12"/>
              </w:rPr>
            </w:pPr>
            <w:r>
              <w:rPr>
                <w:rFonts w:ascii="Helvetica" w:hAnsi="Helvetica"/>
                <w:b/>
                <w:color w:val="000000"/>
                <w:sz w:val="12"/>
              </w:rPr>
              <w:t>Finansielle foretak</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A3C6BA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AFAB38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EC5C4A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416956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16DB28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866F4C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0C878F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5D46D7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1779B9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49895E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CBC3CB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C71813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975C01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55802C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C6FA26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31B5100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6E678161" w14:textId="77777777">
        <w:trPr>
          <w:trHeight w:val="143"/>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3DD6AD4A"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4</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FC2C320" w14:textId="77777777" w:rsidR="00A54846" w:rsidRDefault="008A2731">
            <w:pPr>
              <w:widowControl w:val="0"/>
              <w:shd w:val="clear" w:color="auto" w:fill="auto"/>
              <w:spacing w:after="0" w:line="160" w:lineRule="exact"/>
              <w:ind w:left="360"/>
              <w:jc w:val="left"/>
              <w:rPr>
                <w:rFonts w:ascii="Helvetica" w:eastAsia="Arial Unicode MS" w:hAnsi="Helvetica" w:cs="Arial Unicode MS"/>
                <w:color w:val="000000"/>
                <w:sz w:val="12"/>
                <w:szCs w:val="12"/>
              </w:rPr>
            </w:pPr>
            <w:r>
              <w:rPr>
                <w:rFonts w:ascii="Helvetica" w:hAnsi="Helvetica"/>
                <w:color w:val="000000"/>
                <w:sz w:val="12"/>
              </w:rPr>
              <w:t>Kredittinstitusjoner</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DC49B4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A851DE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FD8E21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E67390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90431F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0FE8C5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05A4F0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3978C1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7E5936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D5418A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E438B4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042E1E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0E072B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D9CD71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4F4E26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619D663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05DB971A"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3DB5CED"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5</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188BF25"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Lån og forskudd</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619E07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9C5BA0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17F901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5C7968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4E585B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4488A5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DEEF30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2EF51A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21D41C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771204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9F0D5A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74163E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2A24EB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7B1917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227B3F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7830DEA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0974D78C"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440647C"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6</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455BD10C"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Gjeldsinstrumenter, herunder bruk av proveny</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E6F97B1"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A1B5570"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5A99882"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64C7F81"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FC44E41"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8FAFE04"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FEF903C"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47D0AC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C13BBAE"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C13C2F2"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D2ABBB8"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B705AC8"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0579BCD"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C00C5BD"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4AEBB54"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5E554CEC"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r>
      <w:tr w:rsidR="00A54846" w14:paraId="3821AC78" w14:textId="77777777">
        <w:trPr>
          <w:trHeight w:val="143"/>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27DD938"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7</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1031E80"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Egenkapitalinstrumenter</w:t>
            </w:r>
          </w:p>
        </w:tc>
        <w:tc>
          <w:tcPr>
            <w:tcW w:w="58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FB5D03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D01C54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7F9A22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0ECDE9C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C8EB26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95E6F2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6DB40A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44C087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23ED366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E4D461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587BCE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367834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523F09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0ED1BAB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EF564A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4723813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6D184917"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EE250FB"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8</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4B49A1C6" w14:textId="77777777" w:rsidR="00A54846" w:rsidRDefault="008A2731">
            <w:pPr>
              <w:widowControl w:val="0"/>
              <w:shd w:val="clear" w:color="auto" w:fill="auto"/>
              <w:spacing w:after="0" w:line="160" w:lineRule="exact"/>
              <w:ind w:left="360"/>
              <w:jc w:val="left"/>
              <w:rPr>
                <w:rFonts w:ascii="Helvetica" w:eastAsia="Arial Unicode MS" w:hAnsi="Helvetica" w:cs="Arial Unicode MS"/>
                <w:color w:val="000000"/>
                <w:sz w:val="12"/>
                <w:szCs w:val="12"/>
              </w:rPr>
            </w:pPr>
            <w:r>
              <w:rPr>
                <w:rFonts w:ascii="Helvetica" w:hAnsi="Helvetica"/>
                <w:color w:val="000000"/>
                <w:sz w:val="12"/>
              </w:rPr>
              <w:t>Andre finansielle foretak</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2CFF4A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EEAA98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B77671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EBB4B5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245AB2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5C40EF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D7F407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5D8350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276F85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9217D9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4DAEF5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E1D521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5E2587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769154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56290F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0160794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79A5D589" w14:textId="77777777">
        <w:trPr>
          <w:trHeight w:val="143"/>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7B8E414"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9</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B12A7DB"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hvorav verdipapirforetak</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5BE7F8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82F71B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F2AC6F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71E9AE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C29BF8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8A6551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01A6D1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0D7746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49A637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1E6E5A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206446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57B682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A58864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123217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BC882E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66522D6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1C16FAA2"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9FDDD48"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10</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4B1EFE61" w14:textId="77777777" w:rsidR="00A54846" w:rsidRDefault="008A2731">
            <w:pPr>
              <w:widowControl w:val="0"/>
              <w:shd w:val="clear" w:color="auto" w:fill="auto"/>
              <w:spacing w:after="0" w:line="160" w:lineRule="exact"/>
              <w:ind w:left="540"/>
              <w:jc w:val="left"/>
              <w:rPr>
                <w:rFonts w:ascii="Helvetica" w:eastAsia="Arial Unicode MS" w:hAnsi="Helvetica" w:cs="Arial Unicode MS"/>
                <w:color w:val="000000"/>
                <w:sz w:val="12"/>
                <w:szCs w:val="12"/>
              </w:rPr>
            </w:pPr>
            <w:r>
              <w:rPr>
                <w:rFonts w:ascii="Helvetica" w:hAnsi="Helvetica"/>
                <w:color w:val="000000"/>
                <w:sz w:val="12"/>
              </w:rPr>
              <w:t>Lån og forskudd</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F11A64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325DAB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E44C3B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F14715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E4DAD4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4FCD14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1F4BCC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4FBC68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9FD3DE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33BCA1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7C496A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BD4EE7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2CC5A7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4B752E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7F479A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48EBE0A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4E64949D" w14:textId="77777777">
        <w:trPr>
          <w:trHeight w:val="143"/>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3899CBA7"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11</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F26A559"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Gjeldsinstrumenter, herunder bruk av proveny</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8A245D1"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45D076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FF258F5"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F4B749C"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CC57B0E"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F0EC7FC"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51B1126"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A6DA95C"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C06FDFE"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34AF5BB"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DC1D588"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029B0FF"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A782ABD"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F0C5121"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69128DE"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19D9AA3D"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r>
      <w:tr w:rsidR="00A54846" w14:paraId="18E65F44"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03A63C8E"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12</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B6DCE2F" w14:textId="77777777" w:rsidR="00A54846" w:rsidRDefault="008A2731">
            <w:pPr>
              <w:widowControl w:val="0"/>
              <w:shd w:val="clear" w:color="auto" w:fill="auto"/>
              <w:spacing w:after="0" w:line="160" w:lineRule="exact"/>
              <w:ind w:left="540"/>
              <w:jc w:val="left"/>
              <w:rPr>
                <w:rFonts w:ascii="Helvetica" w:eastAsia="Arial Unicode MS" w:hAnsi="Helvetica" w:cs="Arial Unicode MS"/>
                <w:color w:val="000000"/>
                <w:sz w:val="12"/>
                <w:szCs w:val="12"/>
              </w:rPr>
            </w:pPr>
            <w:r>
              <w:rPr>
                <w:rFonts w:ascii="Helvetica" w:hAnsi="Helvetica"/>
                <w:color w:val="000000"/>
                <w:sz w:val="12"/>
              </w:rPr>
              <w:t>Egenkapitalinstrumenter</w:t>
            </w:r>
          </w:p>
        </w:tc>
        <w:tc>
          <w:tcPr>
            <w:tcW w:w="58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E8B963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C0DF40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E58622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0FBB2ED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AFFD2E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34BC77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D309D6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D13BC4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792AE8C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E31E7C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B96698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45B59F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F96AD6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4287E28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20A03C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0540902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7E2BF0A7"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8E1714B"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13</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BC42FEC"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hvorav forvaltningsselskaper</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06F5D3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B587AE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C6EA01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AFF8AF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882D09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D8906C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CD6A70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1D3DA5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76B368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717E8D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B4BFCA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D28AB9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C4BDC0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54400E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CE2B4D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50418F8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7BE6D408" w14:textId="77777777">
        <w:trPr>
          <w:trHeight w:val="143"/>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6BC22DD"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14</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2A925D37" w14:textId="77777777" w:rsidR="00A54846" w:rsidRDefault="008A2731">
            <w:pPr>
              <w:widowControl w:val="0"/>
              <w:shd w:val="clear" w:color="auto" w:fill="auto"/>
              <w:spacing w:after="0" w:line="160" w:lineRule="exact"/>
              <w:ind w:left="540"/>
              <w:jc w:val="left"/>
              <w:rPr>
                <w:rFonts w:ascii="Helvetica" w:eastAsia="Arial Unicode MS" w:hAnsi="Helvetica" w:cs="Arial Unicode MS"/>
                <w:color w:val="000000"/>
                <w:sz w:val="12"/>
                <w:szCs w:val="12"/>
              </w:rPr>
            </w:pPr>
            <w:r>
              <w:rPr>
                <w:rFonts w:ascii="Helvetica" w:hAnsi="Helvetica"/>
                <w:color w:val="000000"/>
                <w:sz w:val="12"/>
              </w:rPr>
              <w:t>Lån og forskudd</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C0ED43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FF0BFA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1F69E2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D1D0DB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EA3E20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022E81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62F2B2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A982F3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B594BD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BBE792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53A9A0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4347FC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D16986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6E2BB6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33D546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12DB235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2856E416"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1612F8A"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15</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869AC0E"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Gjeldsinstrumenter, herunder bruk av proveny</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8FA76A5"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BA65E72"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88238B2"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6C5D31C"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E40E032"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9E59DEE"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8E87D0B"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A11D0B5"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880950F"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7E32A1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0D3167E"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D129A98"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DC18340"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3D4F36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B8ACFB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574FB81C"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r>
      <w:tr w:rsidR="00A54846" w14:paraId="29DF0C21" w14:textId="77777777">
        <w:trPr>
          <w:trHeight w:val="143"/>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2878F8A2"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16</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43E7341F" w14:textId="77777777" w:rsidR="00A54846" w:rsidRDefault="008A2731">
            <w:pPr>
              <w:widowControl w:val="0"/>
              <w:shd w:val="clear" w:color="auto" w:fill="auto"/>
              <w:spacing w:after="0" w:line="160" w:lineRule="exact"/>
              <w:ind w:left="540"/>
              <w:jc w:val="left"/>
              <w:rPr>
                <w:rFonts w:ascii="Helvetica" w:eastAsia="Arial Unicode MS" w:hAnsi="Helvetica" w:cs="Arial Unicode MS"/>
                <w:color w:val="000000"/>
                <w:sz w:val="12"/>
                <w:szCs w:val="12"/>
              </w:rPr>
            </w:pPr>
            <w:r>
              <w:rPr>
                <w:rFonts w:ascii="Helvetica" w:hAnsi="Helvetica"/>
                <w:color w:val="000000"/>
                <w:sz w:val="12"/>
              </w:rPr>
              <w:t>Egenkapitalinstrumenter</w:t>
            </w:r>
          </w:p>
        </w:tc>
        <w:tc>
          <w:tcPr>
            <w:tcW w:w="58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7C757D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582818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AAF82B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0A357CB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0FD7B9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77A981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52A3E9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0B1021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71A9621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A25591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5D6779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FB64E8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FEF116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017C0C3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EEC70D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1FB2CFE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72D643B2"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CE10E16"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17</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0E65E1D"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hvorav forsikringsforetak</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0B540F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48B54E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044C28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8E6F60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F794D9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BA2C55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E7A785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B68AA7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9600B2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499411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66312B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1D16D3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A56B68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BA669E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A39E0F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79775A7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45D285CF" w14:textId="77777777">
        <w:trPr>
          <w:trHeight w:val="143"/>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20EFF3FC"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18</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306FC8D0" w14:textId="77777777" w:rsidR="00A54846" w:rsidRDefault="008A2731">
            <w:pPr>
              <w:widowControl w:val="0"/>
              <w:shd w:val="clear" w:color="auto" w:fill="auto"/>
              <w:spacing w:after="0" w:line="160" w:lineRule="exact"/>
              <w:ind w:left="540"/>
              <w:jc w:val="left"/>
              <w:rPr>
                <w:rFonts w:ascii="Helvetica" w:eastAsia="Arial Unicode MS" w:hAnsi="Helvetica" w:cs="Arial Unicode MS"/>
                <w:color w:val="000000"/>
                <w:sz w:val="12"/>
                <w:szCs w:val="12"/>
              </w:rPr>
            </w:pPr>
            <w:r>
              <w:rPr>
                <w:rFonts w:ascii="Helvetica" w:hAnsi="Helvetica"/>
                <w:color w:val="000000"/>
                <w:sz w:val="12"/>
              </w:rPr>
              <w:t>Lån og forskudd</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B77AB3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8F0BDD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6AFBEE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F3C00B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BF4EB1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DEB8D1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08FE2D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AFD991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DE6B21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64A09A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162561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48D903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5E1677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34C0F6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7F70EC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6BFF8D0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149960D1"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386433A3"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19</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71DBB18"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Gjeldsinstrumenter, herunder bruk av proveny</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A9F817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437059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DDECE72"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7A2BBA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90630D7"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D8C77E8"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0E0C3EB"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9C8D08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7F4DA27"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76207D3"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6D2F495"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5FDC42F"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35C0091"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B8E64B6"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0BA7023"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7B6CB645"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r>
      <w:tr w:rsidR="00A54846" w14:paraId="26136EBF"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B23ED31"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20</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0C4F64A5" w14:textId="77777777" w:rsidR="00A54846" w:rsidRDefault="008A2731">
            <w:pPr>
              <w:widowControl w:val="0"/>
              <w:shd w:val="clear" w:color="auto" w:fill="auto"/>
              <w:spacing w:after="0" w:line="160" w:lineRule="exact"/>
              <w:ind w:left="540"/>
              <w:jc w:val="left"/>
              <w:rPr>
                <w:rFonts w:ascii="Helvetica" w:eastAsia="Arial Unicode MS" w:hAnsi="Helvetica" w:cs="Arial Unicode MS"/>
                <w:color w:val="000000"/>
                <w:sz w:val="12"/>
                <w:szCs w:val="12"/>
              </w:rPr>
            </w:pPr>
            <w:r>
              <w:rPr>
                <w:rFonts w:ascii="Helvetica" w:hAnsi="Helvetica"/>
                <w:color w:val="000000"/>
                <w:sz w:val="12"/>
              </w:rPr>
              <w:t>Egenkapitalinstrumenter</w:t>
            </w:r>
          </w:p>
        </w:tc>
        <w:tc>
          <w:tcPr>
            <w:tcW w:w="58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CD4BA5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7FEC3B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3A6872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169C27A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FA92F5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88B07D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8B94D2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7D2916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14214FB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CFC393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32C822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D89ACF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5BE672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0488767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235CCF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6505AEE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5998A1AC" w14:textId="77777777">
        <w:trPr>
          <w:trHeight w:val="143"/>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28C60EA"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21</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E6ECE71" w14:textId="77777777" w:rsidR="00A54846" w:rsidRDefault="008A2731">
            <w:pPr>
              <w:widowControl w:val="0"/>
              <w:shd w:val="clear" w:color="auto" w:fill="auto"/>
              <w:spacing w:after="0" w:line="160" w:lineRule="exact"/>
              <w:ind w:left="260"/>
              <w:jc w:val="left"/>
              <w:rPr>
                <w:rFonts w:ascii="Helvetica" w:eastAsia="Arial Unicode MS" w:hAnsi="Helvetica" w:cs="Arial Unicode MS"/>
                <w:b/>
                <w:color w:val="000000"/>
                <w:sz w:val="12"/>
                <w:szCs w:val="12"/>
              </w:rPr>
            </w:pPr>
            <w:r>
              <w:rPr>
                <w:rFonts w:ascii="Helvetica" w:hAnsi="Helvetica"/>
                <w:b/>
                <w:color w:val="000000"/>
                <w:sz w:val="12"/>
              </w:rPr>
              <w:t>Ikke-finansielle foretak</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BF2B24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8AEE12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800835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6BA6E5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92847D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957DD9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ADCBA5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0E5058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D10E95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CD5D49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249F1C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9CD7DC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B5EA88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975666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7E6E31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0FA21F5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54A9E3D3"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4F7F1A40"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22</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A1EF020" w14:textId="77777777" w:rsidR="00A54846" w:rsidRDefault="008A2731">
            <w:pPr>
              <w:widowControl w:val="0"/>
              <w:shd w:val="clear" w:color="auto" w:fill="auto"/>
              <w:spacing w:after="0" w:line="160" w:lineRule="exact"/>
              <w:ind w:left="360"/>
              <w:jc w:val="left"/>
              <w:rPr>
                <w:rFonts w:ascii="Helvetica" w:eastAsia="Arial Unicode MS" w:hAnsi="Helvetica" w:cs="Arial Unicode MS"/>
                <w:color w:val="000000"/>
                <w:sz w:val="12"/>
                <w:szCs w:val="12"/>
              </w:rPr>
            </w:pPr>
            <w:r>
              <w:rPr>
                <w:rFonts w:ascii="Helvetica" w:hAnsi="Helvetica"/>
                <w:color w:val="000000"/>
                <w:sz w:val="12"/>
              </w:rPr>
              <w:t>Ikke-finansielle foretak som er omfattet av opplysningsplikten i direktivet om ikke-finansiell rapportering</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FEEE486"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AC1CDE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8052668"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89F378D"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F22F8E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BB3D093"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C55474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E9C719E"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2BF99C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B7B7043"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98E95AE"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E10F7CB"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BFF20CE"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59A548F"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CAA9DA2"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186E25B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r>
      <w:tr w:rsidR="00A54846" w14:paraId="48DDC341" w14:textId="77777777">
        <w:trPr>
          <w:trHeight w:val="143"/>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49609A5"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23</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AFCB94F"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Lån og forskudd</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C5DF8A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C18AFD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A1E225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1186B0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0CDC17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08372E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DDC059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CD0134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57FF4E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8E21D6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58F3A4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2BACC2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3367CE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C63C05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9D64FC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3DBE4EB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63E12161"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E985E1D"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24</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365F8602"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Gjeldsinstrumenter, herunder bruk av proveny</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9A4BDCB"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011B7A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2BFC0F7"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15A6CC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50C6FE6"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92DC7B0"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C526B73"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0F103AD"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926E914"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4C866F5"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7226B72"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E80AEDC"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9C0FB7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B7C2AB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57FC5E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01D8592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r>
      <w:tr w:rsidR="00A54846" w14:paraId="1D05A8A1" w14:textId="77777777">
        <w:trPr>
          <w:trHeight w:val="143"/>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4ECA7BE1"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25</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48FF37F6"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Egenkapitalinstrumenter</w:t>
            </w:r>
          </w:p>
        </w:tc>
        <w:tc>
          <w:tcPr>
            <w:tcW w:w="587"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212AE5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1B5F3A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C51172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2DF2EB1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B31D81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223B415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5647A5A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15AA4D0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415A1E8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952B74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54CFCA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6585437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44794FC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single" w:sz="4" w:space="0" w:color="auto"/>
            </w:tcBorders>
            <w:shd w:val="clear" w:color="auto" w:fill="000000" w:themeFill="text1"/>
            <w:tcMar>
              <w:top w:w="0" w:type="dxa"/>
              <w:left w:w="40" w:type="dxa"/>
              <w:bottom w:w="0" w:type="dxa"/>
              <w:right w:w="40" w:type="dxa"/>
            </w:tcMar>
          </w:tcPr>
          <w:p w14:paraId="7CF60CD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06583B0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01DD2CA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3AADE109"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D22EC4C"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26</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3FD01F36" w14:textId="77777777" w:rsidR="00A54846" w:rsidRDefault="008A2731">
            <w:pPr>
              <w:widowControl w:val="0"/>
              <w:shd w:val="clear" w:color="auto" w:fill="auto"/>
              <w:spacing w:after="0" w:line="160" w:lineRule="exact"/>
              <w:ind w:left="260"/>
              <w:jc w:val="left"/>
              <w:rPr>
                <w:rFonts w:ascii="Helvetica" w:eastAsia="Arial Unicode MS" w:hAnsi="Helvetica" w:cs="Arial Unicode MS"/>
                <w:b/>
                <w:color w:val="000000"/>
                <w:sz w:val="12"/>
                <w:szCs w:val="12"/>
              </w:rPr>
            </w:pPr>
            <w:r>
              <w:rPr>
                <w:rFonts w:ascii="Helvetica" w:hAnsi="Helvetica"/>
                <w:b/>
                <w:color w:val="000000"/>
                <w:sz w:val="12"/>
              </w:rPr>
              <w:t>Husholdninger</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E4A415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1B9A7E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A6C42E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6508CD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B37C8A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618AEF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BFE0C5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C2BEC5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C16F98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86ECEB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DFCF7D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CBC667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2B2E28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3A8467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9A3B6F1"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28AE1D7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383BDF9D"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3B9ED895"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27</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7E79C73"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hvorav lån med sikkerhet i boligeiendommer</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B69DD30"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7576C7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FE96FD7"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9747E0C"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5145E44"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9710A41"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0A33842"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0B1EAE1"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48CAEB4"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416F79F"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0266C7F"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D1D26E5"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269E21B"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313E127"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CB1699E"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5D2D91B6"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r>
      <w:tr w:rsidR="00A54846" w14:paraId="6185B09D" w14:textId="77777777">
        <w:trPr>
          <w:trHeight w:val="143"/>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BFE6479"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28</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9615904"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hvorav lån til byggrenovering</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6A0A70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C34705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2C6874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541A30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218791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FEA6BF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F3D42F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C3FD6C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81F553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515701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27A942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392559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FE9546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557AAC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F3FEA2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220629F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4164A990" w14:textId="77777777">
        <w:trPr>
          <w:trHeight w:val="156"/>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0D571D7"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29</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77D3A24" w14:textId="77777777" w:rsidR="00A54846" w:rsidRDefault="008A2731">
            <w:pPr>
              <w:widowControl w:val="0"/>
              <w:shd w:val="clear" w:color="auto" w:fill="auto"/>
              <w:spacing w:after="0" w:line="160" w:lineRule="exact"/>
              <w:ind w:left="460"/>
              <w:jc w:val="left"/>
              <w:rPr>
                <w:rFonts w:ascii="Helvetica" w:eastAsia="Arial Unicode MS" w:hAnsi="Helvetica" w:cs="Arial Unicode MS"/>
                <w:color w:val="000000"/>
                <w:sz w:val="12"/>
                <w:szCs w:val="12"/>
              </w:rPr>
            </w:pPr>
            <w:r>
              <w:rPr>
                <w:rFonts w:ascii="Helvetica" w:hAnsi="Helvetica"/>
                <w:color w:val="000000"/>
                <w:sz w:val="12"/>
              </w:rPr>
              <w:t>hvorav billån</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A2C6CA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550A94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27A7FC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085BD1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5B4825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8F9DD2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4A7452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01453A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6DA759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5DD79E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C9B0D53"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35B2B00"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B8D96F6"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1E52DC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01A70B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6163814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157007E1" w14:textId="77777777">
        <w:trPr>
          <w:trHeight w:val="143"/>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4DC9C870"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30</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11B4355" w14:textId="77777777" w:rsidR="00A54846" w:rsidRDefault="008A2731">
            <w:pPr>
              <w:widowControl w:val="0"/>
              <w:shd w:val="clear" w:color="auto" w:fill="auto"/>
              <w:spacing w:after="0" w:line="160" w:lineRule="exact"/>
              <w:ind w:left="260"/>
              <w:jc w:val="left"/>
              <w:rPr>
                <w:rFonts w:ascii="Helvetica" w:eastAsia="Arial Unicode MS" w:hAnsi="Helvetica" w:cs="Arial Unicode MS"/>
                <w:b/>
                <w:color w:val="000000"/>
                <w:sz w:val="12"/>
                <w:szCs w:val="12"/>
              </w:rPr>
            </w:pPr>
            <w:r>
              <w:rPr>
                <w:rFonts w:ascii="Helvetica" w:hAnsi="Helvetica"/>
                <w:b/>
                <w:color w:val="000000"/>
                <w:sz w:val="12"/>
              </w:rPr>
              <w:t>Finansiering til lokale myndigheter</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DF2FB2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D99065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29614C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2A7B47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6C400F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865F09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9CC1AD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62F5EB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25232F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679A09F"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313AF6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53CF2B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E38FAD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AFC4DE4"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C4515C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3161F13A"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r w:rsidR="00A54846" w14:paraId="7C101C4F" w14:textId="77777777">
        <w:trPr>
          <w:trHeight w:val="312"/>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05EAF2FF"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31</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2178D337" w14:textId="77777777" w:rsidR="00A54846" w:rsidRDefault="008A2731">
            <w:pPr>
              <w:widowControl w:val="0"/>
              <w:shd w:val="clear" w:color="auto" w:fill="auto"/>
              <w:spacing w:after="0" w:line="160" w:lineRule="exact"/>
              <w:ind w:left="100"/>
              <w:jc w:val="left"/>
              <w:rPr>
                <w:rFonts w:ascii="Helvetica" w:eastAsia="Arial Unicode MS" w:hAnsi="Helvetica" w:cs="Arial Unicode MS"/>
                <w:color w:val="000000"/>
                <w:sz w:val="12"/>
                <w:szCs w:val="12"/>
              </w:rPr>
            </w:pPr>
            <w:r>
              <w:rPr>
                <w:rFonts w:ascii="Helvetica" w:hAnsi="Helvetica"/>
                <w:color w:val="000000"/>
                <w:sz w:val="12"/>
              </w:rPr>
              <w:t>Overtatte sikkerheter: bolig- og næringseiendommer</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34BAFC3"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9A289F4"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B9345BB"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BE70CF3"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9E87D0D"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7122D1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F58D598"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E072D4B"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4616080"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6BFE890"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B49C2E3"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7C671DC"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30AADE8"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BBE84D5"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6FABA44"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1BC8A935"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r>
      <w:tr w:rsidR="00A54846" w14:paraId="7B5AC1F4" w14:textId="77777777">
        <w:trPr>
          <w:trHeight w:val="143"/>
        </w:trPr>
        <w:tc>
          <w:tcPr>
            <w:tcW w:w="26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11AFC89"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32</w:t>
            </w:r>
          </w:p>
        </w:tc>
        <w:tc>
          <w:tcPr>
            <w:tcW w:w="3788"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356D4BB" w14:textId="77777777" w:rsidR="00A54846" w:rsidRDefault="008A2731">
            <w:pPr>
              <w:widowControl w:val="0"/>
              <w:shd w:val="clear" w:color="auto" w:fill="auto"/>
              <w:spacing w:after="0" w:line="160" w:lineRule="exact"/>
              <w:ind w:left="100"/>
              <w:jc w:val="left"/>
              <w:rPr>
                <w:rFonts w:ascii="Helvetica" w:eastAsia="Arial Unicode MS" w:hAnsi="Helvetica" w:cs="Arial Unicode MS"/>
                <w:color w:val="000000"/>
                <w:sz w:val="12"/>
                <w:szCs w:val="12"/>
              </w:rPr>
            </w:pPr>
            <w:r>
              <w:rPr>
                <w:rFonts w:ascii="Helvetica" w:hAnsi="Helvetica"/>
                <w:color w:val="000000"/>
                <w:sz w:val="12"/>
              </w:rPr>
              <w:t>Annen finansiering av lokale myndigheter</w:t>
            </w:r>
          </w:p>
        </w:tc>
        <w:tc>
          <w:tcPr>
            <w:tcW w:w="5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52BF648"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12"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293F4A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9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11DBC54"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39"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CCEC08D"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8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2BDB97E"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381C934"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2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5108CBB"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8"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6F3CEA8"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19"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24BCC17"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0E145A7"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7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D39F374"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51"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33D968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40" w:type="dxa"/>
            <w:gridSpan w:val="3"/>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CC4E71A"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702" w:type="dxa"/>
            <w:gridSpan w:val="4"/>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38E2A869"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54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A63A76C"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FFFFFF"/>
          </w:tcPr>
          <w:p w14:paraId="0C1ACDED" w14:textId="77777777" w:rsidR="00A54846" w:rsidRPr="006A792F" w:rsidRDefault="00A54846">
            <w:pPr>
              <w:widowControl w:val="0"/>
              <w:shd w:val="clear" w:color="auto" w:fill="auto"/>
              <w:spacing w:after="0" w:line="160" w:lineRule="exact"/>
              <w:jc w:val="left"/>
              <w:rPr>
                <w:rFonts w:ascii="Helvetica" w:eastAsia="Arial Unicode MS" w:hAnsi="Helvetica" w:cs="Arial Unicode MS"/>
                <w:color w:val="000000"/>
                <w:sz w:val="12"/>
                <w:szCs w:val="12"/>
                <w:lang w:bidi="en-US"/>
              </w:rPr>
            </w:pPr>
          </w:p>
        </w:tc>
      </w:tr>
      <w:tr w:rsidR="00A54846" w14:paraId="3026B0AA" w14:textId="77777777">
        <w:trPr>
          <w:trHeight w:val="167"/>
        </w:trPr>
        <w:tc>
          <w:tcPr>
            <w:tcW w:w="267" w:type="dxa"/>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vAlign w:val="bottom"/>
            <w:hideMark/>
          </w:tcPr>
          <w:p w14:paraId="63CFAB12" w14:textId="77777777" w:rsidR="00A54846" w:rsidRDefault="008A2731">
            <w:pPr>
              <w:widowControl w:val="0"/>
              <w:shd w:val="clear" w:color="auto" w:fill="auto"/>
              <w:spacing w:after="0" w:line="160" w:lineRule="exact"/>
              <w:jc w:val="center"/>
              <w:rPr>
                <w:rFonts w:ascii="Helvetica" w:eastAsia="Arial Unicode MS" w:hAnsi="Helvetica" w:cs="Arial Unicode MS"/>
                <w:color w:val="000000"/>
                <w:sz w:val="12"/>
                <w:szCs w:val="12"/>
              </w:rPr>
            </w:pPr>
            <w:r>
              <w:rPr>
                <w:rFonts w:ascii="Helvetica" w:hAnsi="Helvetica"/>
                <w:color w:val="000000"/>
                <w:sz w:val="12"/>
              </w:rPr>
              <w:t>49</w:t>
            </w:r>
          </w:p>
        </w:tc>
        <w:tc>
          <w:tcPr>
            <w:tcW w:w="3788" w:type="dxa"/>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vAlign w:val="bottom"/>
            <w:hideMark/>
          </w:tcPr>
          <w:p w14:paraId="30E2AE14" w14:textId="77777777" w:rsidR="00A54846" w:rsidRDefault="008A2731">
            <w:pPr>
              <w:widowControl w:val="0"/>
              <w:shd w:val="clear" w:color="auto" w:fill="auto"/>
              <w:spacing w:after="0" w:line="160" w:lineRule="exact"/>
              <w:jc w:val="left"/>
              <w:rPr>
                <w:rFonts w:ascii="Helvetica" w:eastAsia="Arial Unicode MS" w:hAnsi="Helvetica" w:cs="Arial Unicode MS"/>
                <w:b/>
                <w:color w:val="000000"/>
                <w:sz w:val="12"/>
                <w:szCs w:val="12"/>
              </w:rPr>
            </w:pPr>
            <w:r>
              <w:rPr>
                <w:rFonts w:ascii="Helvetica" w:hAnsi="Helvetica"/>
                <w:b/>
                <w:color w:val="000000"/>
                <w:sz w:val="12"/>
              </w:rPr>
              <w:t>Samlet GAR for eiendeler</w:t>
            </w:r>
          </w:p>
        </w:tc>
        <w:tc>
          <w:tcPr>
            <w:tcW w:w="587" w:type="dxa"/>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033CF54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12" w:type="dxa"/>
            <w:gridSpan w:val="2"/>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54999D1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95" w:type="dxa"/>
            <w:gridSpan w:val="2"/>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242CA3C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39" w:type="dxa"/>
            <w:gridSpan w:val="3"/>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5F94A02D"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80" w:type="dxa"/>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63D1BABB"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9" w:type="dxa"/>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7FF596B5"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21" w:type="dxa"/>
            <w:gridSpan w:val="3"/>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0BA3AAD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8" w:type="dxa"/>
            <w:gridSpan w:val="3"/>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20DDFB8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19" w:type="dxa"/>
            <w:gridSpan w:val="4"/>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7F06784C"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6" w:type="dxa"/>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3642062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75" w:type="dxa"/>
            <w:gridSpan w:val="2"/>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1DF2DA77"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51" w:type="dxa"/>
            <w:gridSpan w:val="3"/>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08B3C7F9"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40" w:type="dxa"/>
            <w:gridSpan w:val="3"/>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740B4C8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702" w:type="dxa"/>
            <w:gridSpan w:val="4"/>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7083FCA2"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540" w:type="dxa"/>
            <w:tcBorders>
              <w:top w:val="single" w:sz="4" w:space="0" w:color="auto"/>
              <w:left w:val="single" w:sz="4" w:space="0" w:color="auto"/>
              <w:bottom w:val="single" w:sz="4" w:space="0" w:color="auto"/>
              <w:right w:val="nil"/>
            </w:tcBorders>
            <w:shd w:val="clear" w:color="auto" w:fill="DCEAF6"/>
            <w:tcMar>
              <w:top w:w="0" w:type="dxa"/>
              <w:left w:w="40" w:type="dxa"/>
              <w:bottom w:w="0" w:type="dxa"/>
              <w:right w:w="40" w:type="dxa"/>
            </w:tcMar>
          </w:tcPr>
          <w:p w14:paraId="127FBD2E"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c>
          <w:tcPr>
            <w:tcW w:w="649" w:type="dxa"/>
            <w:gridSpan w:val="2"/>
            <w:tcBorders>
              <w:top w:val="single" w:sz="4" w:space="0" w:color="auto"/>
              <w:left w:val="single" w:sz="4" w:space="0" w:color="auto"/>
              <w:bottom w:val="single" w:sz="4" w:space="0" w:color="auto"/>
              <w:right w:val="single" w:sz="4" w:space="0" w:color="auto"/>
            </w:tcBorders>
            <w:shd w:val="clear" w:color="auto" w:fill="DCEAF6"/>
          </w:tcPr>
          <w:p w14:paraId="49893798" w14:textId="77777777" w:rsidR="00A54846" w:rsidRDefault="00A54846">
            <w:pPr>
              <w:widowControl w:val="0"/>
              <w:shd w:val="clear" w:color="auto" w:fill="auto"/>
              <w:spacing w:after="0" w:line="160" w:lineRule="exact"/>
              <w:jc w:val="left"/>
              <w:rPr>
                <w:rFonts w:ascii="Helvetica" w:eastAsia="Arial Unicode MS" w:hAnsi="Helvetica" w:cs="Arial Unicode MS"/>
                <w:color w:val="000000"/>
                <w:sz w:val="12"/>
                <w:szCs w:val="12"/>
                <w:lang w:val="en-US" w:bidi="en-US"/>
              </w:rPr>
            </w:pPr>
          </w:p>
        </w:tc>
      </w:tr>
    </w:tbl>
    <w:p w14:paraId="5754398E" w14:textId="77777777" w:rsidR="00A54846" w:rsidRDefault="008A2731">
      <w:pPr>
        <w:pStyle w:val="Para"/>
        <w:spacing w:line="240" w:lineRule="auto"/>
        <w:jc w:val="left"/>
      </w:pPr>
      <w:r>
        <w:lastRenderedPageBreak/>
        <w:br w:type="page"/>
      </w:r>
    </w:p>
    <w:p w14:paraId="5530E795" w14:textId="77777777" w:rsidR="00A54846" w:rsidRDefault="008A2731">
      <w:pPr>
        <w:pStyle w:val="AnnexNumberedText"/>
        <w:ind w:left="279" w:hanging="279"/>
      </w:pPr>
      <w:r>
        <w:lastRenderedPageBreak/>
        <w:t>5.</w:t>
      </w:r>
      <w:r>
        <w:rPr>
          <w:b/>
        </w:rPr>
        <w:tab/>
        <w:t>KPI for eksponeringer utenfor balansen</w:t>
      </w:r>
    </w:p>
    <w:tbl>
      <w:tblPr>
        <w:tblOverlap w:val="never"/>
        <w:tblW w:w="14028" w:type="dxa"/>
        <w:tblInd w:w="328" w:type="dxa"/>
        <w:tblLayout w:type="fixed"/>
        <w:tblCellMar>
          <w:left w:w="10" w:type="dxa"/>
          <w:right w:w="10" w:type="dxa"/>
        </w:tblCellMar>
        <w:tblLook w:val="04A0" w:firstRow="1" w:lastRow="0" w:firstColumn="1" w:lastColumn="0" w:noHBand="0" w:noVBand="1"/>
      </w:tblPr>
      <w:tblGrid>
        <w:gridCol w:w="192"/>
        <w:gridCol w:w="7"/>
        <w:gridCol w:w="3791"/>
        <w:gridCol w:w="6"/>
        <w:gridCol w:w="550"/>
        <w:gridCol w:w="712"/>
        <w:gridCol w:w="7"/>
        <w:gridCol w:w="763"/>
        <w:gridCol w:w="6"/>
        <w:gridCol w:w="807"/>
        <w:gridCol w:w="563"/>
        <w:gridCol w:w="562"/>
        <w:gridCol w:w="598"/>
        <w:gridCol w:w="769"/>
        <w:gridCol w:w="807"/>
        <w:gridCol w:w="533"/>
        <w:gridCol w:w="26"/>
        <w:gridCol w:w="559"/>
        <w:gridCol w:w="684"/>
        <w:gridCol w:w="7"/>
        <w:gridCol w:w="689"/>
        <w:gridCol w:w="829"/>
        <w:gridCol w:w="561"/>
      </w:tblGrid>
      <w:tr w:rsidR="00A54846" w14:paraId="6CAA7A5B" w14:textId="77777777">
        <w:trPr>
          <w:trHeight w:val="168"/>
        </w:trPr>
        <w:tc>
          <w:tcPr>
            <w:tcW w:w="3990" w:type="dxa"/>
            <w:gridSpan w:val="3"/>
            <w:shd w:val="clear" w:color="auto" w:fill="FFFFFF"/>
            <w:tcMar>
              <w:top w:w="10" w:type="dxa"/>
              <w:left w:w="40" w:type="dxa"/>
              <w:bottom w:w="10" w:type="dxa"/>
              <w:right w:w="40" w:type="dxa"/>
            </w:tcMar>
          </w:tcPr>
          <w:p w14:paraId="503127A7"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2"/>
                <w:szCs w:val="12"/>
                <w:lang w:val="en-US" w:bidi="en-US"/>
              </w:rPr>
            </w:pPr>
          </w:p>
        </w:tc>
        <w:tc>
          <w:tcPr>
            <w:tcW w:w="556"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08CB1A6C"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a</w:t>
            </w:r>
          </w:p>
        </w:tc>
        <w:tc>
          <w:tcPr>
            <w:tcW w:w="719" w:type="dxa"/>
            <w:gridSpan w:val="2"/>
            <w:tcBorders>
              <w:top w:val="single" w:sz="4" w:space="0" w:color="auto"/>
              <w:left w:val="single" w:sz="4" w:space="0" w:color="auto"/>
              <w:bottom w:val="nil"/>
              <w:right w:val="nil"/>
            </w:tcBorders>
            <w:shd w:val="clear" w:color="auto" w:fill="FFFFFF"/>
            <w:vAlign w:val="bottom"/>
            <w:hideMark/>
          </w:tcPr>
          <w:p w14:paraId="72C1522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b</w:t>
            </w:r>
          </w:p>
        </w:tc>
        <w:tc>
          <w:tcPr>
            <w:tcW w:w="769" w:type="dxa"/>
            <w:gridSpan w:val="2"/>
            <w:tcBorders>
              <w:top w:val="single" w:sz="4" w:space="0" w:color="auto"/>
              <w:left w:val="single" w:sz="4" w:space="0" w:color="auto"/>
              <w:bottom w:val="nil"/>
              <w:right w:val="nil"/>
            </w:tcBorders>
            <w:shd w:val="clear" w:color="auto" w:fill="FFFFFF"/>
            <w:vAlign w:val="bottom"/>
            <w:hideMark/>
          </w:tcPr>
          <w:p w14:paraId="7D79E02F"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c</w:t>
            </w:r>
          </w:p>
        </w:tc>
        <w:tc>
          <w:tcPr>
            <w:tcW w:w="807" w:type="dxa"/>
            <w:tcBorders>
              <w:top w:val="single" w:sz="4" w:space="0" w:color="auto"/>
              <w:left w:val="single" w:sz="4" w:space="0" w:color="auto"/>
              <w:bottom w:val="nil"/>
              <w:right w:val="nil"/>
            </w:tcBorders>
            <w:shd w:val="clear" w:color="auto" w:fill="FFFFFF"/>
            <w:vAlign w:val="bottom"/>
            <w:hideMark/>
          </w:tcPr>
          <w:p w14:paraId="479A5D7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d</w:t>
            </w:r>
          </w:p>
        </w:tc>
        <w:tc>
          <w:tcPr>
            <w:tcW w:w="563" w:type="dxa"/>
            <w:tcBorders>
              <w:top w:val="single" w:sz="4" w:space="0" w:color="auto"/>
              <w:left w:val="single" w:sz="4" w:space="0" w:color="auto"/>
              <w:bottom w:val="nil"/>
              <w:right w:val="nil"/>
            </w:tcBorders>
            <w:shd w:val="clear" w:color="auto" w:fill="FFFFFF"/>
            <w:vAlign w:val="bottom"/>
            <w:hideMark/>
          </w:tcPr>
          <w:p w14:paraId="08016C57"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e</w:t>
            </w:r>
          </w:p>
        </w:tc>
        <w:tc>
          <w:tcPr>
            <w:tcW w:w="562" w:type="dxa"/>
            <w:tcBorders>
              <w:top w:val="single" w:sz="4" w:space="0" w:color="auto"/>
              <w:left w:val="single" w:sz="4" w:space="0" w:color="auto"/>
              <w:bottom w:val="nil"/>
              <w:right w:val="nil"/>
            </w:tcBorders>
            <w:shd w:val="clear" w:color="auto" w:fill="FFFFFF"/>
            <w:vAlign w:val="bottom"/>
            <w:hideMark/>
          </w:tcPr>
          <w:p w14:paraId="39A5F69C"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f</w:t>
            </w:r>
          </w:p>
        </w:tc>
        <w:tc>
          <w:tcPr>
            <w:tcW w:w="598" w:type="dxa"/>
            <w:tcBorders>
              <w:top w:val="single" w:sz="4" w:space="0" w:color="auto"/>
              <w:left w:val="single" w:sz="4" w:space="0" w:color="auto"/>
              <w:bottom w:val="nil"/>
              <w:right w:val="nil"/>
            </w:tcBorders>
            <w:shd w:val="clear" w:color="auto" w:fill="FFFFFF"/>
            <w:vAlign w:val="bottom"/>
            <w:hideMark/>
          </w:tcPr>
          <w:p w14:paraId="2EF2909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g</w:t>
            </w:r>
          </w:p>
        </w:tc>
        <w:tc>
          <w:tcPr>
            <w:tcW w:w="769" w:type="dxa"/>
            <w:tcBorders>
              <w:top w:val="single" w:sz="4" w:space="0" w:color="auto"/>
              <w:left w:val="single" w:sz="4" w:space="0" w:color="auto"/>
              <w:bottom w:val="nil"/>
              <w:right w:val="nil"/>
            </w:tcBorders>
            <w:shd w:val="clear" w:color="auto" w:fill="FFFFFF"/>
            <w:vAlign w:val="bottom"/>
            <w:hideMark/>
          </w:tcPr>
          <w:p w14:paraId="2AA0F8F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h</w:t>
            </w:r>
          </w:p>
        </w:tc>
        <w:tc>
          <w:tcPr>
            <w:tcW w:w="807" w:type="dxa"/>
            <w:tcBorders>
              <w:top w:val="single" w:sz="4" w:space="0" w:color="auto"/>
              <w:left w:val="single" w:sz="4" w:space="0" w:color="auto"/>
              <w:bottom w:val="nil"/>
              <w:right w:val="nil"/>
            </w:tcBorders>
            <w:shd w:val="clear" w:color="auto" w:fill="FFFFFF"/>
            <w:vAlign w:val="bottom"/>
            <w:hideMark/>
          </w:tcPr>
          <w:p w14:paraId="7C7C2A5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i</w:t>
            </w:r>
          </w:p>
        </w:tc>
        <w:tc>
          <w:tcPr>
            <w:tcW w:w="533" w:type="dxa"/>
            <w:tcBorders>
              <w:top w:val="single" w:sz="4" w:space="0" w:color="auto"/>
              <w:left w:val="single" w:sz="4" w:space="0" w:color="auto"/>
              <w:bottom w:val="nil"/>
              <w:right w:val="nil"/>
            </w:tcBorders>
            <w:shd w:val="clear" w:color="auto" w:fill="FFFFFF"/>
            <w:vAlign w:val="bottom"/>
            <w:hideMark/>
          </w:tcPr>
          <w:p w14:paraId="427058A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j</w:t>
            </w:r>
          </w:p>
        </w:tc>
        <w:tc>
          <w:tcPr>
            <w:tcW w:w="585" w:type="dxa"/>
            <w:gridSpan w:val="2"/>
            <w:tcBorders>
              <w:top w:val="single" w:sz="4" w:space="0" w:color="auto"/>
              <w:left w:val="single" w:sz="4" w:space="0" w:color="auto"/>
              <w:bottom w:val="nil"/>
              <w:right w:val="nil"/>
            </w:tcBorders>
            <w:shd w:val="clear" w:color="auto" w:fill="FFFFFF"/>
            <w:vAlign w:val="bottom"/>
            <w:hideMark/>
          </w:tcPr>
          <w:p w14:paraId="6B0659A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k</w:t>
            </w:r>
          </w:p>
        </w:tc>
        <w:tc>
          <w:tcPr>
            <w:tcW w:w="684" w:type="dxa"/>
            <w:tcBorders>
              <w:top w:val="single" w:sz="4" w:space="0" w:color="auto"/>
              <w:left w:val="single" w:sz="4" w:space="0" w:color="auto"/>
              <w:bottom w:val="nil"/>
              <w:right w:val="nil"/>
            </w:tcBorders>
            <w:shd w:val="clear" w:color="auto" w:fill="FFFFFF"/>
            <w:vAlign w:val="bottom"/>
            <w:hideMark/>
          </w:tcPr>
          <w:p w14:paraId="6DAB65F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l</w:t>
            </w:r>
          </w:p>
        </w:tc>
        <w:tc>
          <w:tcPr>
            <w:tcW w:w="696" w:type="dxa"/>
            <w:gridSpan w:val="2"/>
            <w:tcBorders>
              <w:top w:val="single" w:sz="4" w:space="0" w:color="auto"/>
              <w:left w:val="single" w:sz="4" w:space="0" w:color="auto"/>
              <w:bottom w:val="nil"/>
              <w:right w:val="nil"/>
            </w:tcBorders>
            <w:shd w:val="clear" w:color="auto" w:fill="FFFFFF"/>
            <w:vAlign w:val="bottom"/>
            <w:hideMark/>
          </w:tcPr>
          <w:p w14:paraId="6372A098"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m</w:t>
            </w:r>
          </w:p>
        </w:tc>
        <w:tc>
          <w:tcPr>
            <w:tcW w:w="829" w:type="dxa"/>
            <w:tcBorders>
              <w:top w:val="single" w:sz="4" w:space="0" w:color="auto"/>
              <w:left w:val="single" w:sz="4" w:space="0" w:color="auto"/>
              <w:bottom w:val="nil"/>
              <w:right w:val="nil"/>
            </w:tcBorders>
            <w:shd w:val="clear" w:color="auto" w:fill="FFFFFF"/>
            <w:vAlign w:val="bottom"/>
            <w:hideMark/>
          </w:tcPr>
          <w:p w14:paraId="3F87E386"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n</w:t>
            </w:r>
          </w:p>
        </w:tc>
        <w:tc>
          <w:tcPr>
            <w:tcW w:w="561" w:type="dxa"/>
            <w:tcBorders>
              <w:top w:val="single" w:sz="4" w:space="0" w:color="auto"/>
              <w:left w:val="single" w:sz="4" w:space="0" w:color="auto"/>
              <w:bottom w:val="nil"/>
              <w:right w:val="single" w:sz="4" w:space="0" w:color="auto"/>
            </w:tcBorders>
            <w:shd w:val="clear" w:color="auto" w:fill="FFFFFF"/>
            <w:vAlign w:val="bottom"/>
            <w:hideMark/>
          </w:tcPr>
          <w:p w14:paraId="5B3072A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o</w:t>
            </w:r>
          </w:p>
        </w:tc>
      </w:tr>
      <w:tr w:rsidR="00A54846" w14:paraId="7EC2ECDA" w14:textId="77777777">
        <w:trPr>
          <w:trHeight w:val="154"/>
        </w:trPr>
        <w:tc>
          <w:tcPr>
            <w:tcW w:w="3990" w:type="dxa"/>
            <w:gridSpan w:val="3"/>
            <w:vMerge w:val="restart"/>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6324D62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 (i forhold til samlede eiendeler utenfor balansen som omfattes av taksonomien)</w:t>
            </w:r>
          </w:p>
        </w:tc>
        <w:tc>
          <w:tcPr>
            <w:tcW w:w="10038" w:type="dxa"/>
            <w:gridSpan w:val="20"/>
            <w:tcBorders>
              <w:top w:val="single" w:sz="4" w:space="0" w:color="auto"/>
              <w:left w:val="single" w:sz="4" w:space="0" w:color="auto"/>
              <w:bottom w:val="nil"/>
              <w:right w:val="nil"/>
            </w:tcBorders>
            <w:shd w:val="clear" w:color="auto" w:fill="B5B5B5"/>
            <w:tcMar>
              <w:top w:w="10" w:type="dxa"/>
              <w:left w:w="40" w:type="dxa"/>
              <w:bottom w:w="10" w:type="dxa"/>
              <w:right w:w="40" w:type="dxa"/>
            </w:tcMar>
            <w:vAlign w:val="center"/>
            <w:hideMark/>
          </w:tcPr>
          <w:p w14:paraId="1738F2AF"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Referansedato for opplysningene T</w:t>
            </w:r>
          </w:p>
        </w:tc>
      </w:tr>
      <w:tr w:rsidR="00A54846" w14:paraId="150AF605" w14:textId="77777777">
        <w:trPr>
          <w:trHeight w:val="182"/>
        </w:trPr>
        <w:tc>
          <w:tcPr>
            <w:tcW w:w="3990" w:type="dxa"/>
            <w:gridSpan w:val="3"/>
            <w:vMerge/>
            <w:tcBorders>
              <w:top w:val="single" w:sz="4" w:space="0" w:color="auto"/>
              <w:left w:val="single" w:sz="4" w:space="0" w:color="auto"/>
              <w:bottom w:val="nil"/>
              <w:right w:val="nil"/>
            </w:tcBorders>
            <w:vAlign w:val="center"/>
            <w:hideMark/>
          </w:tcPr>
          <w:p w14:paraId="170559C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2"/>
                <w:szCs w:val="12"/>
                <w:lang w:val="en-US" w:bidi="en-US"/>
              </w:rPr>
            </w:pPr>
          </w:p>
        </w:tc>
        <w:tc>
          <w:tcPr>
            <w:tcW w:w="3414" w:type="dxa"/>
            <w:gridSpan w:val="8"/>
            <w:tcBorders>
              <w:top w:val="single" w:sz="4" w:space="0" w:color="auto"/>
              <w:left w:val="single" w:sz="4" w:space="0" w:color="auto"/>
              <w:bottom w:val="nil"/>
              <w:right w:val="nil"/>
            </w:tcBorders>
            <w:shd w:val="clear" w:color="auto" w:fill="B5B5B5"/>
            <w:tcMar>
              <w:top w:w="10" w:type="dxa"/>
              <w:left w:w="40" w:type="dxa"/>
              <w:bottom w:w="10" w:type="dxa"/>
              <w:right w:w="40" w:type="dxa"/>
            </w:tcMar>
            <w:vAlign w:val="bottom"/>
            <w:hideMark/>
          </w:tcPr>
          <w:p w14:paraId="43515D57"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12"/>
                <w:szCs w:val="12"/>
              </w:rPr>
            </w:pPr>
            <w:r>
              <w:rPr>
                <w:rFonts w:ascii="Helvetica" w:hAnsi="Helvetica"/>
                <w:b/>
                <w:color w:val="000000"/>
                <w:sz w:val="12"/>
              </w:rPr>
              <w:t>Begrensning av klimaendringer</w:t>
            </w:r>
          </w:p>
        </w:tc>
        <w:tc>
          <w:tcPr>
            <w:tcW w:w="3295" w:type="dxa"/>
            <w:gridSpan w:val="6"/>
            <w:tcBorders>
              <w:top w:val="single" w:sz="4" w:space="0" w:color="auto"/>
              <w:left w:val="single" w:sz="4" w:space="0" w:color="auto"/>
              <w:bottom w:val="nil"/>
              <w:right w:val="nil"/>
            </w:tcBorders>
            <w:shd w:val="clear" w:color="auto" w:fill="B5B5B5"/>
            <w:tcMar>
              <w:top w:w="10" w:type="dxa"/>
              <w:left w:w="40" w:type="dxa"/>
              <w:bottom w:w="10" w:type="dxa"/>
              <w:right w:w="40" w:type="dxa"/>
            </w:tcMar>
            <w:vAlign w:val="bottom"/>
            <w:hideMark/>
          </w:tcPr>
          <w:p w14:paraId="2376A1BB"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12"/>
                <w:szCs w:val="12"/>
              </w:rPr>
            </w:pPr>
            <w:r>
              <w:rPr>
                <w:rFonts w:ascii="Helvetica" w:hAnsi="Helvetica"/>
                <w:b/>
                <w:color w:val="000000"/>
                <w:sz w:val="12"/>
              </w:rPr>
              <w:t>Tilpasning til klimaendringer</w:t>
            </w:r>
          </w:p>
        </w:tc>
        <w:tc>
          <w:tcPr>
            <w:tcW w:w="3329" w:type="dxa"/>
            <w:gridSpan w:val="6"/>
            <w:tcBorders>
              <w:top w:val="single" w:sz="4" w:space="0" w:color="auto"/>
              <w:left w:val="single" w:sz="4" w:space="0" w:color="auto"/>
              <w:bottom w:val="nil"/>
              <w:right w:val="single" w:sz="4" w:space="0" w:color="auto"/>
            </w:tcBorders>
            <w:shd w:val="clear" w:color="auto" w:fill="B5B5B5"/>
            <w:tcMar>
              <w:top w:w="10" w:type="dxa"/>
              <w:left w:w="40" w:type="dxa"/>
              <w:bottom w:w="10" w:type="dxa"/>
              <w:right w:w="40" w:type="dxa"/>
            </w:tcMar>
            <w:vAlign w:val="bottom"/>
            <w:hideMark/>
          </w:tcPr>
          <w:p w14:paraId="19275595"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12"/>
                <w:szCs w:val="12"/>
              </w:rPr>
            </w:pPr>
            <w:r>
              <w:rPr>
                <w:rFonts w:ascii="Helvetica" w:hAnsi="Helvetica"/>
                <w:b/>
                <w:color w:val="000000"/>
                <w:sz w:val="12"/>
              </w:rPr>
              <w:t>SUM (begrensning + tilpasning)</w:t>
            </w:r>
          </w:p>
        </w:tc>
      </w:tr>
      <w:tr w:rsidR="00A54846" w14:paraId="6F21E8C0" w14:textId="77777777">
        <w:trPr>
          <w:trHeight w:val="350"/>
        </w:trPr>
        <w:tc>
          <w:tcPr>
            <w:tcW w:w="3990" w:type="dxa"/>
            <w:gridSpan w:val="3"/>
            <w:vMerge/>
            <w:tcBorders>
              <w:top w:val="single" w:sz="4" w:space="0" w:color="auto"/>
              <w:left w:val="single" w:sz="4" w:space="0" w:color="auto"/>
              <w:bottom w:val="nil"/>
              <w:right w:val="nil"/>
            </w:tcBorders>
            <w:vAlign w:val="center"/>
            <w:hideMark/>
          </w:tcPr>
          <w:p w14:paraId="608CDCD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2"/>
                <w:szCs w:val="12"/>
                <w:lang w:val="en-US" w:bidi="en-US"/>
              </w:rPr>
            </w:pPr>
          </w:p>
        </w:tc>
        <w:tc>
          <w:tcPr>
            <w:tcW w:w="3414" w:type="dxa"/>
            <w:gridSpan w:val="8"/>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700A80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Andel av samlede dekkede eiendeler som finansierer taksonomirelevante sektorer (som er omfattet av taksonomien)</w:t>
            </w:r>
          </w:p>
        </w:tc>
        <w:tc>
          <w:tcPr>
            <w:tcW w:w="3295" w:type="dxa"/>
            <w:gridSpan w:val="6"/>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0F39F2E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Andel av samlede dekkede eiendeler som finansierer taksonomirelevante sektorer (som er omfattet av taksonomien)</w:t>
            </w:r>
          </w:p>
        </w:tc>
        <w:tc>
          <w:tcPr>
            <w:tcW w:w="3329" w:type="dxa"/>
            <w:gridSpan w:val="6"/>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vAlign w:val="bottom"/>
            <w:hideMark/>
          </w:tcPr>
          <w:p w14:paraId="3D29294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Andel av samlede dekkede eiendeler som finansierer taksonomirelevante sektorer (som er omfattet av taksonomien)</w:t>
            </w:r>
          </w:p>
        </w:tc>
      </w:tr>
      <w:tr w:rsidR="00A54846" w14:paraId="204BF698" w14:textId="77777777">
        <w:trPr>
          <w:trHeight w:val="337"/>
        </w:trPr>
        <w:tc>
          <w:tcPr>
            <w:tcW w:w="3990" w:type="dxa"/>
            <w:gridSpan w:val="3"/>
            <w:vMerge/>
            <w:tcBorders>
              <w:top w:val="single" w:sz="4" w:space="0" w:color="auto"/>
              <w:left w:val="single" w:sz="4" w:space="0" w:color="auto"/>
              <w:bottom w:val="nil"/>
              <w:right w:val="nil"/>
            </w:tcBorders>
            <w:vAlign w:val="center"/>
            <w:hideMark/>
          </w:tcPr>
          <w:p w14:paraId="02EB0B0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56" w:type="dxa"/>
            <w:gridSpan w:val="2"/>
            <w:vMerge w:val="restart"/>
            <w:tcBorders>
              <w:top w:val="nil"/>
              <w:left w:val="single" w:sz="4" w:space="0" w:color="auto"/>
              <w:bottom w:val="nil"/>
              <w:right w:val="nil"/>
            </w:tcBorders>
            <w:shd w:val="clear" w:color="auto" w:fill="FFFFFF"/>
            <w:tcMar>
              <w:top w:w="10" w:type="dxa"/>
              <w:left w:w="40" w:type="dxa"/>
              <w:bottom w:w="10" w:type="dxa"/>
              <w:right w:w="40" w:type="dxa"/>
            </w:tcMar>
          </w:tcPr>
          <w:p w14:paraId="0E13005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2858" w:type="dxa"/>
            <w:gridSpan w:val="6"/>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0A0183B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Andel av samlede dekkede eiendeler som finansierer taksonomirelevante sektorer (taksonomiforenlige)</w:t>
            </w:r>
          </w:p>
        </w:tc>
        <w:tc>
          <w:tcPr>
            <w:tcW w:w="562" w:type="dxa"/>
            <w:vMerge w:val="restart"/>
            <w:tcBorders>
              <w:top w:val="nil"/>
              <w:left w:val="single" w:sz="4" w:space="0" w:color="auto"/>
              <w:bottom w:val="nil"/>
              <w:right w:val="nil"/>
            </w:tcBorders>
            <w:shd w:val="clear" w:color="auto" w:fill="FFFFFF"/>
            <w:tcMar>
              <w:top w:w="10" w:type="dxa"/>
              <w:left w:w="40" w:type="dxa"/>
              <w:bottom w:w="10" w:type="dxa"/>
              <w:right w:w="40" w:type="dxa"/>
            </w:tcMar>
          </w:tcPr>
          <w:p w14:paraId="77270075"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2"/>
                <w:szCs w:val="12"/>
                <w:lang w:bidi="en-US"/>
              </w:rPr>
            </w:pPr>
          </w:p>
        </w:tc>
        <w:tc>
          <w:tcPr>
            <w:tcW w:w="2733"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2E4987CF"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Andel av samlede dekkede eiendeler som finansierer taksonomirelevante sektorer (taksonomiforenlige)</w:t>
            </w:r>
          </w:p>
        </w:tc>
        <w:tc>
          <w:tcPr>
            <w:tcW w:w="559" w:type="dxa"/>
            <w:tcBorders>
              <w:top w:val="nil"/>
              <w:left w:val="single" w:sz="4" w:space="0" w:color="auto"/>
              <w:bottom w:val="nil"/>
              <w:right w:val="nil"/>
            </w:tcBorders>
            <w:shd w:val="clear" w:color="auto" w:fill="FFFFFF"/>
            <w:tcMar>
              <w:top w:w="10" w:type="dxa"/>
              <w:left w:w="40" w:type="dxa"/>
              <w:bottom w:w="10" w:type="dxa"/>
              <w:right w:w="40" w:type="dxa"/>
            </w:tcMar>
          </w:tcPr>
          <w:p w14:paraId="55EBDB0D"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2"/>
                <w:szCs w:val="12"/>
                <w:lang w:bidi="en-US"/>
              </w:rPr>
            </w:pPr>
          </w:p>
        </w:tc>
        <w:tc>
          <w:tcPr>
            <w:tcW w:w="2770" w:type="dxa"/>
            <w:gridSpan w:val="5"/>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vAlign w:val="center"/>
            <w:hideMark/>
          </w:tcPr>
          <w:p w14:paraId="543F6D2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Andel av samlede dekkede eiendeler som finansierer taksonomirelevante sektorer (taksonomiforenlige)</w:t>
            </w:r>
          </w:p>
        </w:tc>
      </w:tr>
      <w:tr w:rsidR="00A54846" w14:paraId="415356AC" w14:textId="77777777">
        <w:trPr>
          <w:trHeight w:val="505"/>
        </w:trPr>
        <w:tc>
          <w:tcPr>
            <w:tcW w:w="3990" w:type="dxa"/>
            <w:gridSpan w:val="3"/>
            <w:vMerge/>
            <w:tcBorders>
              <w:top w:val="single" w:sz="4" w:space="0" w:color="auto"/>
              <w:left w:val="single" w:sz="4" w:space="0" w:color="auto"/>
              <w:bottom w:val="nil"/>
              <w:right w:val="nil"/>
            </w:tcBorders>
            <w:vAlign w:val="center"/>
            <w:hideMark/>
          </w:tcPr>
          <w:p w14:paraId="1D3FF53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56" w:type="dxa"/>
            <w:gridSpan w:val="2"/>
            <w:vMerge/>
            <w:tcBorders>
              <w:top w:val="nil"/>
              <w:left w:val="single" w:sz="4" w:space="0" w:color="auto"/>
              <w:bottom w:val="nil"/>
              <w:right w:val="nil"/>
            </w:tcBorders>
            <w:vAlign w:val="center"/>
            <w:hideMark/>
          </w:tcPr>
          <w:p w14:paraId="39B0251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712" w:type="dxa"/>
            <w:tcBorders>
              <w:top w:val="nil"/>
              <w:left w:val="single" w:sz="4" w:space="0" w:color="auto"/>
              <w:bottom w:val="nil"/>
              <w:right w:val="nil"/>
            </w:tcBorders>
            <w:shd w:val="clear" w:color="auto" w:fill="FFFFFF"/>
            <w:tcMar>
              <w:top w:w="10" w:type="dxa"/>
              <w:left w:w="40" w:type="dxa"/>
              <w:bottom w:w="10" w:type="dxa"/>
              <w:right w:w="40" w:type="dxa"/>
            </w:tcMar>
          </w:tcPr>
          <w:p w14:paraId="358AB2F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77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500E455"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2"/>
                <w:szCs w:val="12"/>
              </w:rPr>
            </w:pPr>
            <w:r>
              <w:rPr>
                <w:rFonts w:ascii="Helvetica" w:hAnsi="Helvetica"/>
                <w:color w:val="000000"/>
                <w:sz w:val="12"/>
              </w:rPr>
              <w:t>Hvorav lån for spesielle formål</w:t>
            </w:r>
          </w:p>
        </w:tc>
        <w:tc>
          <w:tcPr>
            <w:tcW w:w="813"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2E445D9B"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2"/>
                <w:szCs w:val="12"/>
              </w:rPr>
            </w:pPr>
            <w:r>
              <w:rPr>
                <w:rFonts w:ascii="Helvetica" w:hAnsi="Helvetica"/>
                <w:color w:val="000000"/>
                <w:sz w:val="12"/>
              </w:rPr>
              <w:t>Hvorav omstilling</w:t>
            </w:r>
          </w:p>
        </w:tc>
        <w:tc>
          <w:tcPr>
            <w:tcW w:w="56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0FC7DD27" w14:textId="5FE09C61" w:rsidR="00A54846" w:rsidRDefault="008A2731">
            <w:pPr>
              <w:widowControl w:val="0"/>
              <w:shd w:val="clear" w:color="auto" w:fill="auto"/>
              <w:spacing w:after="0" w:line="240" w:lineRule="auto"/>
              <w:jc w:val="left"/>
              <w:rPr>
                <w:rFonts w:ascii="Helvetica" w:eastAsia="Arial Unicode MS" w:hAnsi="Helvetica" w:cs="Arial Unicode MS"/>
                <w:color w:val="000000"/>
                <w:sz w:val="12"/>
                <w:szCs w:val="12"/>
              </w:rPr>
            </w:pPr>
            <w:r>
              <w:rPr>
                <w:rFonts w:ascii="Helvetica" w:hAnsi="Helvetica"/>
                <w:color w:val="000000"/>
                <w:sz w:val="12"/>
              </w:rPr>
              <w:t>Hvorav mulig</w:t>
            </w:r>
            <w:r w:rsidR="003929D8">
              <w:rPr>
                <w:rFonts w:ascii="Helvetica" w:hAnsi="Helvetica"/>
                <w:color w:val="000000"/>
                <w:sz w:val="12"/>
              </w:rPr>
              <w:softHyphen/>
            </w:r>
            <w:r>
              <w:rPr>
                <w:rFonts w:ascii="Helvetica" w:hAnsi="Helvetica"/>
                <w:color w:val="000000"/>
                <w:sz w:val="12"/>
              </w:rPr>
              <w:t>gjørende</w:t>
            </w:r>
          </w:p>
        </w:tc>
        <w:tc>
          <w:tcPr>
            <w:tcW w:w="562" w:type="dxa"/>
            <w:vMerge/>
            <w:tcBorders>
              <w:top w:val="nil"/>
              <w:left w:val="single" w:sz="4" w:space="0" w:color="auto"/>
              <w:bottom w:val="nil"/>
              <w:right w:val="nil"/>
            </w:tcBorders>
            <w:vAlign w:val="center"/>
            <w:hideMark/>
          </w:tcPr>
          <w:p w14:paraId="017BCC7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2"/>
                <w:szCs w:val="12"/>
                <w:lang w:val="en-US" w:bidi="en-US"/>
              </w:rPr>
            </w:pPr>
          </w:p>
        </w:tc>
        <w:tc>
          <w:tcPr>
            <w:tcW w:w="598" w:type="dxa"/>
            <w:tcBorders>
              <w:top w:val="nil"/>
              <w:left w:val="single" w:sz="4" w:space="0" w:color="auto"/>
              <w:bottom w:val="nil"/>
              <w:right w:val="nil"/>
            </w:tcBorders>
            <w:shd w:val="clear" w:color="auto" w:fill="FFFFFF"/>
            <w:tcMar>
              <w:top w:w="10" w:type="dxa"/>
              <w:left w:w="40" w:type="dxa"/>
              <w:bottom w:w="10" w:type="dxa"/>
              <w:right w:w="40" w:type="dxa"/>
            </w:tcMar>
          </w:tcPr>
          <w:p w14:paraId="05603DB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2"/>
                <w:szCs w:val="12"/>
                <w:lang w:val="en-US" w:bidi="en-US"/>
              </w:rPr>
            </w:pPr>
          </w:p>
        </w:tc>
        <w:tc>
          <w:tcPr>
            <w:tcW w:w="76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582C3D58"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2"/>
                <w:szCs w:val="12"/>
              </w:rPr>
            </w:pPr>
            <w:r>
              <w:rPr>
                <w:rFonts w:ascii="Helvetica" w:hAnsi="Helvetica"/>
                <w:color w:val="000000"/>
                <w:sz w:val="12"/>
              </w:rPr>
              <w:t>Hvorav lån for spesielle formål</w:t>
            </w:r>
          </w:p>
        </w:tc>
        <w:tc>
          <w:tcPr>
            <w:tcW w:w="80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343A3038"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2"/>
                <w:szCs w:val="12"/>
              </w:rPr>
            </w:pPr>
            <w:r>
              <w:rPr>
                <w:rFonts w:ascii="Helvetica" w:hAnsi="Helvetica"/>
                <w:color w:val="000000"/>
                <w:sz w:val="12"/>
              </w:rPr>
              <w:t>Hvorav omstilling</w:t>
            </w:r>
          </w:p>
        </w:tc>
        <w:tc>
          <w:tcPr>
            <w:tcW w:w="55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3758A75D" w14:textId="46DC1393" w:rsidR="00A54846" w:rsidRDefault="008A2731">
            <w:pPr>
              <w:widowControl w:val="0"/>
              <w:shd w:val="clear" w:color="auto" w:fill="auto"/>
              <w:spacing w:after="0" w:line="240" w:lineRule="auto"/>
              <w:jc w:val="left"/>
              <w:rPr>
                <w:rFonts w:ascii="Helvetica" w:eastAsia="Arial Unicode MS" w:hAnsi="Helvetica" w:cs="Arial Unicode MS"/>
                <w:color w:val="000000"/>
                <w:sz w:val="12"/>
                <w:szCs w:val="12"/>
              </w:rPr>
            </w:pPr>
            <w:r>
              <w:rPr>
                <w:rFonts w:ascii="Helvetica" w:hAnsi="Helvetica"/>
                <w:color w:val="000000"/>
                <w:sz w:val="12"/>
              </w:rPr>
              <w:t>Hvorav mulig</w:t>
            </w:r>
            <w:r w:rsidR="003929D8">
              <w:rPr>
                <w:rFonts w:ascii="Helvetica" w:hAnsi="Helvetica"/>
                <w:color w:val="000000"/>
                <w:sz w:val="12"/>
              </w:rPr>
              <w:softHyphen/>
            </w:r>
            <w:r>
              <w:rPr>
                <w:rFonts w:ascii="Helvetica" w:hAnsi="Helvetica"/>
                <w:color w:val="000000"/>
                <w:sz w:val="12"/>
              </w:rPr>
              <w:t>gjørende</w:t>
            </w:r>
          </w:p>
        </w:tc>
        <w:tc>
          <w:tcPr>
            <w:tcW w:w="559" w:type="dxa"/>
            <w:tcBorders>
              <w:top w:val="nil"/>
              <w:left w:val="single" w:sz="4" w:space="0" w:color="auto"/>
              <w:bottom w:val="nil"/>
              <w:right w:val="nil"/>
            </w:tcBorders>
            <w:vAlign w:val="center"/>
            <w:hideMark/>
          </w:tcPr>
          <w:p w14:paraId="5F197E8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2"/>
                <w:szCs w:val="12"/>
                <w:lang w:val="en-US" w:bidi="en-US"/>
              </w:rPr>
            </w:pPr>
          </w:p>
        </w:tc>
        <w:tc>
          <w:tcPr>
            <w:tcW w:w="691" w:type="dxa"/>
            <w:gridSpan w:val="2"/>
            <w:tcBorders>
              <w:top w:val="nil"/>
              <w:left w:val="single" w:sz="4" w:space="0" w:color="auto"/>
              <w:bottom w:val="nil"/>
              <w:right w:val="nil"/>
            </w:tcBorders>
            <w:shd w:val="clear" w:color="auto" w:fill="FFFFFF"/>
            <w:tcMar>
              <w:top w:w="10" w:type="dxa"/>
              <w:left w:w="40" w:type="dxa"/>
              <w:bottom w:w="10" w:type="dxa"/>
              <w:right w:w="40" w:type="dxa"/>
            </w:tcMar>
          </w:tcPr>
          <w:p w14:paraId="70175EB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2"/>
                <w:szCs w:val="12"/>
                <w:lang w:val="en-US" w:bidi="en-US"/>
              </w:rPr>
            </w:pPr>
          </w:p>
        </w:tc>
        <w:tc>
          <w:tcPr>
            <w:tcW w:w="68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B99D811"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2"/>
                <w:szCs w:val="12"/>
              </w:rPr>
            </w:pPr>
            <w:r>
              <w:rPr>
                <w:rFonts w:ascii="Helvetica" w:hAnsi="Helvetica"/>
                <w:color w:val="000000"/>
                <w:sz w:val="12"/>
              </w:rPr>
              <w:t>Hvorav lån for spesielle formål</w:t>
            </w:r>
          </w:p>
        </w:tc>
        <w:tc>
          <w:tcPr>
            <w:tcW w:w="82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6802DD90"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2"/>
                <w:szCs w:val="12"/>
              </w:rPr>
            </w:pPr>
            <w:r>
              <w:rPr>
                <w:rFonts w:ascii="Helvetica" w:hAnsi="Helvetica"/>
                <w:color w:val="000000"/>
                <w:sz w:val="12"/>
              </w:rPr>
              <w:t>Hvorav omstilling</w:t>
            </w:r>
          </w:p>
        </w:tc>
        <w:tc>
          <w:tcPr>
            <w:tcW w:w="561" w:type="dxa"/>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vAlign w:val="center"/>
            <w:hideMark/>
          </w:tcPr>
          <w:p w14:paraId="50FAD1E6" w14:textId="03E7BC2F" w:rsidR="00A54846" w:rsidRDefault="008A2731">
            <w:pPr>
              <w:widowControl w:val="0"/>
              <w:shd w:val="clear" w:color="auto" w:fill="auto"/>
              <w:spacing w:after="0" w:line="240" w:lineRule="auto"/>
              <w:jc w:val="left"/>
              <w:rPr>
                <w:rFonts w:ascii="Helvetica" w:eastAsia="Arial Unicode MS" w:hAnsi="Helvetica" w:cs="Arial Unicode MS"/>
                <w:color w:val="000000"/>
                <w:sz w:val="12"/>
                <w:szCs w:val="12"/>
              </w:rPr>
            </w:pPr>
            <w:r>
              <w:rPr>
                <w:rFonts w:ascii="Helvetica" w:hAnsi="Helvetica"/>
                <w:color w:val="000000"/>
                <w:sz w:val="12"/>
              </w:rPr>
              <w:t>Hvorav mulig</w:t>
            </w:r>
            <w:r w:rsidR="003929D8">
              <w:rPr>
                <w:rFonts w:ascii="Helvetica" w:hAnsi="Helvetica"/>
                <w:color w:val="000000"/>
                <w:sz w:val="12"/>
              </w:rPr>
              <w:softHyphen/>
            </w:r>
            <w:r>
              <w:rPr>
                <w:rFonts w:ascii="Helvetica" w:hAnsi="Helvetica"/>
                <w:color w:val="000000"/>
                <w:sz w:val="12"/>
              </w:rPr>
              <w:t>gjørende</w:t>
            </w:r>
          </w:p>
        </w:tc>
      </w:tr>
      <w:tr w:rsidR="00A54846" w14:paraId="2EB2420E" w14:textId="77777777">
        <w:trPr>
          <w:trHeight w:val="154"/>
        </w:trPr>
        <w:tc>
          <w:tcPr>
            <w:tcW w:w="19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3530D076"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1</w:t>
            </w:r>
          </w:p>
        </w:tc>
        <w:tc>
          <w:tcPr>
            <w:tcW w:w="3791"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CBA1FC0"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2"/>
                <w:szCs w:val="12"/>
              </w:rPr>
            </w:pPr>
            <w:r>
              <w:rPr>
                <w:rFonts w:ascii="Helvetica" w:hAnsi="Helvetica"/>
                <w:color w:val="000000"/>
                <w:sz w:val="12"/>
              </w:rPr>
              <w:t>Finansielle garantier (KPI for FinGuar)</w:t>
            </w:r>
          </w:p>
        </w:tc>
        <w:tc>
          <w:tcPr>
            <w:tcW w:w="556"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B60DD4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712"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4E1575B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770"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851924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813"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5C65420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63"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33A2BBA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62"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050660A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98"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60B6656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769"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505CAA2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807"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0DF8B1E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59"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8CD979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59"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23CC62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691"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089D72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689"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30EB92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829"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36E0B39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61" w:type="dxa"/>
            <w:tcBorders>
              <w:top w:val="single" w:sz="4" w:space="0" w:color="auto"/>
              <w:left w:val="single" w:sz="4" w:space="0" w:color="auto"/>
              <w:bottom w:val="single" w:sz="4" w:space="0" w:color="auto"/>
              <w:right w:val="single" w:sz="4" w:space="0" w:color="auto"/>
            </w:tcBorders>
            <w:shd w:val="clear" w:color="auto" w:fill="FFFFFF"/>
            <w:tcMar>
              <w:top w:w="10" w:type="dxa"/>
              <w:left w:w="40" w:type="dxa"/>
              <w:bottom w:w="10" w:type="dxa"/>
              <w:right w:w="40" w:type="dxa"/>
            </w:tcMar>
          </w:tcPr>
          <w:p w14:paraId="6555FC0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r>
      <w:tr w:rsidR="00A54846" w14:paraId="2832E2B7" w14:textId="77777777">
        <w:trPr>
          <w:trHeight w:val="154"/>
        </w:trPr>
        <w:tc>
          <w:tcPr>
            <w:tcW w:w="199"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079CDEB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2"/>
                <w:szCs w:val="12"/>
              </w:rPr>
            </w:pPr>
            <w:r>
              <w:rPr>
                <w:rFonts w:ascii="Helvetica" w:hAnsi="Helvetica"/>
                <w:color w:val="000000"/>
                <w:sz w:val="12"/>
              </w:rPr>
              <w:t>2</w:t>
            </w:r>
          </w:p>
        </w:tc>
        <w:tc>
          <w:tcPr>
            <w:tcW w:w="3791"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817EA58"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2"/>
                <w:szCs w:val="12"/>
              </w:rPr>
            </w:pPr>
            <w:r>
              <w:rPr>
                <w:rFonts w:ascii="Helvetica" w:hAnsi="Helvetica"/>
                <w:color w:val="000000"/>
                <w:sz w:val="12"/>
              </w:rPr>
              <w:t>Eiendeler under forvaltning (KPI for AuM)</w:t>
            </w:r>
          </w:p>
        </w:tc>
        <w:tc>
          <w:tcPr>
            <w:tcW w:w="556"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3885F4B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712"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060A7DB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770"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5B853F1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813"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1D1B03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63"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04611E0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62"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CCA687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98"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C162FE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769"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A37FA1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807"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0815FE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59"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E47FE5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59"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AF48A0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691"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325EDF4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689"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CA90A0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829"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BF36B5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c>
          <w:tcPr>
            <w:tcW w:w="561" w:type="dxa"/>
            <w:tcBorders>
              <w:top w:val="single" w:sz="4" w:space="0" w:color="auto"/>
              <w:left w:val="single" w:sz="4" w:space="0" w:color="auto"/>
              <w:bottom w:val="single" w:sz="4" w:space="0" w:color="auto"/>
              <w:right w:val="single" w:sz="4" w:space="0" w:color="auto"/>
            </w:tcBorders>
            <w:shd w:val="clear" w:color="auto" w:fill="FFFFFF"/>
            <w:tcMar>
              <w:top w:w="10" w:type="dxa"/>
              <w:left w:w="40" w:type="dxa"/>
              <w:bottom w:w="10" w:type="dxa"/>
              <w:right w:w="40" w:type="dxa"/>
            </w:tcMar>
          </w:tcPr>
          <w:p w14:paraId="4469C18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2"/>
                <w:szCs w:val="12"/>
                <w:lang w:bidi="en-US"/>
              </w:rPr>
            </w:pPr>
          </w:p>
        </w:tc>
      </w:tr>
      <w:tr w:rsidR="00A54846" w14:paraId="72EA238A" w14:textId="77777777">
        <w:trPr>
          <w:gridAfter w:val="19"/>
          <w:wAfter w:w="10032" w:type="dxa"/>
        </w:trPr>
        <w:tc>
          <w:tcPr>
            <w:tcW w:w="192" w:type="dxa"/>
            <w:tcBorders>
              <w:top w:val="single" w:sz="4" w:space="0" w:color="auto"/>
              <w:left w:val="nil"/>
              <w:bottom w:val="nil"/>
              <w:right w:val="nil"/>
            </w:tcBorders>
            <w:shd w:val="clear" w:color="auto" w:fill="FFFFFF"/>
            <w:tcMar>
              <w:top w:w="10" w:type="dxa"/>
              <w:left w:w="40" w:type="dxa"/>
              <w:bottom w:w="10" w:type="dxa"/>
              <w:right w:w="40" w:type="dxa"/>
            </w:tcMar>
            <w:vAlign w:val="bottom"/>
          </w:tcPr>
          <w:p w14:paraId="43304B91"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0"/>
                <w:szCs w:val="12"/>
                <w:lang w:bidi="en-US"/>
              </w:rPr>
            </w:pPr>
          </w:p>
        </w:tc>
        <w:tc>
          <w:tcPr>
            <w:tcW w:w="3804" w:type="dxa"/>
            <w:gridSpan w:val="3"/>
            <w:tcBorders>
              <w:top w:val="single" w:sz="4" w:space="0" w:color="auto"/>
              <w:left w:val="nil"/>
              <w:bottom w:val="nil"/>
              <w:right w:val="nil"/>
            </w:tcBorders>
            <w:shd w:val="clear" w:color="auto" w:fill="FFFFFF"/>
            <w:vAlign w:val="bottom"/>
            <w:hideMark/>
          </w:tcPr>
          <w:p w14:paraId="2ECFBF4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0"/>
                <w:szCs w:val="12"/>
              </w:rPr>
            </w:pPr>
            <w:r>
              <w:rPr>
                <w:rFonts w:ascii="Helvetica" w:hAnsi="Helvetica"/>
                <w:color w:val="000000"/>
                <w:sz w:val="10"/>
              </w:rPr>
              <w:t>1. Institusjonen skal i denne malen opplyse om KPI-ene for GAR for eksponeringer utenfor balansen (finansielle garantier og eiendeler under forvaltning) beregnet på grunnlag av dataene framlagt i mal 1, om dekkede eiendeler, ved anvendelse av formlene i denne malen</w:t>
            </w:r>
          </w:p>
        </w:tc>
      </w:tr>
    </w:tbl>
    <w:p w14:paraId="1B62650A" w14:textId="77777777" w:rsidR="00A54846" w:rsidRDefault="00A54846">
      <w:pPr>
        <w:pStyle w:val="Para"/>
        <w:spacing w:line="240" w:lineRule="auto"/>
        <w:jc w:val="left"/>
      </w:pPr>
    </w:p>
    <w:p w14:paraId="28CAE682" w14:textId="77777777" w:rsidR="00A54846" w:rsidRDefault="008A2731">
      <w:pPr>
        <w:pStyle w:val="AnnexNumberedText"/>
        <w:ind w:left="279" w:hanging="279"/>
      </w:pPr>
      <w:r>
        <w:t>6.</w:t>
      </w:r>
      <w:r>
        <w:rPr>
          <w:b/>
        </w:rPr>
        <w:tab/>
        <w:t>KPI for gebyr- og provisjonsinntekter fra andre tjenester enn utlån og kapitalforvaltning</w:t>
      </w:r>
    </w:p>
    <w:tbl>
      <w:tblPr>
        <w:tblOverlap w:val="never"/>
        <w:tblW w:w="14028" w:type="dxa"/>
        <w:tblInd w:w="328" w:type="dxa"/>
        <w:tblLayout w:type="fixed"/>
        <w:tblCellMar>
          <w:left w:w="10" w:type="dxa"/>
          <w:right w:w="10" w:type="dxa"/>
        </w:tblCellMar>
        <w:tblLook w:val="04A0" w:firstRow="1" w:lastRow="0" w:firstColumn="1" w:lastColumn="0" w:noHBand="0" w:noVBand="1"/>
      </w:tblPr>
      <w:tblGrid>
        <w:gridCol w:w="182"/>
        <w:gridCol w:w="2363"/>
        <w:gridCol w:w="11"/>
        <w:gridCol w:w="419"/>
        <w:gridCol w:w="309"/>
        <w:gridCol w:w="359"/>
        <w:gridCol w:w="496"/>
        <w:gridCol w:w="465"/>
        <w:gridCol w:w="357"/>
        <w:gridCol w:w="386"/>
        <w:gridCol w:w="522"/>
        <w:gridCol w:w="428"/>
        <w:gridCol w:w="350"/>
        <w:gridCol w:w="437"/>
        <w:gridCol w:w="523"/>
        <w:gridCol w:w="444"/>
        <w:gridCol w:w="432"/>
        <w:gridCol w:w="365"/>
        <w:gridCol w:w="512"/>
        <w:gridCol w:w="524"/>
        <w:gridCol w:w="405"/>
        <w:gridCol w:w="9"/>
        <w:gridCol w:w="362"/>
        <w:gridCol w:w="458"/>
        <w:gridCol w:w="7"/>
        <w:gridCol w:w="515"/>
        <w:gridCol w:w="406"/>
        <w:gridCol w:w="354"/>
        <w:gridCol w:w="667"/>
        <w:gridCol w:w="499"/>
        <w:gridCol w:w="462"/>
      </w:tblGrid>
      <w:tr w:rsidR="00A54846" w14:paraId="45ABB210" w14:textId="77777777">
        <w:tc>
          <w:tcPr>
            <w:tcW w:w="2545" w:type="dxa"/>
            <w:gridSpan w:val="2"/>
            <w:tcBorders>
              <w:top w:val="nil"/>
              <w:left w:val="nil"/>
              <w:bottom w:val="single" w:sz="4" w:space="0" w:color="auto"/>
              <w:right w:val="nil"/>
            </w:tcBorders>
            <w:shd w:val="clear" w:color="auto" w:fill="FFFFFF"/>
            <w:tcMar>
              <w:top w:w="10" w:type="dxa"/>
              <w:left w:w="40" w:type="dxa"/>
              <w:bottom w:w="10" w:type="dxa"/>
              <w:right w:w="40" w:type="dxa"/>
            </w:tcMar>
          </w:tcPr>
          <w:p w14:paraId="0AF9D3B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30" w:type="dxa"/>
            <w:gridSpan w:val="2"/>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vAlign w:val="bottom"/>
            <w:hideMark/>
          </w:tcPr>
          <w:p w14:paraId="2D3B8F5C"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a</w:t>
            </w:r>
          </w:p>
        </w:tc>
        <w:tc>
          <w:tcPr>
            <w:tcW w:w="309"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60F796A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b</w:t>
            </w:r>
          </w:p>
        </w:tc>
        <w:tc>
          <w:tcPr>
            <w:tcW w:w="359"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155AB95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c</w:t>
            </w:r>
          </w:p>
        </w:tc>
        <w:tc>
          <w:tcPr>
            <w:tcW w:w="496"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54860FEF" w14:textId="4AC4182F" w:rsidR="00A54846" w:rsidRDefault="003929D8">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E</w:t>
            </w:r>
          </w:p>
        </w:tc>
        <w:tc>
          <w:tcPr>
            <w:tcW w:w="465"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361E13EC"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f</w:t>
            </w:r>
          </w:p>
        </w:tc>
        <w:tc>
          <w:tcPr>
            <w:tcW w:w="357"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3AEF253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g</w:t>
            </w:r>
          </w:p>
        </w:tc>
        <w:tc>
          <w:tcPr>
            <w:tcW w:w="386"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0374939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w:t>
            </w:r>
          </w:p>
        </w:tc>
        <w:tc>
          <w:tcPr>
            <w:tcW w:w="522"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2A4DE59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j</w:t>
            </w:r>
          </w:p>
        </w:tc>
        <w:tc>
          <w:tcPr>
            <w:tcW w:w="428"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096C8E8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k</w:t>
            </w:r>
          </w:p>
        </w:tc>
        <w:tc>
          <w:tcPr>
            <w:tcW w:w="350"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24A4498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l</w:t>
            </w:r>
          </w:p>
        </w:tc>
        <w:tc>
          <w:tcPr>
            <w:tcW w:w="437"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4DA679C4"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m</w:t>
            </w:r>
          </w:p>
        </w:tc>
        <w:tc>
          <w:tcPr>
            <w:tcW w:w="523"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069A425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n</w:t>
            </w:r>
          </w:p>
        </w:tc>
        <w:tc>
          <w:tcPr>
            <w:tcW w:w="444"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66F02A9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o</w:t>
            </w:r>
          </w:p>
        </w:tc>
        <w:tc>
          <w:tcPr>
            <w:tcW w:w="432"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269FEAE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p</w:t>
            </w:r>
          </w:p>
        </w:tc>
        <w:tc>
          <w:tcPr>
            <w:tcW w:w="365"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6002A0C3"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q</w:t>
            </w:r>
          </w:p>
        </w:tc>
        <w:tc>
          <w:tcPr>
            <w:tcW w:w="512"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5FDE4FA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r</w:t>
            </w:r>
          </w:p>
        </w:tc>
        <w:tc>
          <w:tcPr>
            <w:tcW w:w="524"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6EA37CD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s</w:t>
            </w:r>
          </w:p>
        </w:tc>
        <w:tc>
          <w:tcPr>
            <w:tcW w:w="405"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10F8E12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t</w:t>
            </w:r>
          </w:p>
        </w:tc>
        <w:tc>
          <w:tcPr>
            <w:tcW w:w="371" w:type="dxa"/>
            <w:gridSpan w:val="2"/>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36E36778"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u</w:t>
            </w:r>
          </w:p>
        </w:tc>
        <w:tc>
          <w:tcPr>
            <w:tcW w:w="465" w:type="dxa"/>
            <w:gridSpan w:val="2"/>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4D05448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v</w:t>
            </w:r>
          </w:p>
        </w:tc>
        <w:tc>
          <w:tcPr>
            <w:tcW w:w="515"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5E23CCE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w</w:t>
            </w:r>
          </w:p>
        </w:tc>
        <w:tc>
          <w:tcPr>
            <w:tcW w:w="406"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1E77D704"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x</w:t>
            </w:r>
          </w:p>
        </w:tc>
        <w:tc>
          <w:tcPr>
            <w:tcW w:w="354"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768070E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y</w:t>
            </w:r>
          </w:p>
        </w:tc>
        <w:tc>
          <w:tcPr>
            <w:tcW w:w="667"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3878D79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z</w:t>
            </w:r>
          </w:p>
        </w:tc>
        <w:tc>
          <w:tcPr>
            <w:tcW w:w="499"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0EF47FC6" w14:textId="479FF328" w:rsidR="00A54846" w:rsidRDefault="003929D8">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A</w:t>
            </w:r>
            <w:r w:rsidR="008A2731">
              <w:rPr>
                <w:rFonts w:ascii="Helvetica" w:hAnsi="Helvetica"/>
                <w:color w:val="000000"/>
                <w:sz w:val="8"/>
              </w:rPr>
              <w:t>a</w:t>
            </w:r>
          </w:p>
        </w:tc>
        <w:tc>
          <w:tcPr>
            <w:tcW w:w="462" w:type="dxa"/>
            <w:tcBorders>
              <w:top w:val="single" w:sz="4" w:space="0" w:color="auto"/>
              <w:left w:val="single" w:sz="4" w:space="0" w:color="auto"/>
              <w:bottom w:val="nil"/>
              <w:right w:val="single" w:sz="4" w:space="0" w:color="auto"/>
            </w:tcBorders>
            <w:shd w:val="clear" w:color="auto" w:fill="FFFFFF"/>
            <w:tcMar>
              <w:top w:w="10" w:type="dxa"/>
              <w:bottom w:w="10" w:type="dxa"/>
            </w:tcMar>
            <w:vAlign w:val="bottom"/>
            <w:hideMark/>
          </w:tcPr>
          <w:p w14:paraId="54D68B5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ab</w:t>
            </w:r>
          </w:p>
        </w:tc>
      </w:tr>
      <w:tr w:rsidR="00A54846" w14:paraId="1E9D2D92" w14:textId="77777777">
        <w:trPr>
          <w:trHeight w:val="166"/>
        </w:trPr>
        <w:tc>
          <w:tcPr>
            <w:tcW w:w="2545" w:type="dxa"/>
            <w:gridSpan w:val="2"/>
            <w:vMerge w:val="restart"/>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DAF18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704FC2"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076" w:type="dxa"/>
            <w:gridSpan w:val="12"/>
            <w:tcBorders>
              <w:top w:val="single" w:sz="4" w:space="0" w:color="auto"/>
              <w:left w:val="nil"/>
              <w:bottom w:val="nil"/>
              <w:right w:val="nil"/>
            </w:tcBorders>
            <w:shd w:val="clear" w:color="auto" w:fill="FFFFFF"/>
            <w:tcMar>
              <w:top w:w="10" w:type="dxa"/>
              <w:left w:w="40" w:type="dxa"/>
              <w:bottom w:w="10" w:type="dxa"/>
              <w:right w:w="40" w:type="dxa"/>
            </w:tcMar>
            <w:vAlign w:val="center"/>
            <w:hideMark/>
          </w:tcPr>
          <w:p w14:paraId="07B0BA8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KPI for gebyrer og provisjoner – Referansedato for opplysningene T</w:t>
            </w:r>
          </w:p>
        </w:tc>
        <w:tc>
          <w:tcPr>
            <w:tcW w:w="432" w:type="dxa"/>
            <w:vMerge w:val="restart"/>
            <w:tcBorders>
              <w:top w:val="single" w:sz="4" w:space="0" w:color="auto"/>
              <w:left w:val="single" w:sz="4" w:space="0" w:color="auto"/>
              <w:right w:val="nil"/>
            </w:tcBorders>
            <w:shd w:val="clear" w:color="auto" w:fill="FFFFFF"/>
            <w:tcMar>
              <w:top w:w="10" w:type="dxa"/>
              <w:left w:w="40" w:type="dxa"/>
              <w:bottom w:w="10" w:type="dxa"/>
              <w:right w:w="40" w:type="dxa"/>
            </w:tcMar>
            <w:vAlign w:val="center"/>
          </w:tcPr>
          <w:p w14:paraId="21F0294E" w14:textId="77777777" w:rsidR="00A54846" w:rsidRDefault="008A2731">
            <w:pPr>
              <w:widowControl w:val="0"/>
              <w:shd w:val="clear" w:color="auto" w:fill="auto"/>
              <w:spacing w:after="0" w:line="240" w:lineRule="auto"/>
              <w:jc w:val="center"/>
            </w:pPr>
            <w:r>
              <w:rPr>
                <w:rFonts w:ascii="Helvetica" w:hAnsi="Helvetica"/>
                <w:color w:val="000000"/>
                <w:sz w:val="8"/>
              </w:rPr>
              <w:t>Sum (millioner euro)</w:t>
            </w:r>
          </w:p>
        </w:tc>
        <w:tc>
          <w:tcPr>
            <w:tcW w:w="5545" w:type="dxa"/>
            <w:gridSpan w:val="14"/>
            <w:tcBorders>
              <w:top w:val="single" w:sz="4" w:space="0" w:color="auto"/>
              <w:left w:val="nil"/>
              <w:bottom w:val="nil"/>
              <w:right w:val="single" w:sz="4" w:space="0" w:color="auto"/>
            </w:tcBorders>
            <w:shd w:val="clear" w:color="auto" w:fill="FFFFFF"/>
            <w:tcMar>
              <w:top w:w="10" w:type="dxa"/>
              <w:left w:w="40" w:type="dxa"/>
              <w:bottom w:w="10" w:type="dxa"/>
              <w:right w:w="40" w:type="dxa"/>
            </w:tcMar>
            <w:vAlign w:val="center"/>
            <w:hideMark/>
          </w:tcPr>
          <w:p w14:paraId="156D5687"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KPI for gebyrer og provisjoner – Referansedato for opplysningene T-1</w:t>
            </w:r>
          </w:p>
        </w:tc>
      </w:tr>
      <w:tr w:rsidR="00A54846" w14:paraId="4323AA79" w14:textId="77777777">
        <w:tc>
          <w:tcPr>
            <w:tcW w:w="2545" w:type="dxa"/>
            <w:gridSpan w:val="2"/>
            <w:vMerge/>
            <w:tcBorders>
              <w:top w:val="single" w:sz="4" w:space="0" w:color="auto"/>
              <w:left w:val="single" w:sz="4" w:space="0" w:color="auto"/>
              <w:bottom w:val="nil"/>
              <w:right w:val="nil"/>
            </w:tcBorders>
            <w:tcMar>
              <w:top w:w="10" w:type="dxa"/>
              <w:bottom w:w="10" w:type="dxa"/>
            </w:tcMar>
            <w:vAlign w:val="center"/>
            <w:hideMark/>
          </w:tcPr>
          <w:p w14:paraId="0EE9FA2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30" w:type="dxa"/>
            <w:gridSpan w:val="2"/>
            <w:vMerge w:val="restart"/>
            <w:tcBorders>
              <w:top w:val="nil"/>
              <w:left w:val="single" w:sz="4" w:space="0" w:color="auto"/>
              <w:bottom w:val="nil"/>
              <w:right w:val="nil"/>
            </w:tcBorders>
            <w:shd w:val="clear" w:color="auto" w:fill="FFFFFF"/>
            <w:tcMar>
              <w:top w:w="10" w:type="dxa"/>
              <w:left w:w="40" w:type="dxa"/>
              <w:bottom w:w="10" w:type="dxa"/>
              <w:right w:w="40" w:type="dxa"/>
            </w:tcMar>
            <w:vAlign w:val="center"/>
            <w:hideMark/>
          </w:tcPr>
          <w:p w14:paraId="412F7CC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Sum (millioner euro)</w:t>
            </w:r>
          </w:p>
        </w:tc>
        <w:tc>
          <w:tcPr>
            <w:tcW w:w="1629" w:type="dxa"/>
            <w:gridSpan w:val="4"/>
            <w:tcBorders>
              <w:top w:val="single" w:sz="4" w:space="0" w:color="auto"/>
              <w:left w:val="single" w:sz="4" w:space="0" w:color="auto"/>
              <w:bottom w:val="nil"/>
              <w:right w:val="nil"/>
            </w:tcBorders>
            <w:shd w:val="clear" w:color="auto" w:fill="BFBFBF" w:themeFill="background1" w:themeFillShade="BF"/>
            <w:tcMar>
              <w:top w:w="10" w:type="dxa"/>
              <w:left w:w="40" w:type="dxa"/>
              <w:bottom w:w="10" w:type="dxa"/>
              <w:right w:w="40" w:type="dxa"/>
            </w:tcMar>
            <w:vAlign w:val="bottom"/>
            <w:hideMark/>
          </w:tcPr>
          <w:p w14:paraId="55D26509"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8"/>
                <w:szCs w:val="8"/>
              </w:rPr>
            </w:pPr>
            <w:r>
              <w:rPr>
                <w:rFonts w:ascii="Helvetica" w:hAnsi="Helvetica"/>
                <w:b/>
                <w:color w:val="000000"/>
                <w:sz w:val="8"/>
              </w:rPr>
              <w:t>Begrensning av klimaendringer</w:t>
            </w:r>
          </w:p>
        </w:tc>
        <w:tc>
          <w:tcPr>
            <w:tcW w:w="1693" w:type="dxa"/>
            <w:gridSpan w:val="4"/>
            <w:tcBorders>
              <w:top w:val="single" w:sz="4" w:space="0" w:color="auto"/>
              <w:left w:val="single" w:sz="4" w:space="0" w:color="auto"/>
              <w:bottom w:val="nil"/>
              <w:right w:val="nil"/>
            </w:tcBorders>
            <w:shd w:val="clear" w:color="auto" w:fill="BFBFBF" w:themeFill="background1" w:themeFillShade="BF"/>
            <w:tcMar>
              <w:top w:w="10" w:type="dxa"/>
              <w:left w:w="40" w:type="dxa"/>
              <w:bottom w:w="10" w:type="dxa"/>
              <w:right w:w="40" w:type="dxa"/>
            </w:tcMar>
            <w:vAlign w:val="bottom"/>
            <w:hideMark/>
          </w:tcPr>
          <w:p w14:paraId="037AF173"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8"/>
                <w:szCs w:val="8"/>
              </w:rPr>
            </w:pPr>
            <w:r>
              <w:rPr>
                <w:rFonts w:ascii="Helvetica" w:hAnsi="Helvetica"/>
                <w:b/>
                <w:color w:val="000000"/>
                <w:sz w:val="8"/>
              </w:rPr>
              <w:t>Tilpasning til klimaendringer</w:t>
            </w:r>
          </w:p>
        </w:tc>
        <w:tc>
          <w:tcPr>
            <w:tcW w:w="1754" w:type="dxa"/>
            <w:gridSpan w:val="4"/>
            <w:tcBorders>
              <w:top w:val="single" w:sz="4" w:space="0" w:color="auto"/>
              <w:left w:val="single" w:sz="4" w:space="0" w:color="auto"/>
              <w:bottom w:val="nil"/>
              <w:right w:val="nil"/>
            </w:tcBorders>
            <w:shd w:val="clear" w:color="auto" w:fill="BFBFBF" w:themeFill="background1" w:themeFillShade="BF"/>
            <w:tcMar>
              <w:top w:w="10" w:type="dxa"/>
              <w:left w:w="40" w:type="dxa"/>
              <w:bottom w:w="10" w:type="dxa"/>
              <w:right w:w="40" w:type="dxa"/>
            </w:tcMar>
            <w:vAlign w:val="bottom"/>
            <w:hideMark/>
          </w:tcPr>
          <w:p w14:paraId="1E8D80D3"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8"/>
                <w:szCs w:val="8"/>
              </w:rPr>
            </w:pPr>
            <w:r>
              <w:rPr>
                <w:rFonts w:ascii="Helvetica" w:hAnsi="Helvetica"/>
                <w:b/>
                <w:color w:val="000000"/>
                <w:sz w:val="8"/>
              </w:rPr>
              <w:t>SUM (begrensning + tilpasning)</w:t>
            </w:r>
          </w:p>
        </w:tc>
        <w:tc>
          <w:tcPr>
            <w:tcW w:w="432" w:type="dxa"/>
            <w:vMerge/>
            <w:tcBorders>
              <w:left w:val="single" w:sz="4" w:space="0" w:color="auto"/>
              <w:right w:val="nil"/>
            </w:tcBorders>
            <w:shd w:val="clear" w:color="auto" w:fill="BFBFBF" w:themeFill="background1" w:themeFillShade="BF"/>
            <w:tcMar>
              <w:top w:w="10" w:type="dxa"/>
              <w:left w:w="40" w:type="dxa"/>
              <w:bottom w:w="10" w:type="dxa"/>
              <w:right w:w="40" w:type="dxa"/>
            </w:tcMar>
            <w:vAlign w:val="center"/>
            <w:hideMark/>
          </w:tcPr>
          <w:p w14:paraId="3593F366" w14:textId="77777777" w:rsidR="00A54846" w:rsidRDefault="00A54846">
            <w:pPr>
              <w:widowControl w:val="0"/>
              <w:shd w:val="clear" w:color="auto" w:fill="auto"/>
              <w:spacing w:after="0" w:line="240" w:lineRule="auto"/>
              <w:jc w:val="center"/>
              <w:rPr>
                <w:rFonts w:ascii="Helvetica" w:eastAsia="Arial Unicode MS" w:hAnsi="Helvetica" w:cs="Arial Unicode MS"/>
                <w:b/>
                <w:color w:val="000000"/>
                <w:sz w:val="8"/>
                <w:szCs w:val="8"/>
                <w:lang w:val="en-US" w:bidi="en-US"/>
              </w:rPr>
            </w:pPr>
          </w:p>
        </w:tc>
        <w:tc>
          <w:tcPr>
            <w:tcW w:w="1815" w:type="dxa"/>
            <w:gridSpan w:val="5"/>
            <w:tcBorders>
              <w:top w:val="single" w:sz="4" w:space="0" w:color="auto"/>
              <w:left w:val="single" w:sz="4" w:space="0" w:color="auto"/>
              <w:bottom w:val="nil"/>
              <w:right w:val="nil"/>
            </w:tcBorders>
            <w:shd w:val="clear" w:color="auto" w:fill="BFBFBF" w:themeFill="background1" w:themeFillShade="BF"/>
            <w:tcMar>
              <w:top w:w="10" w:type="dxa"/>
              <w:left w:w="40" w:type="dxa"/>
              <w:bottom w:w="10" w:type="dxa"/>
              <w:right w:w="40" w:type="dxa"/>
            </w:tcMar>
            <w:vAlign w:val="bottom"/>
            <w:hideMark/>
          </w:tcPr>
          <w:p w14:paraId="07ED543E"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8"/>
                <w:szCs w:val="8"/>
              </w:rPr>
            </w:pPr>
            <w:r>
              <w:rPr>
                <w:rFonts w:ascii="Helvetica" w:hAnsi="Helvetica"/>
                <w:b/>
                <w:color w:val="000000"/>
                <w:sz w:val="8"/>
              </w:rPr>
              <w:t>Begrensning av klimaendringer</w:t>
            </w:r>
          </w:p>
        </w:tc>
        <w:tc>
          <w:tcPr>
            <w:tcW w:w="1748" w:type="dxa"/>
            <w:gridSpan w:val="5"/>
            <w:tcBorders>
              <w:top w:val="single" w:sz="4" w:space="0" w:color="auto"/>
              <w:left w:val="single" w:sz="4" w:space="0" w:color="auto"/>
              <w:bottom w:val="nil"/>
              <w:right w:val="nil"/>
            </w:tcBorders>
            <w:shd w:val="clear" w:color="auto" w:fill="BFBFBF" w:themeFill="background1" w:themeFillShade="BF"/>
            <w:tcMar>
              <w:top w:w="10" w:type="dxa"/>
              <w:left w:w="40" w:type="dxa"/>
              <w:bottom w:w="10" w:type="dxa"/>
              <w:right w:w="40" w:type="dxa"/>
            </w:tcMar>
            <w:vAlign w:val="bottom"/>
            <w:hideMark/>
          </w:tcPr>
          <w:p w14:paraId="36C58D3D"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8"/>
                <w:szCs w:val="8"/>
              </w:rPr>
            </w:pPr>
            <w:r>
              <w:rPr>
                <w:rFonts w:ascii="Helvetica" w:hAnsi="Helvetica"/>
                <w:b/>
                <w:color w:val="000000"/>
                <w:sz w:val="8"/>
              </w:rPr>
              <w:t>Tilpasning til klimaendringer</w:t>
            </w:r>
          </w:p>
        </w:tc>
        <w:tc>
          <w:tcPr>
            <w:tcW w:w="1982" w:type="dxa"/>
            <w:gridSpan w:val="4"/>
            <w:tcBorders>
              <w:top w:val="single" w:sz="4" w:space="0" w:color="auto"/>
              <w:left w:val="single" w:sz="4" w:space="0" w:color="auto"/>
              <w:bottom w:val="nil"/>
              <w:right w:val="single" w:sz="4" w:space="0" w:color="auto"/>
            </w:tcBorders>
            <w:shd w:val="clear" w:color="auto" w:fill="BFBFBF" w:themeFill="background1" w:themeFillShade="BF"/>
            <w:tcMar>
              <w:top w:w="10" w:type="dxa"/>
              <w:left w:w="40" w:type="dxa"/>
              <w:bottom w:w="10" w:type="dxa"/>
              <w:right w:w="40" w:type="dxa"/>
            </w:tcMar>
            <w:vAlign w:val="bottom"/>
            <w:hideMark/>
          </w:tcPr>
          <w:p w14:paraId="53C83846"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8"/>
                <w:szCs w:val="8"/>
              </w:rPr>
            </w:pPr>
            <w:r>
              <w:rPr>
                <w:rFonts w:ascii="Helvetica" w:hAnsi="Helvetica"/>
                <w:b/>
                <w:color w:val="000000"/>
                <w:sz w:val="8"/>
              </w:rPr>
              <w:t>SUM (begrensning + tilpasning)</w:t>
            </w:r>
          </w:p>
        </w:tc>
      </w:tr>
      <w:tr w:rsidR="00A54846" w14:paraId="5CC66CE5" w14:textId="77777777">
        <w:tc>
          <w:tcPr>
            <w:tcW w:w="2545" w:type="dxa"/>
            <w:gridSpan w:val="2"/>
            <w:vMerge/>
            <w:tcBorders>
              <w:top w:val="single" w:sz="4" w:space="0" w:color="auto"/>
              <w:left w:val="single" w:sz="4" w:space="0" w:color="auto"/>
              <w:bottom w:val="nil"/>
              <w:right w:val="nil"/>
            </w:tcBorders>
            <w:tcMar>
              <w:top w:w="10" w:type="dxa"/>
              <w:bottom w:w="10" w:type="dxa"/>
            </w:tcMar>
            <w:vAlign w:val="center"/>
            <w:hideMark/>
          </w:tcPr>
          <w:p w14:paraId="4A4FC40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0" w:type="dxa"/>
            <w:gridSpan w:val="2"/>
            <w:vMerge/>
            <w:tcBorders>
              <w:top w:val="nil"/>
              <w:left w:val="single" w:sz="4" w:space="0" w:color="auto"/>
              <w:bottom w:val="nil"/>
              <w:right w:val="nil"/>
            </w:tcBorders>
            <w:tcMar>
              <w:top w:w="10" w:type="dxa"/>
              <w:bottom w:w="10" w:type="dxa"/>
            </w:tcMar>
            <w:vAlign w:val="center"/>
            <w:hideMark/>
          </w:tcPr>
          <w:p w14:paraId="711FA20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1629"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59882F8"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mot taksonomirelevante sektorer (%) (omfattet av taksonomien)</w:t>
            </w:r>
          </w:p>
        </w:tc>
        <w:tc>
          <w:tcPr>
            <w:tcW w:w="1693"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6E5516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mot taksonomirelevante sektorer (%) (omfattet av taksonomien)</w:t>
            </w:r>
          </w:p>
        </w:tc>
        <w:tc>
          <w:tcPr>
            <w:tcW w:w="1754"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67129DF"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mot taksonomirelevante sektorer (%) (omfattet av taksonomien)</w:t>
            </w:r>
          </w:p>
        </w:tc>
        <w:tc>
          <w:tcPr>
            <w:tcW w:w="432" w:type="dxa"/>
            <w:vMerge/>
            <w:tcBorders>
              <w:left w:val="single" w:sz="4" w:space="0" w:color="auto"/>
              <w:right w:val="nil"/>
            </w:tcBorders>
            <w:tcMar>
              <w:top w:w="10" w:type="dxa"/>
              <w:bottom w:w="10" w:type="dxa"/>
            </w:tcMar>
            <w:vAlign w:val="center"/>
            <w:hideMark/>
          </w:tcPr>
          <w:p w14:paraId="7E602C1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1815"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A889DF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mot taksonomirelevante sektorer (%) (omfattet av taksonomien)</w:t>
            </w:r>
          </w:p>
        </w:tc>
        <w:tc>
          <w:tcPr>
            <w:tcW w:w="1748" w:type="dxa"/>
            <w:gridSpan w:val="5"/>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621C3C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mot taksonomirelevante sektorer (%) (omfattet av taksonomien)</w:t>
            </w:r>
          </w:p>
        </w:tc>
        <w:tc>
          <w:tcPr>
            <w:tcW w:w="1982" w:type="dxa"/>
            <w:gridSpan w:val="4"/>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vAlign w:val="bottom"/>
            <w:hideMark/>
          </w:tcPr>
          <w:p w14:paraId="085FC2F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mot taksonomirelevante sektorer (%) (omfattet av taksonomien)</w:t>
            </w:r>
          </w:p>
        </w:tc>
      </w:tr>
      <w:tr w:rsidR="00A54846" w14:paraId="63ECC598" w14:textId="77777777">
        <w:tc>
          <w:tcPr>
            <w:tcW w:w="2545" w:type="dxa"/>
            <w:gridSpan w:val="2"/>
            <w:vMerge/>
            <w:tcBorders>
              <w:top w:val="single" w:sz="4" w:space="0" w:color="auto"/>
              <w:left w:val="single" w:sz="4" w:space="0" w:color="auto"/>
              <w:bottom w:val="nil"/>
              <w:right w:val="nil"/>
            </w:tcBorders>
            <w:tcMar>
              <w:top w:w="10" w:type="dxa"/>
              <w:bottom w:w="10" w:type="dxa"/>
            </w:tcMar>
            <w:vAlign w:val="center"/>
            <w:hideMark/>
          </w:tcPr>
          <w:p w14:paraId="434C62C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30" w:type="dxa"/>
            <w:gridSpan w:val="2"/>
            <w:vMerge/>
            <w:tcBorders>
              <w:top w:val="nil"/>
              <w:left w:val="single" w:sz="4" w:space="0" w:color="auto"/>
              <w:bottom w:val="nil"/>
              <w:right w:val="nil"/>
            </w:tcBorders>
            <w:tcMar>
              <w:top w:w="10" w:type="dxa"/>
              <w:bottom w:w="10" w:type="dxa"/>
            </w:tcMar>
            <w:vAlign w:val="center"/>
            <w:hideMark/>
          </w:tcPr>
          <w:p w14:paraId="647596F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09" w:type="dxa"/>
            <w:vMerge w:val="restart"/>
            <w:tcBorders>
              <w:top w:val="nil"/>
              <w:left w:val="single" w:sz="4" w:space="0" w:color="auto"/>
              <w:bottom w:val="nil"/>
              <w:right w:val="nil"/>
            </w:tcBorders>
            <w:shd w:val="clear" w:color="auto" w:fill="FFFFFF"/>
            <w:tcMar>
              <w:top w:w="10" w:type="dxa"/>
              <w:left w:w="40" w:type="dxa"/>
              <w:bottom w:w="10" w:type="dxa"/>
              <w:right w:w="40" w:type="dxa"/>
            </w:tcMar>
          </w:tcPr>
          <w:p w14:paraId="0E2CC664"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8"/>
                <w:szCs w:val="8"/>
                <w:lang w:bidi="en-US"/>
              </w:rPr>
            </w:pPr>
          </w:p>
        </w:tc>
        <w:tc>
          <w:tcPr>
            <w:tcW w:w="1320"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6C3A33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bærekraftige</w:t>
            </w:r>
          </w:p>
        </w:tc>
        <w:tc>
          <w:tcPr>
            <w:tcW w:w="357" w:type="dxa"/>
            <w:vMerge w:val="restart"/>
            <w:tcBorders>
              <w:top w:val="nil"/>
              <w:left w:val="single" w:sz="4" w:space="0" w:color="auto"/>
              <w:bottom w:val="nil"/>
              <w:right w:val="nil"/>
            </w:tcBorders>
            <w:shd w:val="clear" w:color="auto" w:fill="FFFFFF"/>
            <w:tcMar>
              <w:top w:w="10" w:type="dxa"/>
              <w:left w:w="40" w:type="dxa"/>
              <w:bottom w:w="10" w:type="dxa"/>
              <w:right w:w="40" w:type="dxa"/>
            </w:tcMar>
          </w:tcPr>
          <w:p w14:paraId="7A58B031"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1336"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376C51BF"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bærekraftige</w:t>
            </w:r>
          </w:p>
        </w:tc>
        <w:tc>
          <w:tcPr>
            <w:tcW w:w="350" w:type="dxa"/>
            <w:vMerge w:val="restart"/>
            <w:tcBorders>
              <w:top w:val="nil"/>
              <w:left w:val="single" w:sz="4" w:space="0" w:color="auto"/>
              <w:bottom w:val="nil"/>
              <w:right w:val="nil"/>
            </w:tcBorders>
            <w:shd w:val="clear" w:color="auto" w:fill="FFFFFF"/>
            <w:tcMar>
              <w:top w:w="10" w:type="dxa"/>
              <w:left w:w="40" w:type="dxa"/>
              <w:bottom w:w="10" w:type="dxa"/>
              <w:right w:w="40" w:type="dxa"/>
            </w:tcMar>
          </w:tcPr>
          <w:p w14:paraId="5188CF4C"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1404" w:type="dxa"/>
            <w:gridSpan w:val="3"/>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0885785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bærekraftige</w:t>
            </w:r>
          </w:p>
        </w:tc>
        <w:tc>
          <w:tcPr>
            <w:tcW w:w="432" w:type="dxa"/>
            <w:vMerge/>
            <w:tcBorders>
              <w:left w:val="single" w:sz="4" w:space="0" w:color="auto"/>
              <w:right w:val="nil"/>
            </w:tcBorders>
            <w:tcMar>
              <w:top w:w="10" w:type="dxa"/>
              <w:bottom w:w="10" w:type="dxa"/>
            </w:tcMar>
            <w:vAlign w:val="center"/>
            <w:hideMark/>
          </w:tcPr>
          <w:p w14:paraId="03658FE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5" w:type="dxa"/>
            <w:tcBorders>
              <w:top w:val="nil"/>
              <w:left w:val="single" w:sz="4" w:space="0" w:color="auto"/>
              <w:bottom w:val="nil"/>
              <w:right w:val="nil"/>
            </w:tcBorders>
            <w:shd w:val="clear" w:color="auto" w:fill="FFFFFF"/>
            <w:tcMar>
              <w:top w:w="10" w:type="dxa"/>
              <w:left w:w="40" w:type="dxa"/>
              <w:bottom w:w="10" w:type="dxa"/>
              <w:right w:w="40" w:type="dxa"/>
            </w:tcMar>
          </w:tcPr>
          <w:p w14:paraId="6A4D2CAF"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1450"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2DB82B23"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bærekraftige</w:t>
            </w:r>
          </w:p>
        </w:tc>
        <w:tc>
          <w:tcPr>
            <w:tcW w:w="362" w:type="dxa"/>
            <w:tcBorders>
              <w:top w:val="nil"/>
              <w:left w:val="single" w:sz="4" w:space="0" w:color="auto"/>
              <w:bottom w:val="nil"/>
              <w:right w:val="nil"/>
            </w:tcBorders>
            <w:shd w:val="clear" w:color="auto" w:fill="FFFFFF"/>
            <w:tcMar>
              <w:top w:w="10" w:type="dxa"/>
              <w:left w:w="40" w:type="dxa"/>
              <w:bottom w:w="10" w:type="dxa"/>
              <w:right w:w="40" w:type="dxa"/>
            </w:tcMar>
          </w:tcPr>
          <w:p w14:paraId="0D5BB755"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1386" w:type="dxa"/>
            <w:gridSpan w:val="4"/>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294F4A6"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bærekraftige</w:t>
            </w:r>
          </w:p>
        </w:tc>
        <w:tc>
          <w:tcPr>
            <w:tcW w:w="354" w:type="dxa"/>
            <w:tcBorders>
              <w:top w:val="nil"/>
              <w:left w:val="single" w:sz="4" w:space="0" w:color="auto"/>
              <w:bottom w:val="nil"/>
              <w:right w:val="nil"/>
            </w:tcBorders>
            <w:shd w:val="clear" w:color="auto" w:fill="FFFFFF"/>
            <w:tcMar>
              <w:top w:w="10" w:type="dxa"/>
              <w:left w:w="40" w:type="dxa"/>
              <w:bottom w:w="10" w:type="dxa"/>
              <w:right w:w="40" w:type="dxa"/>
            </w:tcMar>
          </w:tcPr>
          <w:p w14:paraId="777A43B1"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1628" w:type="dxa"/>
            <w:gridSpan w:val="3"/>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hideMark/>
          </w:tcPr>
          <w:p w14:paraId="2883D0C4"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bærekraftige</w:t>
            </w:r>
          </w:p>
        </w:tc>
      </w:tr>
      <w:tr w:rsidR="00A54846" w14:paraId="5DA04855" w14:textId="77777777">
        <w:tc>
          <w:tcPr>
            <w:tcW w:w="2545" w:type="dxa"/>
            <w:gridSpan w:val="2"/>
            <w:vMerge/>
            <w:tcBorders>
              <w:top w:val="single" w:sz="4" w:space="0" w:color="auto"/>
              <w:left w:val="single" w:sz="4" w:space="0" w:color="auto"/>
              <w:bottom w:val="nil"/>
              <w:right w:val="nil"/>
            </w:tcBorders>
            <w:tcMar>
              <w:top w:w="10" w:type="dxa"/>
              <w:bottom w:w="10" w:type="dxa"/>
            </w:tcMar>
            <w:vAlign w:val="center"/>
            <w:hideMark/>
          </w:tcPr>
          <w:p w14:paraId="0D65429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0" w:type="dxa"/>
            <w:gridSpan w:val="2"/>
            <w:vMerge/>
            <w:tcBorders>
              <w:top w:val="nil"/>
              <w:left w:val="single" w:sz="4" w:space="0" w:color="auto"/>
              <w:bottom w:val="nil"/>
              <w:right w:val="nil"/>
            </w:tcBorders>
            <w:tcMar>
              <w:top w:w="10" w:type="dxa"/>
              <w:bottom w:w="10" w:type="dxa"/>
            </w:tcMar>
            <w:vAlign w:val="center"/>
            <w:hideMark/>
          </w:tcPr>
          <w:p w14:paraId="00B97E8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09" w:type="dxa"/>
            <w:vMerge/>
            <w:tcBorders>
              <w:top w:val="nil"/>
              <w:left w:val="single" w:sz="4" w:space="0" w:color="auto"/>
              <w:bottom w:val="nil"/>
              <w:right w:val="nil"/>
            </w:tcBorders>
            <w:tcMar>
              <w:top w:w="10" w:type="dxa"/>
              <w:bottom w:w="10" w:type="dxa"/>
            </w:tcMar>
            <w:vAlign w:val="center"/>
            <w:hideMark/>
          </w:tcPr>
          <w:p w14:paraId="6738577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9" w:type="dxa"/>
            <w:tcBorders>
              <w:top w:val="nil"/>
              <w:left w:val="single" w:sz="4" w:space="0" w:color="auto"/>
              <w:bottom w:val="nil"/>
              <w:right w:val="nil"/>
            </w:tcBorders>
            <w:shd w:val="clear" w:color="auto" w:fill="FFFFFF"/>
            <w:tcMar>
              <w:top w:w="10" w:type="dxa"/>
              <w:left w:w="40" w:type="dxa"/>
              <w:bottom w:w="10" w:type="dxa"/>
              <w:right w:w="40" w:type="dxa"/>
            </w:tcMar>
          </w:tcPr>
          <w:p w14:paraId="77812AB4"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49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31502DF5"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8"/>
                <w:szCs w:val="8"/>
              </w:rPr>
            </w:pPr>
            <w:r>
              <w:rPr>
                <w:rFonts w:ascii="Helvetica" w:hAnsi="Helvetica"/>
                <w:color w:val="000000"/>
                <w:sz w:val="8"/>
              </w:rPr>
              <w:t>Hvorav omstilling</w:t>
            </w:r>
          </w:p>
        </w:tc>
        <w:tc>
          <w:tcPr>
            <w:tcW w:w="4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6BFFDF80"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8"/>
                <w:szCs w:val="8"/>
              </w:rPr>
            </w:pPr>
            <w:r>
              <w:rPr>
                <w:rFonts w:ascii="Helvetica" w:hAnsi="Helvetica"/>
                <w:color w:val="000000"/>
                <w:sz w:val="8"/>
              </w:rPr>
              <w:t>Hvorav muliggjørende</w:t>
            </w:r>
          </w:p>
        </w:tc>
        <w:tc>
          <w:tcPr>
            <w:tcW w:w="357" w:type="dxa"/>
            <w:vMerge/>
            <w:tcBorders>
              <w:top w:val="nil"/>
              <w:left w:val="single" w:sz="4" w:space="0" w:color="auto"/>
              <w:bottom w:val="nil"/>
              <w:right w:val="nil"/>
            </w:tcBorders>
            <w:tcMar>
              <w:top w:w="10" w:type="dxa"/>
              <w:bottom w:w="10" w:type="dxa"/>
            </w:tcMar>
            <w:vAlign w:val="center"/>
            <w:hideMark/>
          </w:tcPr>
          <w:p w14:paraId="522E26F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86" w:type="dxa"/>
            <w:tcBorders>
              <w:top w:val="nil"/>
              <w:left w:val="single" w:sz="4" w:space="0" w:color="auto"/>
              <w:bottom w:val="nil"/>
              <w:right w:val="nil"/>
            </w:tcBorders>
            <w:shd w:val="clear" w:color="auto" w:fill="FFFFFF"/>
            <w:tcMar>
              <w:top w:w="10" w:type="dxa"/>
              <w:left w:w="40" w:type="dxa"/>
              <w:bottom w:w="10" w:type="dxa"/>
              <w:right w:w="40" w:type="dxa"/>
            </w:tcMar>
          </w:tcPr>
          <w:p w14:paraId="4F9A8A8E"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2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76C250D6" w14:textId="439B487B" w:rsidR="00A54846" w:rsidRDefault="008A2731">
            <w:pPr>
              <w:widowControl w:val="0"/>
              <w:shd w:val="clear" w:color="auto" w:fill="auto"/>
              <w:spacing w:after="0" w:line="240" w:lineRule="auto"/>
              <w:jc w:val="left"/>
              <w:rPr>
                <w:rFonts w:ascii="Helvetica" w:eastAsia="Arial Unicode MS" w:hAnsi="Helvetica" w:cs="Arial Unicode MS"/>
                <w:color w:val="000000"/>
                <w:sz w:val="8"/>
                <w:szCs w:val="8"/>
              </w:rPr>
            </w:pPr>
            <w:r>
              <w:rPr>
                <w:rFonts w:ascii="Helvetica" w:hAnsi="Helvetica"/>
                <w:color w:val="000000"/>
                <w:sz w:val="8"/>
              </w:rPr>
              <w:t>Hvorav tilpasnings</w:t>
            </w:r>
            <w:r w:rsidR="003929D8">
              <w:rPr>
                <w:rFonts w:ascii="Helvetica" w:hAnsi="Helvetica"/>
                <w:color w:val="000000"/>
                <w:sz w:val="8"/>
              </w:rPr>
              <w:softHyphen/>
            </w:r>
            <w:r>
              <w:rPr>
                <w:rFonts w:ascii="Helvetica" w:hAnsi="Helvetica"/>
                <w:color w:val="000000"/>
                <w:sz w:val="8"/>
              </w:rPr>
              <w:t>aktiviteter</w:t>
            </w:r>
          </w:p>
        </w:tc>
        <w:tc>
          <w:tcPr>
            <w:tcW w:w="42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17A4071F" w14:textId="47BD48B6" w:rsidR="00A54846" w:rsidRDefault="008A2731">
            <w:pPr>
              <w:widowControl w:val="0"/>
              <w:shd w:val="clear" w:color="auto" w:fill="auto"/>
              <w:spacing w:after="0" w:line="240" w:lineRule="auto"/>
              <w:jc w:val="left"/>
              <w:rPr>
                <w:rFonts w:ascii="Helvetica" w:eastAsia="Arial Unicode MS" w:hAnsi="Helvetica" w:cs="Arial Unicode MS"/>
                <w:color w:val="000000"/>
                <w:sz w:val="8"/>
                <w:szCs w:val="8"/>
              </w:rPr>
            </w:pPr>
            <w:r>
              <w:rPr>
                <w:rFonts w:ascii="Helvetica" w:hAnsi="Helvetica"/>
                <w:color w:val="000000"/>
                <w:sz w:val="8"/>
              </w:rPr>
              <w:t>Hvorav mulig</w:t>
            </w:r>
            <w:r w:rsidR="003929D8">
              <w:rPr>
                <w:rFonts w:ascii="Helvetica" w:hAnsi="Helvetica"/>
                <w:color w:val="000000"/>
                <w:sz w:val="8"/>
              </w:rPr>
              <w:softHyphen/>
            </w:r>
            <w:r>
              <w:rPr>
                <w:rFonts w:ascii="Helvetica" w:hAnsi="Helvetica"/>
                <w:color w:val="000000"/>
                <w:sz w:val="8"/>
              </w:rPr>
              <w:t>gjørende</w:t>
            </w:r>
          </w:p>
        </w:tc>
        <w:tc>
          <w:tcPr>
            <w:tcW w:w="350" w:type="dxa"/>
            <w:vMerge/>
            <w:tcBorders>
              <w:top w:val="nil"/>
              <w:left w:val="single" w:sz="4" w:space="0" w:color="auto"/>
              <w:bottom w:val="nil"/>
              <w:right w:val="nil"/>
            </w:tcBorders>
            <w:tcMar>
              <w:top w:w="10" w:type="dxa"/>
              <w:bottom w:w="10" w:type="dxa"/>
            </w:tcMar>
            <w:vAlign w:val="center"/>
            <w:hideMark/>
          </w:tcPr>
          <w:p w14:paraId="0AB200F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7" w:type="dxa"/>
            <w:tcBorders>
              <w:top w:val="nil"/>
              <w:left w:val="single" w:sz="4" w:space="0" w:color="auto"/>
              <w:bottom w:val="nil"/>
              <w:right w:val="nil"/>
            </w:tcBorders>
            <w:shd w:val="clear" w:color="auto" w:fill="FFFFFF"/>
            <w:tcMar>
              <w:top w:w="10" w:type="dxa"/>
              <w:left w:w="40" w:type="dxa"/>
              <w:bottom w:w="10" w:type="dxa"/>
              <w:right w:w="40" w:type="dxa"/>
            </w:tcMar>
          </w:tcPr>
          <w:p w14:paraId="69DBA8E5"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2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2AEB36A1" w14:textId="4290CAB5" w:rsidR="00A54846" w:rsidRDefault="008A2731">
            <w:pPr>
              <w:widowControl w:val="0"/>
              <w:shd w:val="clear" w:color="auto" w:fill="auto"/>
              <w:spacing w:after="0" w:line="240" w:lineRule="auto"/>
              <w:jc w:val="left"/>
              <w:rPr>
                <w:rFonts w:ascii="Helvetica" w:eastAsia="Arial Unicode MS" w:hAnsi="Helvetica" w:cs="Arial Unicode MS"/>
                <w:color w:val="000000"/>
                <w:sz w:val="8"/>
                <w:szCs w:val="8"/>
              </w:rPr>
            </w:pPr>
            <w:r>
              <w:rPr>
                <w:rFonts w:ascii="Helvetica" w:hAnsi="Helvetica"/>
                <w:color w:val="000000"/>
                <w:sz w:val="8"/>
              </w:rPr>
              <w:t>Hvorav tilpasnings</w:t>
            </w:r>
            <w:r w:rsidR="003929D8">
              <w:rPr>
                <w:rFonts w:ascii="Helvetica" w:hAnsi="Helvetica"/>
                <w:color w:val="000000"/>
                <w:sz w:val="8"/>
              </w:rPr>
              <w:softHyphen/>
            </w:r>
            <w:r>
              <w:rPr>
                <w:rFonts w:ascii="Helvetica" w:hAnsi="Helvetica"/>
                <w:color w:val="000000"/>
                <w:sz w:val="8"/>
              </w:rPr>
              <w:t>aktiviteter</w:t>
            </w:r>
          </w:p>
        </w:tc>
        <w:tc>
          <w:tcPr>
            <w:tcW w:w="44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1C9B855F" w14:textId="40E594F8" w:rsidR="00A54846" w:rsidRDefault="008A2731">
            <w:pPr>
              <w:widowControl w:val="0"/>
              <w:shd w:val="clear" w:color="auto" w:fill="auto"/>
              <w:spacing w:after="0" w:line="240" w:lineRule="auto"/>
              <w:jc w:val="left"/>
              <w:rPr>
                <w:rFonts w:ascii="Helvetica" w:eastAsia="Arial Unicode MS" w:hAnsi="Helvetica" w:cs="Arial Unicode MS"/>
                <w:color w:val="000000"/>
                <w:sz w:val="8"/>
                <w:szCs w:val="8"/>
              </w:rPr>
            </w:pPr>
            <w:r>
              <w:rPr>
                <w:rFonts w:ascii="Helvetica" w:hAnsi="Helvetica"/>
                <w:color w:val="000000"/>
                <w:sz w:val="8"/>
              </w:rPr>
              <w:t>Hvorav mulig</w:t>
            </w:r>
            <w:r w:rsidR="003929D8">
              <w:rPr>
                <w:rFonts w:ascii="Helvetica" w:hAnsi="Helvetica"/>
                <w:color w:val="000000"/>
                <w:sz w:val="8"/>
              </w:rPr>
              <w:softHyphen/>
            </w:r>
            <w:r>
              <w:rPr>
                <w:rFonts w:ascii="Helvetica" w:hAnsi="Helvetica"/>
                <w:color w:val="000000"/>
                <w:sz w:val="8"/>
              </w:rPr>
              <w:t>gjørende</w:t>
            </w:r>
          </w:p>
        </w:tc>
        <w:tc>
          <w:tcPr>
            <w:tcW w:w="432" w:type="dxa"/>
            <w:vMerge/>
            <w:tcBorders>
              <w:left w:val="single" w:sz="4" w:space="0" w:color="auto"/>
              <w:bottom w:val="nil"/>
              <w:right w:val="nil"/>
            </w:tcBorders>
            <w:shd w:val="clear" w:color="auto" w:fill="FFFFFF"/>
            <w:tcMar>
              <w:top w:w="10" w:type="dxa"/>
              <w:left w:w="40" w:type="dxa"/>
              <w:bottom w:w="10" w:type="dxa"/>
              <w:right w:w="40" w:type="dxa"/>
            </w:tcMar>
            <w:vAlign w:val="center"/>
          </w:tcPr>
          <w:p w14:paraId="155860E9"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365" w:type="dxa"/>
            <w:tcBorders>
              <w:top w:val="nil"/>
              <w:left w:val="single" w:sz="4" w:space="0" w:color="auto"/>
              <w:bottom w:val="nil"/>
              <w:right w:val="nil"/>
            </w:tcBorders>
            <w:shd w:val="clear" w:color="auto" w:fill="FFFFFF"/>
            <w:tcMar>
              <w:top w:w="10" w:type="dxa"/>
              <w:left w:w="40" w:type="dxa"/>
              <w:bottom w:w="10" w:type="dxa"/>
              <w:right w:w="40" w:type="dxa"/>
            </w:tcMar>
          </w:tcPr>
          <w:p w14:paraId="7A8A847C"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12" w:type="dxa"/>
            <w:tcBorders>
              <w:top w:val="nil"/>
              <w:left w:val="single" w:sz="4" w:space="0" w:color="auto"/>
              <w:bottom w:val="nil"/>
              <w:right w:val="nil"/>
            </w:tcBorders>
            <w:shd w:val="clear" w:color="auto" w:fill="FFFFFF"/>
            <w:tcMar>
              <w:top w:w="10" w:type="dxa"/>
              <w:left w:w="40" w:type="dxa"/>
              <w:bottom w:w="10" w:type="dxa"/>
              <w:right w:w="40" w:type="dxa"/>
            </w:tcMar>
          </w:tcPr>
          <w:p w14:paraId="2F0991F1"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2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1D309EFF"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8"/>
                <w:szCs w:val="8"/>
              </w:rPr>
            </w:pPr>
            <w:r>
              <w:rPr>
                <w:rFonts w:ascii="Helvetica" w:hAnsi="Helvetica"/>
                <w:color w:val="000000"/>
                <w:sz w:val="8"/>
              </w:rPr>
              <w:t>Hvorav omstilling</w:t>
            </w:r>
          </w:p>
        </w:tc>
        <w:tc>
          <w:tcPr>
            <w:tcW w:w="41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6D506B4F" w14:textId="0AE2FBE1" w:rsidR="00A54846" w:rsidRDefault="008A2731">
            <w:pPr>
              <w:widowControl w:val="0"/>
              <w:shd w:val="clear" w:color="auto" w:fill="auto"/>
              <w:spacing w:after="0" w:line="240" w:lineRule="auto"/>
              <w:jc w:val="left"/>
              <w:rPr>
                <w:rFonts w:ascii="Helvetica" w:eastAsia="Arial Unicode MS" w:hAnsi="Helvetica" w:cs="Arial Unicode MS"/>
                <w:color w:val="000000"/>
                <w:sz w:val="8"/>
                <w:szCs w:val="8"/>
              </w:rPr>
            </w:pPr>
            <w:r>
              <w:rPr>
                <w:rFonts w:ascii="Helvetica" w:hAnsi="Helvetica"/>
                <w:color w:val="000000"/>
                <w:sz w:val="8"/>
              </w:rPr>
              <w:t>Hvorav mulig</w:t>
            </w:r>
            <w:r w:rsidR="003929D8">
              <w:rPr>
                <w:rFonts w:ascii="Helvetica" w:hAnsi="Helvetica"/>
                <w:color w:val="000000"/>
                <w:sz w:val="8"/>
              </w:rPr>
              <w:softHyphen/>
            </w:r>
            <w:r>
              <w:rPr>
                <w:rFonts w:ascii="Helvetica" w:hAnsi="Helvetica"/>
                <w:color w:val="000000"/>
                <w:sz w:val="8"/>
              </w:rPr>
              <w:t>gjørende</w:t>
            </w:r>
          </w:p>
        </w:tc>
        <w:tc>
          <w:tcPr>
            <w:tcW w:w="362" w:type="dxa"/>
            <w:tcBorders>
              <w:top w:val="nil"/>
              <w:left w:val="single" w:sz="4" w:space="0" w:color="auto"/>
              <w:bottom w:val="nil"/>
              <w:right w:val="nil"/>
            </w:tcBorders>
            <w:shd w:val="clear" w:color="auto" w:fill="FFFFFF"/>
            <w:tcMar>
              <w:top w:w="10" w:type="dxa"/>
              <w:left w:w="40" w:type="dxa"/>
              <w:bottom w:w="10" w:type="dxa"/>
              <w:right w:w="40" w:type="dxa"/>
            </w:tcMar>
          </w:tcPr>
          <w:p w14:paraId="4131AB43"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458" w:type="dxa"/>
            <w:tcBorders>
              <w:top w:val="nil"/>
              <w:left w:val="single" w:sz="4" w:space="0" w:color="auto"/>
              <w:bottom w:val="nil"/>
              <w:right w:val="nil"/>
            </w:tcBorders>
            <w:shd w:val="clear" w:color="auto" w:fill="FFFFFF"/>
            <w:tcMar>
              <w:top w:w="10" w:type="dxa"/>
              <w:left w:w="40" w:type="dxa"/>
              <w:bottom w:w="10" w:type="dxa"/>
              <w:right w:w="40" w:type="dxa"/>
            </w:tcMar>
          </w:tcPr>
          <w:p w14:paraId="29840308"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22"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48750DA4" w14:textId="68511D6E" w:rsidR="00A54846" w:rsidRDefault="008A2731">
            <w:pPr>
              <w:widowControl w:val="0"/>
              <w:shd w:val="clear" w:color="auto" w:fill="auto"/>
              <w:spacing w:after="0" w:line="240" w:lineRule="auto"/>
              <w:jc w:val="left"/>
              <w:rPr>
                <w:rFonts w:ascii="Helvetica" w:eastAsia="Arial Unicode MS" w:hAnsi="Helvetica" w:cs="Arial Unicode MS"/>
                <w:color w:val="000000"/>
                <w:sz w:val="8"/>
                <w:szCs w:val="8"/>
              </w:rPr>
            </w:pPr>
            <w:r>
              <w:rPr>
                <w:rFonts w:ascii="Helvetica" w:hAnsi="Helvetica"/>
                <w:color w:val="000000"/>
                <w:sz w:val="8"/>
              </w:rPr>
              <w:t>Hvorav tilpasnings</w:t>
            </w:r>
            <w:r w:rsidR="003929D8">
              <w:rPr>
                <w:rFonts w:ascii="Helvetica" w:hAnsi="Helvetica"/>
                <w:color w:val="000000"/>
                <w:sz w:val="8"/>
              </w:rPr>
              <w:softHyphen/>
            </w:r>
            <w:r>
              <w:rPr>
                <w:rFonts w:ascii="Helvetica" w:hAnsi="Helvetica"/>
                <w:color w:val="000000"/>
                <w:sz w:val="8"/>
              </w:rPr>
              <w:t>aktiviteter</w:t>
            </w:r>
          </w:p>
        </w:tc>
        <w:tc>
          <w:tcPr>
            <w:tcW w:w="40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4D992E36" w14:textId="01D1CA78" w:rsidR="00A54846" w:rsidRDefault="008A2731">
            <w:pPr>
              <w:widowControl w:val="0"/>
              <w:shd w:val="clear" w:color="auto" w:fill="auto"/>
              <w:spacing w:after="0" w:line="240" w:lineRule="auto"/>
              <w:jc w:val="left"/>
              <w:rPr>
                <w:rFonts w:ascii="Helvetica" w:eastAsia="Arial Unicode MS" w:hAnsi="Helvetica" w:cs="Arial Unicode MS"/>
                <w:color w:val="000000"/>
                <w:sz w:val="8"/>
                <w:szCs w:val="8"/>
              </w:rPr>
            </w:pPr>
            <w:r>
              <w:rPr>
                <w:rFonts w:ascii="Helvetica" w:hAnsi="Helvetica"/>
                <w:color w:val="000000"/>
                <w:sz w:val="8"/>
              </w:rPr>
              <w:t>Hvorav mulig</w:t>
            </w:r>
            <w:r w:rsidR="003929D8">
              <w:rPr>
                <w:rFonts w:ascii="Helvetica" w:hAnsi="Helvetica"/>
                <w:color w:val="000000"/>
                <w:sz w:val="8"/>
              </w:rPr>
              <w:softHyphen/>
            </w:r>
            <w:r>
              <w:rPr>
                <w:rFonts w:ascii="Helvetica" w:hAnsi="Helvetica"/>
                <w:color w:val="000000"/>
                <w:sz w:val="8"/>
              </w:rPr>
              <w:t>gjørende</w:t>
            </w:r>
          </w:p>
        </w:tc>
        <w:tc>
          <w:tcPr>
            <w:tcW w:w="354" w:type="dxa"/>
            <w:tcBorders>
              <w:top w:val="nil"/>
              <w:left w:val="single" w:sz="4" w:space="0" w:color="auto"/>
              <w:bottom w:val="nil"/>
              <w:right w:val="nil"/>
            </w:tcBorders>
            <w:shd w:val="clear" w:color="auto" w:fill="FFFFFF"/>
            <w:tcMar>
              <w:top w:w="10" w:type="dxa"/>
              <w:left w:w="40" w:type="dxa"/>
              <w:bottom w:w="10" w:type="dxa"/>
              <w:right w:w="40" w:type="dxa"/>
            </w:tcMar>
          </w:tcPr>
          <w:p w14:paraId="088E9B19"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667" w:type="dxa"/>
            <w:tcBorders>
              <w:top w:val="nil"/>
              <w:left w:val="single" w:sz="4" w:space="0" w:color="auto"/>
              <w:bottom w:val="nil"/>
              <w:right w:val="nil"/>
            </w:tcBorders>
            <w:shd w:val="clear" w:color="auto" w:fill="FFFFFF"/>
            <w:tcMar>
              <w:top w:w="10" w:type="dxa"/>
              <w:left w:w="40" w:type="dxa"/>
              <w:bottom w:w="10" w:type="dxa"/>
              <w:right w:w="40" w:type="dxa"/>
            </w:tcMar>
          </w:tcPr>
          <w:p w14:paraId="61E0BA83"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49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056028C8" w14:textId="5E40242A" w:rsidR="00A54846" w:rsidRDefault="008A2731">
            <w:pPr>
              <w:widowControl w:val="0"/>
              <w:shd w:val="clear" w:color="auto" w:fill="auto"/>
              <w:spacing w:after="0" w:line="240" w:lineRule="auto"/>
              <w:jc w:val="left"/>
              <w:rPr>
                <w:rFonts w:ascii="Helvetica" w:eastAsia="Arial Unicode MS" w:hAnsi="Helvetica" w:cs="Arial Unicode MS"/>
                <w:color w:val="000000"/>
                <w:sz w:val="8"/>
                <w:szCs w:val="8"/>
              </w:rPr>
            </w:pPr>
            <w:r>
              <w:rPr>
                <w:rFonts w:ascii="Helvetica" w:hAnsi="Helvetica"/>
                <w:color w:val="000000"/>
                <w:sz w:val="8"/>
              </w:rPr>
              <w:t>Hvorav omstilling/</w:t>
            </w:r>
            <w:r w:rsidR="003929D8">
              <w:rPr>
                <w:rFonts w:ascii="Helvetica" w:hAnsi="Helvetica"/>
                <w:color w:val="000000"/>
                <w:sz w:val="8"/>
              </w:rPr>
              <w:t xml:space="preserve"> </w:t>
            </w:r>
            <w:r>
              <w:rPr>
                <w:rFonts w:ascii="Helvetica" w:hAnsi="Helvetica"/>
                <w:color w:val="000000"/>
                <w:sz w:val="8"/>
              </w:rPr>
              <w:t>tilpasning</w:t>
            </w:r>
          </w:p>
        </w:tc>
        <w:tc>
          <w:tcPr>
            <w:tcW w:w="462" w:type="dxa"/>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vAlign w:val="center"/>
            <w:hideMark/>
          </w:tcPr>
          <w:p w14:paraId="5509376E" w14:textId="5DB848E8" w:rsidR="00A54846" w:rsidRDefault="008A2731">
            <w:pPr>
              <w:widowControl w:val="0"/>
              <w:shd w:val="clear" w:color="auto" w:fill="auto"/>
              <w:spacing w:after="0" w:line="240" w:lineRule="auto"/>
              <w:jc w:val="left"/>
              <w:rPr>
                <w:rFonts w:ascii="Helvetica" w:eastAsia="Arial Unicode MS" w:hAnsi="Helvetica" w:cs="Arial Unicode MS"/>
                <w:color w:val="000000"/>
                <w:sz w:val="8"/>
                <w:szCs w:val="8"/>
              </w:rPr>
            </w:pPr>
            <w:r>
              <w:rPr>
                <w:rFonts w:ascii="Helvetica" w:hAnsi="Helvetica"/>
                <w:color w:val="000000"/>
                <w:sz w:val="8"/>
              </w:rPr>
              <w:t>Hvorav mulig</w:t>
            </w:r>
            <w:r w:rsidR="003929D8">
              <w:rPr>
                <w:rFonts w:ascii="Helvetica" w:hAnsi="Helvetica"/>
                <w:color w:val="000000"/>
                <w:sz w:val="8"/>
              </w:rPr>
              <w:softHyphen/>
            </w:r>
            <w:r>
              <w:rPr>
                <w:rFonts w:ascii="Helvetica" w:hAnsi="Helvetica"/>
                <w:color w:val="000000"/>
                <w:sz w:val="8"/>
              </w:rPr>
              <w:t>gjørende</w:t>
            </w:r>
          </w:p>
        </w:tc>
      </w:tr>
      <w:tr w:rsidR="00A54846" w14:paraId="7B4753FB" w14:textId="77777777">
        <w:tc>
          <w:tcPr>
            <w:tcW w:w="18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6903C8C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1</w:t>
            </w:r>
          </w:p>
        </w:tc>
        <w:tc>
          <w:tcPr>
            <w:tcW w:w="236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hideMark/>
          </w:tcPr>
          <w:p w14:paraId="5139992F" w14:textId="77777777" w:rsidR="00A54846" w:rsidRDefault="008A2731">
            <w:pPr>
              <w:widowControl w:val="0"/>
              <w:shd w:val="clear" w:color="auto" w:fill="auto"/>
              <w:spacing w:after="0" w:line="240" w:lineRule="auto"/>
              <w:jc w:val="left"/>
              <w:rPr>
                <w:rFonts w:ascii="Helvetica" w:eastAsia="Arial Unicode MS" w:hAnsi="Helvetica" w:cs="Arial Unicode MS"/>
                <w:b/>
                <w:color w:val="000000"/>
                <w:sz w:val="8"/>
                <w:szCs w:val="8"/>
                <w:u w:val="single"/>
              </w:rPr>
            </w:pPr>
            <w:r>
              <w:rPr>
                <w:rFonts w:ascii="Helvetica" w:hAnsi="Helvetica"/>
                <w:b/>
                <w:color w:val="000000"/>
                <w:sz w:val="8"/>
                <w:u w:val="single"/>
              </w:rPr>
              <w:t>Gebyr- og provisjonsinntekter fra foretak som er omfattet av direktivet om ikke-finansiell rapportering – Andre tjenester enn utlån</w:t>
            </w:r>
          </w:p>
        </w:tc>
        <w:tc>
          <w:tcPr>
            <w:tcW w:w="43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9B690B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0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BD9B05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5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94FC65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9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479AAD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A9ABCE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4E1E3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8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E93F0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2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24BC3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2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755C32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5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02B9C7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3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41E1BA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2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218C09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4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AA2688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3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390077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77C0C1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1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CE8CBB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2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9DBDA8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1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25B964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6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EA214B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5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B00826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22"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D9844F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0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599DE5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5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AF3952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66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DAD17E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9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47B287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62" w:type="dxa"/>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23CC9A4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r>
      <w:tr w:rsidR="00A54846" w14:paraId="5E280A13" w14:textId="77777777">
        <w:tc>
          <w:tcPr>
            <w:tcW w:w="18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7A6DBB3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2</w:t>
            </w:r>
          </w:p>
        </w:tc>
        <w:tc>
          <w:tcPr>
            <w:tcW w:w="236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5EB52B7D" w14:textId="77777777" w:rsidR="00A54846" w:rsidRDefault="008A2731">
            <w:pPr>
              <w:widowControl w:val="0"/>
              <w:shd w:val="clear" w:color="auto" w:fill="auto"/>
              <w:spacing w:after="0" w:line="240" w:lineRule="auto"/>
              <w:ind w:left="160"/>
              <w:jc w:val="left"/>
              <w:rPr>
                <w:rFonts w:ascii="Helvetica" w:eastAsia="Arial Unicode MS" w:hAnsi="Helvetica" w:cs="Arial Unicode MS"/>
                <w:color w:val="000000"/>
                <w:sz w:val="8"/>
                <w:szCs w:val="8"/>
              </w:rPr>
            </w:pPr>
            <w:r>
              <w:rPr>
                <w:rFonts w:ascii="Helvetica" w:hAnsi="Helvetica"/>
                <w:color w:val="000000"/>
                <w:sz w:val="8"/>
              </w:rPr>
              <w:t>Tjenester mot finansielle foretak</w:t>
            </w:r>
          </w:p>
        </w:tc>
        <w:tc>
          <w:tcPr>
            <w:tcW w:w="43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7523EE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0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9437A8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CC18F9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9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AEBDA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2AE2D5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0E710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8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13984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2C68BA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2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5E7683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996FAA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01B84C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AC0CC0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4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15F582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1C56F7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E52E56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D3775D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3B06F4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1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2A9DD2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995B2E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5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EFE09C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2"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2CB30A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0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8154FA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49D983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6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CE5CBB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9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6C6670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62" w:type="dxa"/>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546C69E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196D4BA4" w14:textId="77777777">
        <w:tc>
          <w:tcPr>
            <w:tcW w:w="18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41177376"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3</w:t>
            </w:r>
          </w:p>
        </w:tc>
        <w:tc>
          <w:tcPr>
            <w:tcW w:w="236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3BB559AC"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8"/>
                <w:szCs w:val="8"/>
              </w:rPr>
            </w:pPr>
            <w:r>
              <w:rPr>
                <w:rFonts w:ascii="Helvetica" w:hAnsi="Helvetica"/>
                <w:color w:val="000000"/>
                <w:sz w:val="8"/>
              </w:rPr>
              <w:t>Kredittinstitusjoner</w:t>
            </w:r>
          </w:p>
        </w:tc>
        <w:tc>
          <w:tcPr>
            <w:tcW w:w="43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73DF33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0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EA8C67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BD1DD1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9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D1C188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9E66E2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81BB57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8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A0D690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F83005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2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FB1F34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8CF08E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994F6B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2C95C7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4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1ED0B7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DDE6E1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9330EE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6CF688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DE97D6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1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17D808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B8DB9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5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CCDF9B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2"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4F0C51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0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3C6736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F46F58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6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04679E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9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ABFC44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62" w:type="dxa"/>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29D9891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1D374624" w14:textId="77777777">
        <w:tc>
          <w:tcPr>
            <w:tcW w:w="18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0FB97F7"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4</w:t>
            </w:r>
          </w:p>
        </w:tc>
        <w:tc>
          <w:tcPr>
            <w:tcW w:w="236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F0199DA"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8"/>
                <w:szCs w:val="8"/>
              </w:rPr>
            </w:pPr>
            <w:r>
              <w:rPr>
                <w:rFonts w:ascii="Helvetica" w:hAnsi="Helvetica"/>
                <w:color w:val="000000"/>
                <w:sz w:val="8"/>
              </w:rPr>
              <w:t>Andre finansielle foretak</w:t>
            </w:r>
          </w:p>
        </w:tc>
        <w:tc>
          <w:tcPr>
            <w:tcW w:w="43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B77FFB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0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59AAA5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985735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9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FA5CE9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F3E49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595CF0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8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34D6C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9214F5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2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DED806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B644B1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1A23A8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7AC203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4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15CA94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AD71E0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9A8ABF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6DA1B5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858A9B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1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C73664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228D19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5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2FCA4F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2"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151197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0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F4A6EC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5898B6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6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8B5116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9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56A993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62" w:type="dxa"/>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65843D7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02FE2669" w14:textId="77777777">
        <w:tc>
          <w:tcPr>
            <w:tcW w:w="18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C8A9E3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5</w:t>
            </w:r>
          </w:p>
        </w:tc>
        <w:tc>
          <w:tcPr>
            <w:tcW w:w="236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CE51E65" w14:textId="77777777" w:rsidR="00A54846" w:rsidRDefault="008A2731">
            <w:pPr>
              <w:widowControl w:val="0"/>
              <w:shd w:val="clear" w:color="auto" w:fill="auto"/>
              <w:spacing w:after="0" w:line="240" w:lineRule="auto"/>
              <w:ind w:left="280"/>
              <w:jc w:val="left"/>
              <w:rPr>
                <w:rFonts w:ascii="Helvetica" w:eastAsia="Arial Unicode MS" w:hAnsi="Helvetica" w:cs="Arial Unicode MS"/>
                <w:color w:val="000000"/>
                <w:sz w:val="8"/>
                <w:szCs w:val="8"/>
              </w:rPr>
            </w:pPr>
            <w:r>
              <w:rPr>
                <w:rFonts w:ascii="Helvetica" w:hAnsi="Helvetica"/>
                <w:color w:val="000000"/>
                <w:sz w:val="8"/>
              </w:rPr>
              <w:t>hvorav verdipapirforetak</w:t>
            </w:r>
          </w:p>
        </w:tc>
        <w:tc>
          <w:tcPr>
            <w:tcW w:w="43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CCBBDF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0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438C3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D65F70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9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BC2054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D526BA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F902A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8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4E73C0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5F681F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2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CE53ED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1A7C07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B8EE48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3E1E65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4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C4E3C3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06A0FE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FF11B0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FA612D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12E7AC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1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2923F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55CEB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5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EE8125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2"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814F8C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0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79A0F8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C53022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6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786E7B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9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D7424E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62" w:type="dxa"/>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6BB7BDE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50C74A9B" w14:textId="77777777">
        <w:tc>
          <w:tcPr>
            <w:tcW w:w="18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6B14409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6</w:t>
            </w:r>
          </w:p>
        </w:tc>
        <w:tc>
          <w:tcPr>
            <w:tcW w:w="236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02FFC944" w14:textId="77777777" w:rsidR="00A54846" w:rsidRDefault="008A2731">
            <w:pPr>
              <w:widowControl w:val="0"/>
              <w:shd w:val="clear" w:color="auto" w:fill="auto"/>
              <w:spacing w:after="0" w:line="240" w:lineRule="auto"/>
              <w:ind w:left="280"/>
              <w:jc w:val="left"/>
              <w:rPr>
                <w:rFonts w:ascii="Helvetica" w:eastAsia="Arial Unicode MS" w:hAnsi="Helvetica" w:cs="Arial Unicode MS"/>
                <w:color w:val="000000"/>
                <w:sz w:val="8"/>
                <w:szCs w:val="8"/>
              </w:rPr>
            </w:pPr>
            <w:r>
              <w:rPr>
                <w:rFonts w:ascii="Helvetica" w:hAnsi="Helvetica"/>
                <w:color w:val="000000"/>
                <w:sz w:val="8"/>
              </w:rPr>
              <w:t>hvorav forvaltningsselskaper</w:t>
            </w:r>
          </w:p>
        </w:tc>
        <w:tc>
          <w:tcPr>
            <w:tcW w:w="43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9D8F46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0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32587F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1DEBA9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9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8A9303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AB740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58F771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8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BD907A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0063D3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2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A68759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474550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DEE132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162A34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4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01FA7C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97438D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AB644B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D77C0F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632369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1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F662D6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DE8B8B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5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403E8D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2"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508C40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0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C55B37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ED28B3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6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E336C4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9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5CD116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62" w:type="dxa"/>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57220FD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11DB7181" w14:textId="77777777">
        <w:tc>
          <w:tcPr>
            <w:tcW w:w="18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0885F46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7</w:t>
            </w:r>
          </w:p>
        </w:tc>
        <w:tc>
          <w:tcPr>
            <w:tcW w:w="236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15FEC474" w14:textId="77777777" w:rsidR="00A54846" w:rsidRDefault="008A2731">
            <w:pPr>
              <w:widowControl w:val="0"/>
              <w:shd w:val="clear" w:color="auto" w:fill="auto"/>
              <w:spacing w:after="0" w:line="240" w:lineRule="auto"/>
              <w:ind w:left="280"/>
              <w:jc w:val="left"/>
              <w:rPr>
                <w:rFonts w:ascii="Helvetica" w:eastAsia="Arial Unicode MS" w:hAnsi="Helvetica" w:cs="Arial Unicode MS"/>
                <w:color w:val="000000"/>
                <w:sz w:val="8"/>
                <w:szCs w:val="8"/>
              </w:rPr>
            </w:pPr>
            <w:r>
              <w:rPr>
                <w:rFonts w:ascii="Helvetica" w:hAnsi="Helvetica"/>
                <w:color w:val="000000"/>
                <w:sz w:val="8"/>
              </w:rPr>
              <w:t>hvorav forsikringsforetak</w:t>
            </w:r>
          </w:p>
        </w:tc>
        <w:tc>
          <w:tcPr>
            <w:tcW w:w="430"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9C35B3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0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68F85A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B08343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9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4C8BB5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3C7AE6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E7A8F4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8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ED7FD0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F13962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2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D74BD2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0"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28A1AC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731027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E37F9A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4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471498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91E429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5"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8ED7B7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79A556B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56FBD0C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14"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585C56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7F2C91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58"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4819A54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2" w:type="dxa"/>
            <w:gridSpan w:val="2"/>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1AE5EBB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06"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0191507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4"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3EC8651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67"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28DAA28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99" w:type="dxa"/>
            <w:tcBorders>
              <w:top w:val="single" w:sz="4" w:space="0" w:color="auto"/>
              <w:left w:val="single" w:sz="4" w:space="0" w:color="auto"/>
              <w:bottom w:val="nil"/>
              <w:right w:val="nil"/>
            </w:tcBorders>
            <w:shd w:val="clear" w:color="auto" w:fill="FFFFFF"/>
            <w:tcMar>
              <w:top w:w="10" w:type="dxa"/>
              <w:left w:w="40" w:type="dxa"/>
              <w:bottom w:w="10" w:type="dxa"/>
              <w:right w:w="40" w:type="dxa"/>
            </w:tcMar>
          </w:tcPr>
          <w:p w14:paraId="669A20C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62" w:type="dxa"/>
            <w:tcBorders>
              <w:top w:val="single" w:sz="4" w:space="0" w:color="auto"/>
              <w:left w:val="single" w:sz="4" w:space="0" w:color="auto"/>
              <w:bottom w:val="nil"/>
              <w:right w:val="single" w:sz="4" w:space="0" w:color="auto"/>
            </w:tcBorders>
            <w:shd w:val="clear" w:color="auto" w:fill="FFFFFF"/>
            <w:tcMar>
              <w:top w:w="10" w:type="dxa"/>
              <w:left w:w="40" w:type="dxa"/>
              <w:bottom w:w="10" w:type="dxa"/>
              <w:right w:w="40" w:type="dxa"/>
            </w:tcMar>
          </w:tcPr>
          <w:p w14:paraId="41E88FA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3551761F" w14:textId="77777777">
        <w:tc>
          <w:tcPr>
            <w:tcW w:w="182"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bottom"/>
            <w:hideMark/>
          </w:tcPr>
          <w:p w14:paraId="2A9E1D0F"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8</w:t>
            </w:r>
          </w:p>
        </w:tc>
        <w:tc>
          <w:tcPr>
            <w:tcW w:w="2363" w:type="dxa"/>
            <w:tcBorders>
              <w:top w:val="single" w:sz="4" w:space="0" w:color="auto"/>
              <w:left w:val="single" w:sz="4" w:space="0" w:color="auto"/>
              <w:bottom w:val="nil"/>
              <w:right w:val="nil"/>
            </w:tcBorders>
            <w:shd w:val="clear" w:color="auto" w:fill="FFFFFF"/>
            <w:tcMar>
              <w:top w:w="10" w:type="dxa"/>
              <w:left w:w="40" w:type="dxa"/>
              <w:bottom w:w="10" w:type="dxa"/>
              <w:right w:w="40" w:type="dxa"/>
            </w:tcMar>
            <w:vAlign w:val="center"/>
            <w:hideMark/>
          </w:tcPr>
          <w:p w14:paraId="0ECD8EF6" w14:textId="77777777" w:rsidR="00A54846" w:rsidRDefault="008A2731">
            <w:pPr>
              <w:widowControl w:val="0"/>
              <w:shd w:val="clear" w:color="auto" w:fill="auto"/>
              <w:spacing w:after="0" w:line="240" w:lineRule="auto"/>
              <w:ind w:left="160"/>
              <w:jc w:val="left"/>
              <w:rPr>
                <w:rFonts w:ascii="Helvetica" w:eastAsia="Arial Unicode MS" w:hAnsi="Helvetica" w:cs="Arial Unicode MS"/>
                <w:color w:val="000000"/>
                <w:sz w:val="8"/>
                <w:szCs w:val="8"/>
              </w:rPr>
            </w:pPr>
            <w:r>
              <w:rPr>
                <w:rFonts w:ascii="Helvetica" w:hAnsi="Helvetica"/>
                <w:color w:val="000000"/>
                <w:sz w:val="8"/>
              </w:rPr>
              <w:t>Ikke-finansielle foretak</w:t>
            </w:r>
          </w:p>
        </w:tc>
        <w:tc>
          <w:tcPr>
            <w:tcW w:w="430"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EF223E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09"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A58E33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9"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F1062C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96"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2AB65C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65"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46C878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7"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7298A9D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86"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65B7E4A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2"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5ACCF01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28"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0324102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0"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198D7C6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7"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63EAE83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3"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45DA900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44"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6CD4D39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32"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3BC5CFF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5"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EC7686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2"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32FE24E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4"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5ADB26D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14"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46E977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62"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41B4BBD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58"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4D980A1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22" w:type="dxa"/>
            <w:gridSpan w:val="2"/>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5CC8EBE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06"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30ECFF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54"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0A4C0DE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67"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22BEC12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99" w:type="dxa"/>
            <w:tcBorders>
              <w:top w:val="single" w:sz="4" w:space="0" w:color="auto"/>
              <w:left w:val="single" w:sz="4" w:space="0" w:color="auto"/>
              <w:bottom w:val="single" w:sz="4" w:space="0" w:color="auto"/>
              <w:right w:val="nil"/>
            </w:tcBorders>
            <w:shd w:val="clear" w:color="auto" w:fill="FFFFFF"/>
            <w:tcMar>
              <w:top w:w="10" w:type="dxa"/>
              <w:left w:w="40" w:type="dxa"/>
              <w:bottom w:w="10" w:type="dxa"/>
              <w:right w:w="40" w:type="dxa"/>
            </w:tcMar>
          </w:tcPr>
          <w:p w14:paraId="0B047AF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462" w:type="dxa"/>
            <w:tcBorders>
              <w:top w:val="single" w:sz="4" w:space="0" w:color="auto"/>
              <w:left w:val="single" w:sz="4" w:space="0" w:color="auto"/>
              <w:bottom w:val="single" w:sz="4" w:space="0" w:color="auto"/>
              <w:right w:val="single" w:sz="4" w:space="0" w:color="auto"/>
            </w:tcBorders>
            <w:shd w:val="clear" w:color="auto" w:fill="FFFFFF"/>
            <w:tcMar>
              <w:top w:w="10" w:type="dxa"/>
              <w:left w:w="40" w:type="dxa"/>
              <w:bottom w:w="10" w:type="dxa"/>
              <w:right w:w="40" w:type="dxa"/>
            </w:tcMar>
          </w:tcPr>
          <w:p w14:paraId="45ED228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44F19C61" w14:textId="77777777">
        <w:tc>
          <w:tcPr>
            <w:tcW w:w="182" w:type="dxa"/>
            <w:tcBorders>
              <w:top w:val="single" w:sz="4" w:space="0" w:color="auto"/>
              <w:left w:val="single" w:sz="4" w:space="0" w:color="auto"/>
              <w:bottom w:val="nil"/>
              <w:right w:val="nil"/>
            </w:tcBorders>
            <w:shd w:val="clear" w:color="auto" w:fill="FFFFFF"/>
            <w:tcMar>
              <w:top w:w="60" w:type="dxa"/>
              <w:left w:w="40" w:type="dxa"/>
              <w:bottom w:w="60" w:type="dxa"/>
              <w:right w:w="40" w:type="dxa"/>
            </w:tcMar>
            <w:vAlign w:val="center"/>
            <w:hideMark/>
          </w:tcPr>
          <w:p w14:paraId="112D5323"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9</w:t>
            </w:r>
          </w:p>
        </w:tc>
        <w:tc>
          <w:tcPr>
            <w:tcW w:w="2363" w:type="dxa"/>
            <w:tcBorders>
              <w:top w:val="single" w:sz="4" w:space="0" w:color="auto"/>
              <w:left w:val="single" w:sz="4" w:space="0" w:color="auto"/>
              <w:bottom w:val="nil"/>
              <w:right w:val="nil"/>
            </w:tcBorders>
            <w:shd w:val="clear" w:color="auto" w:fill="FFFFFF"/>
            <w:tcMar>
              <w:top w:w="60" w:type="dxa"/>
              <w:left w:w="40" w:type="dxa"/>
              <w:bottom w:w="60" w:type="dxa"/>
              <w:right w:w="40" w:type="dxa"/>
            </w:tcMar>
            <w:vAlign w:val="center"/>
            <w:hideMark/>
          </w:tcPr>
          <w:p w14:paraId="12DB3152" w14:textId="77777777" w:rsidR="00A54846" w:rsidRDefault="008A2731">
            <w:pPr>
              <w:widowControl w:val="0"/>
              <w:shd w:val="clear" w:color="auto" w:fill="auto"/>
              <w:spacing w:after="0" w:line="240" w:lineRule="auto"/>
              <w:jc w:val="left"/>
              <w:rPr>
                <w:rFonts w:ascii="Helvetica" w:eastAsia="Arial Unicode MS" w:hAnsi="Helvetica" w:cs="Arial Unicode MS"/>
                <w:b/>
                <w:color w:val="000000"/>
                <w:sz w:val="8"/>
                <w:szCs w:val="8"/>
              </w:rPr>
            </w:pPr>
            <w:r>
              <w:rPr>
                <w:rFonts w:ascii="Helvetica" w:hAnsi="Helvetica"/>
                <w:b/>
                <w:color w:val="000000"/>
                <w:sz w:val="8"/>
              </w:rPr>
              <w:t>Motparter som ikke er omfattet av opplysningsplikten i direktivet om ikke-finansiell rapportering, herunder motparter i tredjeland</w:t>
            </w:r>
          </w:p>
        </w:tc>
        <w:tc>
          <w:tcPr>
            <w:tcW w:w="430" w:type="dxa"/>
            <w:gridSpan w:val="2"/>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7DFFD4D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09"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5A94B22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59"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1582E2E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96"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59485B6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65"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47E6D52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57"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7D8B4FF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86"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6487B60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22"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455F421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28"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72788AB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50"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156E2DB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37"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3EDD08A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23"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40A268A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44"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3194C08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32"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32AAE54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65"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612B377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12"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51FB226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24"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2A62906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14" w:type="dxa"/>
            <w:gridSpan w:val="2"/>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224B470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62"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3CF03EB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58"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67A3D42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22" w:type="dxa"/>
            <w:gridSpan w:val="2"/>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130E501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06"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2723EC4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54"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282C632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667"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49E445E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99" w:type="dxa"/>
            <w:tcBorders>
              <w:top w:val="single" w:sz="4" w:space="0" w:color="auto"/>
              <w:left w:val="single" w:sz="4" w:space="0" w:color="auto"/>
              <w:bottom w:val="single" w:sz="4" w:space="0" w:color="auto"/>
              <w:right w:val="nil"/>
            </w:tcBorders>
            <w:shd w:val="clear" w:color="auto" w:fill="FFFFFF"/>
            <w:tcMar>
              <w:top w:w="60" w:type="dxa"/>
              <w:left w:w="40" w:type="dxa"/>
              <w:bottom w:w="60" w:type="dxa"/>
              <w:right w:w="40" w:type="dxa"/>
            </w:tcMar>
          </w:tcPr>
          <w:p w14:paraId="55598E7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462" w:type="dxa"/>
            <w:tcBorders>
              <w:top w:val="single" w:sz="4" w:space="0" w:color="auto"/>
              <w:left w:val="single" w:sz="4" w:space="0" w:color="auto"/>
              <w:bottom w:val="single" w:sz="4" w:space="0" w:color="auto"/>
              <w:right w:val="single" w:sz="4" w:space="0" w:color="auto"/>
            </w:tcBorders>
            <w:shd w:val="clear" w:color="auto" w:fill="FFFFFF"/>
            <w:tcMar>
              <w:top w:w="60" w:type="dxa"/>
              <w:left w:w="40" w:type="dxa"/>
              <w:bottom w:w="60" w:type="dxa"/>
              <w:right w:w="40" w:type="dxa"/>
            </w:tcMar>
          </w:tcPr>
          <w:p w14:paraId="67BC7C1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r>
      <w:tr w:rsidR="00A54846" w14:paraId="7E461D17" w14:textId="77777777">
        <w:trPr>
          <w:gridAfter w:val="28"/>
          <w:wAfter w:w="11472" w:type="dxa"/>
        </w:trPr>
        <w:tc>
          <w:tcPr>
            <w:tcW w:w="182" w:type="dxa"/>
            <w:tcBorders>
              <w:top w:val="single" w:sz="4" w:space="0" w:color="auto"/>
              <w:left w:val="nil"/>
              <w:bottom w:val="nil"/>
              <w:right w:val="nil"/>
            </w:tcBorders>
            <w:shd w:val="clear" w:color="auto" w:fill="FFFFFF"/>
            <w:tcMar>
              <w:top w:w="10" w:type="dxa"/>
              <w:left w:w="40" w:type="dxa"/>
              <w:bottom w:w="10" w:type="dxa"/>
              <w:right w:w="40" w:type="dxa"/>
            </w:tcMar>
            <w:vAlign w:val="bottom"/>
          </w:tcPr>
          <w:p w14:paraId="0409122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2374" w:type="dxa"/>
            <w:gridSpan w:val="2"/>
            <w:tcBorders>
              <w:top w:val="single" w:sz="4" w:space="0" w:color="auto"/>
              <w:left w:val="nil"/>
              <w:bottom w:val="nil"/>
              <w:right w:val="nil"/>
            </w:tcBorders>
            <w:shd w:val="clear" w:color="auto" w:fill="FFFFFF"/>
            <w:tcMar>
              <w:top w:w="10" w:type="dxa"/>
              <w:bottom w:w="10" w:type="dxa"/>
            </w:tcMar>
            <w:vAlign w:val="bottom"/>
            <w:hideMark/>
          </w:tcPr>
          <w:p w14:paraId="6B0A1EA2"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8"/>
                <w:szCs w:val="8"/>
              </w:rPr>
            </w:pPr>
            <w:r>
              <w:rPr>
                <w:rFonts w:ascii="Helvetica" w:hAnsi="Helvetica"/>
                <w:color w:val="000000"/>
                <w:sz w:val="8"/>
              </w:rPr>
              <w:t>1. Institusjoner skal i denne malen opplyse om hvor stor prosentdel (%) av gebyr- og provisjonsinntektene som knytter seg til taksonomirelevante sektorer og miljømessig bærekraftige aktiviteter (spesifisert etter omstillings-/tilpasningsaktiviteter og muliggjørende aktiviteter) i forhold til samlede gebyr- og provisjonsinntekter fra foretak som er omfattet av direktivet om ikke-finansiell rapportering, for andre tjenester enn utlån og kapitalforvaltning</w:t>
            </w:r>
          </w:p>
        </w:tc>
      </w:tr>
    </w:tbl>
    <w:p w14:paraId="62D6FF74" w14:textId="77777777" w:rsidR="00A54846" w:rsidRPr="006A792F" w:rsidRDefault="00A54846">
      <w:pPr>
        <w:pStyle w:val="Para"/>
        <w:spacing w:line="240" w:lineRule="auto"/>
        <w:jc w:val="left"/>
        <w:rPr>
          <w:noProof/>
        </w:rPr>
      </w:pPr>
    </w:p>
    <w:p w14:paraId="6D12E7F8" w14:textId="77777777" w:rsidR="00A54846" w:rsidRDefault="008A2731">
      <w:pPr>
        <w:pStyle w:val="Para"/>
        <w:spacing w:line="240" w:lineRule="auto"/>
        <w:jc w:val="left"/>
      </w:pPr>
      <w:r>
        <w:br w:type="page"/>
      </w:r>
    </w:p>
    <w:p w14:paraId="095A0557" w14:textId="77777777" w:rsidR="00A54846" w:rsidRDefault="008A2731">
      <w:pPr>
        <w:pStyle w:val="AnnexNumberedText"/>
        <w:ind w:left="279" w:hanging="279"/>
      </w:pPr>
      <w:r>
        <w:lastRenderedPageBreak/>
        <w:t>7.</w:t>
      </w:r>
      <w:r>
        <w:rPr>
          <w:b/>
        </w:rPr>
        <w:tab/>
        <w:t>KPI for handelsporteføljen</w:t>
      </w:r>
    </w:p>
    <w:tbl>
      <w:tblPr>
        <w:tblOverlap w:val="never"/>
        <w:tblW w:w="0" w:type="auto"/>
        <w:tblInd w:w="328" w:type="dxa"/>
        <w:tblLayout w:type="fixed"/>
        <w:tblCellMar>
          <w:left w:w="10" w:type="dxa"/>
          <w:right w:w="10" w:type="dxa"/>
        </w:tblCellMar>
        <w:tblLook w:val="04A0" w:firstRow="1" w:lastRow="0" w:firstColumn="1" w:lastColumn="0" w:noHBand="0" w:noVBand="1"/>
      </w:tblPr>
      <w:tblGrid>
        <w:gridCol w:w="195"/>
        <w:gridCol w:w="2459"/>
        <w:gridCol w:w="287"/>
        <w:gridCol w:w="589"/>
        <w:gridCol w:w="6"/>
        <w:gridCol w:w="527"/>
        <w:gridCol w:w="596"/>
        <w:gridCol w:w="511"/>
        <w:gridCol w:w="7"/>
        <w:gridCol w:w="535"/>
        <w:gridCol w:w="556"/>
        <w:gridCol w:w="9"/>
        <w:gridCol w:w="334"/>
        <w:gridCol w:w="585"/>
        <w:gridCol w:w="11"/>
        <w:gridCol w:w="554"/>
        <w:gridCol w:w="593"/>
        <w:gridCol w:w="537"/>
        <w:gridCol w:w="541"/>
        <w:gridCol w:w="547"/>
        <w:gridCol w:w="343"/>
        <w:gridCol w:w="608"/>
        <w:gridCol w:w="543"/>
        <w:gridCol w:w="585"/>
        <w:gridCol w:w="530"/>
        <w:gridCol w:w="600"/>
        <w:gridCol w:w="517"/>
        <w:gridCol w:w="333"/>
      </w:tblGrid>
      <w:tr w:rsidR="00A54846" w14:paraId="676E9189" w14:textId="77777777">
        <w:tc>
          <w:tcPr>
            <w:tcW w:w="195" w:type="dxa"/>
            <w:shd w:val="clear" w:color="auto" w:fill="FFFFFF"/>
            <w:tcMar>
              <w:top w:w="0" w:type="dxa"/>
              <w:left w:w="40" w:type="dxa"/>
              <w:bottom w:w="0" w:type="dxa"/>
              <w:right w:w="40" w:type="dxa"/>
            </w:tcMar>
            <w:vAlign w:val="center"/>
          </w:tcPr>
          <w:p w14:paraId="5D8B91FA"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2459" w:type="dxa"/>
            <w:shd w:val="clear" w:color="auto" w:fill="FFFFFF"/>
            <w:tcMar>
              <w:top w:w="0" w:type="dxa"/>
              <w:left w:w="40" w:type="dxa"/>
              <w:bottom w:w="0" w:type="dxa"/>
              <w:right w:w="40" w:type="dxa"/>
            </w:tcMar>
            <w:vAlign w:val="center"/>
          </w:tcPr>
          <w:p w14:paraId="4E6C0693"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287"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vAlign w:val="center"/>
            <w:hideMark/>
          </w:tcPr>
          <w:p w14:paraId="21451EA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a</w:t>
            </w:r>
          </w:p>
        </w:tc>
        <w:tc>
          <w:tcPr>
            <w:tcW w:w="595" w:type="dxa"/>
            <w:gridSpan w:val="2"/>
            <w:tcBorders>
              <w:top w:val="single" w:sz="4" w:space="0" w:color="auto"/>
              <w:left w:val="single" w:sz="4" w:space="0" w:color="auto"/>
              <w:bottom w:val="nil"/>
              <w:right w:val="single" w:sz="4" w:space="0" w:color="auto"/>
            </w:tcBorders>
            <w:shd w:val="clear" w:color="auto" w:fill="FFFFFF"/>
            <w:vAlign w:val="center"/>
            <w:hideMark/>
          </w:tcPr>
          <w:p w14:paraId="73B6B48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b</w:t>
            </w:r>
          </w:p>
        </w:tc>
        <w:tc>
          <w:tcPr>
            <w:tcW w:w="527" w:type="dxa"/>
            <w:tcBorders>
              <w:top w:val="single" w:sz="4" w:space="0" w:color="auto"/>
              <w:left w:val="single" w:sz="4" w:space="0" w:color="auto"/>
              <w:bottom w:val="nil"/>
              <w:right w:val="single" w:sz="4" w:space="0" w:color="auto"/>
            </w:tcBorders>
            <w:shd w:val="clear" w:color="auto" w:fill="FFFFFF"/>
            <w:vAlign w:val="center"/>
            <w:hideMark/>
          </w:tcPr>
          <w:p w14:paraId="43398008"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c</w:t>
            </w:r>
          </w:p>
        </w:tc>
        <w:tc>
          <w:tcPr>
            <w:tcW w:w="596" w:type="dxa"/>
            <w:tcBorders>
              <w:top w:val="single" w:sz="4" w:space="0" w:color="auto"/>
              <w:left w:val="single" w:sz="4" w:space="0" w:color="auto"/>
              <w:bottom w:val="nil"/>
              <w:right w:val="single" w:sz="4" w:space="0" w:color="auto"/>
            </w:tcBorders>
            <w:shd w:val="clear" w:color="auto" w:fill="FFFFFF"/>
            <w:vAlign w:val="center"/>
            <w:hideMark/>
          </w:tcPr>
          <w:p w14:paraId="0FF181A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d</w:t>
            </w:r>
          </w:p>
        </w:tc>
        <w:tc>
          <w:tcPr>
            <w:tcW w:w="511" w:type="dxa"/>
            <w:tcBorders>
              <w:top w:val="single" w:sz="4" w:space="0" w:color="auto"/>
              <w:left w:val="single" w:sz="4" w:space="0" w:color="auto"/>
              <w:bottom w:val="nil"/>
              <w:right w:val="single" w:sz="4" w:space="0" w:color="auto"/>
            </w:tcBorders>
            <w:shd w:val="clear" w:color="auto" w:fill="FFFFFF"/>
            <w:vAlign w:val="center"/>
            <w:hideMark/>
          </w:tcPr>
          <w:p w14:paraId="3F07E033"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e</w:t>
            </w:r>
          </w:p>
        </w:tc>
        <w:tc>
          <w:tcPr>
            <w:tcW w:w="542" w:type="dxa"/>
            <w:gridSpan w:val="2"/>
            <w:tcBorders>
              <w:top w:val="single" w:sz="4" w:space="0" w:color="auto"/>
              <w:left w:val="single" w:sz="4" w:space="0" w:color="auto"/>
              <w:bottom w:val="nil"/>
              <w:right w:val="single" w:sz="4" w:space="0" w:color="auto"/>
            </w:tcBorders>
            <w:shd w:val="clear" w:color="auto" w:fill="FFFFFF"/>
            <w:vAlign w:val="center"/>
            <w:hideMark/>
          </w:tcPr>
          <w:p w14:paraId="2C30DA06"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f</w:t>
            </w:r>
          </w:p>
        </w:tc>
        <w:tc>
          <w:tcPr>
            <w:tcW w:w="556" w:type="dxa"/>
            <w:tcBorders>
              <w:top w:val="single" w:sz="4" w:space="0" w:color="auto"/>
              <w:left w:val="single" w:sz="4" w:space="0" w:color="auto"/>
              <w:bottom w:val="nil"/>
              <w:right w:val="single" w:sz="4" w:space="0" w:color="auto"/>
            </w:tcBorders>
            <w:shd w:val="clear" w:color="auto" w:fill="FFFFFF"/>
            <w:vAlign w:val="center"/>
            <w:hideMark/>
          </w:tcPr>
          <w:p w14:paraId="6928D55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g</w:t>
            </w:r>
          </w:p>
        </w:tc>
        <w:tc>
          <w:tcPr>
            <w:tcW w:w="343" w:type="dxa"/>
            <w:gridSpan w:val="2"/>
            <w:tcBorders>
              <w:top w:val="single" w:sz="4" w:space="0" w:color="auto"/>
              <w:left w:val="single" w:sz="4" w:space="0" w:color="auto"/>
              <w:bottom w:val="nil"/>
              <w:right w:val="single" w:sz="4" w:space="0" w:color="auto"/>
            </w:tcBorders>
            <w:shd w:val="clear" w:color="auto" w:fill="FFFFFF"/>
            <w:vAlign w:val="center"/>
            <w:hideMark/>
          </w:tcPr>
          <w:p w14:paraId="5E8C8D0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w:t>
            </w:r>
          </w:p>
        </w:tc>
        <w:tc>
          <w:tcPr>
            <w:tcW w:w="585" w:type="dxa"/>
            <w:tcBorders>
              <w:top w:val="single" w:sz="4" w:space="0" w:color="auto"/>
              <w:left w:val="single" w:sz="4" w:space="0" w:color="auto"/>
              <w:bottom w:val="nil"/>
              <w:right w:val="single" w:sz="4" w:space="0" w:color="auto"/>
            </w:tcBorders>
            <w:shd w:val="clear" w:color="auto" w:fill="FFFFFF"/>
            <w:vAlign w:val="center"/>
            <w:hideMark/>
          </w:tcPr>
          <w:p w14:paraId="510AD7A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i</w:t>
            </w:r>
          </w:p>
        </w:tc>
        <w:tc>
          <w:tcPr>
            <w:tcW w:w="565" w:type="dxa"/>
            <w:gridSpan w:val="2"/>
            <w:tcBorders>
              <w:top w:val="single" w:sz="4" w:space="0" w:color="auto"/>
              <w:left w:val="single" w:sz="4" w:space="0" w:color="auto"/>
              <w:bottom w:val="nil"/>
              <w:right w:val="single" w:sz="4" w:space="0" w:color="auto"/>
            </w:tcBorders>
            <w:shd w:val="clear" w:color="auto" w:fill="FFFFFF"/>
            <w:vAlign w:val="center"/>
            <w:hideMark/>
          </w:tcPr>
          <w:p w14:paraId="2800E00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j</w:t>
            </w:r>
          </w:p>
        </w:tc>
        <w:tc>
          <w:tcPr>
            <w:tcW w:w="593" w:type="dxa"/>
            <w:tcBorders>
              <w:top w:val="single" w:sz="4" w:space="0" w:color="auto"/>
              <w:left w:val="single" w:sz="4" w:space="0" w:color="auto"/>
              <w:bottom w:val="nil"/>
              <w:right w:val="single" w:sz="4" w:space="0" w:color="auto"/>
            </w:tcBorders>
            <w:shd w:val="clear" w:color="auto" w:fill="FFFFFF"/>
            <w:vAlign w:val="center"/>
            <w:hideMark/>
          </w:tcPr>
          <w:p w14:paraId="449FB174"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k</w:t>
            </w:r>
          </w:p>
        </w:tc>
        <w:tc>
          <w:tcPr>
            <w:tcW w:w="537" w:type="dxa"/>
            <w:tcBorders>
              <w:top w:val="single" w:sz="4" w:space="0" w:color="auto"/>
              <w:left w:val="single" w:sz="4" w:space="0" w:color="auto"/>
              <w:bottom w:val="nil"/>
              <w:right w:val="single" w:sz="4" w:space="0" w:color="auto"/>
            </w:tcBorders>
            <w:shd w:val="clear" w:color="auto" w:fill="FFFFFF"/>
            <w:vAlign w:val="center"/>
            <w:hideMark/>
          </w:tcPr>
          <w:p w14:paraId="3D679678"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l</w:t>
            </w:r>
          </w:p>
        </w:tc>
        <w:tc>
          <w:tcPr>
            <w:tcW w:w="541" w:type="dxa"/>
            <w:tcBorders>
              <w:top w:val="single" w:sz="4" w:space="0" w:color="auto"/>
              <w:left w:val="single" w:sz="4" w:space="0" w:color="auto"/>
              <w:bottom w:val="nil"/>
              <w:right w:val="single" w:sz="4" w:space="0" w:color="auto"/>
            </w:tcBorders>
            <w:shd w:val="clear" w:color="auto" w:fill="FFFFFF"/>
            <w:vAlign w:val="center"/>
            <w:hideMark/>
          </w:tcPr>
          <w:p w14:paraId="4A043F94"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m</w:t>
            </w:r>
          </w:p>
        </w:tc>
        <w:tc>
          <w:tcPr>
            <w:tcW w:w="547" w:type="dxa"/>
            <w:tcBorders>
              <w:top w:val="single" w:sz="4" w:space="0" w:color="auto"/>
              <w:left w:val="single" w:sz="4" w:space="0" w:color="auto"/>
              <w:bottom w:val="nil"/>
              <w:right w:val="single" w:sz="4" w:space="0" w:color="auto"/>
            </w:tcBorders>
            <w:shd w:val="clear" w:color="auto" w:fill="FFFFFF"/>
            <w:vAlign w:val="center"/>
            <w:hideMark/>
          </w:tcPr>
          <w:p w14:paraId="2007DD4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n</w:t>
            </w:r>
          </w:p>
        </w:tc>
        <w:tc>
          <w:tcPr>
            <w:tcW w:w="343" w:type="dxa"/>
            <w:tcBorders>
              <w:top w:val="single" w:sz="4" w:space="0" w:color="auto"/>
              <w:left w:val="single" w:sz="4" w:space="0" w:color="auto"/>
              <w:bottom w:val="nil"/>
              <w:right w:val="single" w:sz="4" w:space="0" w:color="auto"/>
            </w:tcBorders>
            <w:shd w:val="clear" w:color="auto" w:fill="FFFFFF"/>
            <w:vAlign w:val="center"/>
            <w:hideMark/>
          </w:tcPr>
          <w:p w14:paraId="68C0650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o</w:t>
            </w:r>
          </w:p>
        </w:tc>
        <w:tc>
          <w:tcPr>
            <w:tcW w:w="608" w:type="dxa"/>
            <w:tcBorders>
              <w:top w:val="single" w:sz="4" w:space="0" w:color="auto"/>
              <w:left w:val="single" w:sz="4" w:space="0" w:color="auto"/>
              <w:bottom w:val="nil"/>
              <w:right w:val="single" w:sz="4" w:space="0" w:color="auto"/>
            </w:tcBorders>
            <w:shd w:val="clear" w:color="auto" w:fill="FFFFFF"/>
            <w:vAlign w:val="center"/>
            <w:hideMark/>
          </w:tcPr>
          <w:p w14:paraId="37EF8F0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p</w:t>
            </w:r>
          </w:p>
        </w:tc>
        <w:tc>
          <w:tcPr>
            <w:tcW w:w="543" w:type="dxa"/>
            <w:tcBorders>
              <w:top w:val="single" w:sz="4" w:space="0" w:color="auto"/>
              <w:left w:val="single" w:sz="4" w:space="0" w:color="auto"/>
              <w:bottom w:val="nil"/>
              <w:right w:val="single" w:sz="4" w:space="0" w:color="auto"/>
            </w:tcBorders>
            <w:shd w:val="clear" w:color="auto" w:fill="FFFFFF"/>
            <w:vAlign w:val="center"/>
            <w:hideMark/>
          </w:tcPr>
          <w:p w14:paraId="7C4F2488"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q</w:t>
            </w:r>
          </w:p>
        </w:tc>
        <w:tc>
          <w:tcPr>
            <w:tcW w:w="585" w:type="dxa"/>
            <w:tcBorders>
              <w:top w:val="single" w:sz="4" w:space="0" w:color="auto"/>
              <w:left w:val="single" w:sz="4" w:space="0" w:color="auto"/>
              <w:bottom w:val="nil"/>
              <w:right w:val="single" w:sz="4" w:space="0" w:color="auto"/>
            </w:tcBorders>
            <w:shd w:val="clear" w:color="auto" w:fill="FFFFFF"/>
            <w:vAlign w:val="center"/>
            <w:hideMark/>
          </w:tcPr>
          <w:p w14:paraId="0339749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r</w:t>
            </w:r>
          </w:p>
        </w:tc>
        <w:tc>
          <w:tcPr>
            <w:tcW w:w="530" w:type="dxa"/>
            <w:tcBorders>
              <w:top w:val="single" w:sz="4" w:space="0" w:color="auto"/>
              <w:left w:val="single" w:sz="4" w:space="0" w:color="auto"/>
              <w:bottom w:val="nil"/>
              <w:right w:val="single" w:sz="4" w:space="0" w:color="auto"/>
            </w:tcBorders>
            <w:shd w:val="clear" w:color="auto" w:fill="FFFFFF"/>
            <w:vAlign w:val="center"/>
            <w:hideMark/>
          </w:tcPr>
          <w:p w14:paraId="4E39753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s</w:t>
            </w:r>
          </w:p>
        </w:tc>
        <w:tc>
          <w:tcPr>
            <w:tcW w:w="600" w:type="dxa"/>
            <w:tcBorders>
              <w:top w:val="single" w:sz="4" w:space="0" w:color="auto"/>
              <w:left w:val="single" w:sz="4" w:space="0" w:color="auto"/>
              <w:bottom w:val="nil"/>
              <w:right w:val="single" w:sz="4" w:space="0" w:color="auto"/>
            </w:tcBorders>
            <w:shd w:val="clear" w:color="auto" w:fill="FFFFFF"/>
            <w:vAlign w:val="center"/>
            <w:hideMark/>
          </w:tcPr>
          <w:p w14:paraId="0D5325C4"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t</w:t>
            </w:r>
          </w:p>
        </w:tc>
        <w:tc>
          <w:tcPr>
            <w:tcW w:w="517" w:type="dxa"/>
            <w:tcBorders>
              <w:top w:val="single" w:sz="4" w:space="0" w:color="auto"/>
              <w:left w:val="single" w:sz="4" w:space="0" w:color="auto"/>
              <w:bottom w:val="nil"/>
              <w:right w:val="single" w:sz="4" w:space="0" w:color="auto"/>
            </w:tcBorders>
            <w:shd w:val="clear" w:color="auto" w:fill="FFFFFF"/>
            <w:vAlign w:val="center"/>
            <w:hideMark/>
          </w:tcPr>
          <w:p w14:paraId="49DC85B4"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u</w:t>
            </w:r>
          </w:p>
        </w:tc>
        <w:tc>
          <w:tcPr>
            <w:tcW w:w="333" w:type="dxa"/>
            <w:tcBorders>
              <w:top w:val="single" w:sz="4" w:space="0" w:color="auto"/>
              <w:left w:val="single" w:sz="4" w:space="0" w:color="auto"/>
              <w:bottom w:val="nil"/>
              <w:right w:val="single" w:sz="4" w:space="0" w:color="auto"/>
            </w:tcBorders>
            <w:shd w:val="clear" w:color="auto" w:fill="FFFFFF"/>
            <w:vAlign w:val="center"/>
            <w:hideMark/>
          </w:tcPr>
          <w:p w14:paraId="2C021864"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v</w:t>
            </w:r>
          </w:p>
        </w:tc>
      </w:tr>
      <w:tr w:rsidR="00A54846" w14:paraId="239600E1" w14:textId="77777777">
        <w:tc>
          <w:tcPr>
            <w:tcW w:w="195" w:type="dxa"/>
            <w:vMerge w:val="restart"/>
            <w:shd w:val="clear" w:color="auto" w:fill="FFFFFF"/>
            <w:tcMar>
              <w:top w:w="0" w:type="dxa"/>
              <w:left w:w="40" w:type="dxa"/>
              <w:bottom w:w="0" w:type="dxa"/>
              <w:right w:w="40" w:type="dxa"/>
            </w:tcMar>
            <w:vAlign w:val="center"/>
          </w:tcPr>
          <w:p w14:paraId="17D2337A"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2459" w:type="dxa"/>
            <w:vMerge w:val="restart"/>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tcPr>
          <w:p w14:paraId="760D88B6"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287" w:type="dxa"/>
            <w:vMerge w:val="restart"/>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0042B392" w14:textId="0B97D27A"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Virke</w:t>
            </w:r>
            <w:r w:rsidR="003929D8">
              <w:rPr>
                <w:rFonts w:ascii="Helvetica" w:hAnsi="Helvetica"/>
                <w:color w:val="000000"/>
                <w:sz w:val="8"/>
              </w:rPr>
              <w:softHyphen/>
            </w:r>
            <w:r w:rsidR="003929D8">
              <w:rPr>
                <w:rFonts w:ascii="Helvetica" w:hAnsi="Helvetica"/>
                <w:color w:val="000000"/>
                <w:sz w:val="8"/>
              </w:rPr>
              <w:softHyphen/>
            </w:r>
            <w:r>
              <w:rPr>
                <w:rFonts w:ascii="Helvetica" w:hAnsi="Helvetica"/>
                <w:color w:val="000000"/>
                <w:sz w:val="8"/>
              </w:rPr>
              <w:t>lig verdi</w:t>
            </w:r>
          </w:p>
        </w:tc>
        <w:tc>
          <w:tcPr>
            <w:tcW w:w="3670" w:type="dxa"/>
            <w:gridSpan w:val="10"/>
            <w:tcBorders>
              <w:top w:val="single" w:sz="4" w:space="0" w:color="auto"/>
              <w:left w:val="single" w:sz="4" w:space="0" w:color="auto"/>
              <w:bottom w:val="nil"/>
              <w:right w:val="nil"/>
            </w:tcBorders>
            <w:shd w:val="clear" w:color="auto" w:fill="B5B5B5"/>
            <w:tcMar>
              <w:top w:w="0" w:type="dxa"/>
              <w:left w:w="40" w:type="dxa"/>
              <w:bottom w:w="0" w:type="dxa"/>
              <w:right w:w="40" w:type="dxa"/>
            </w:tcMar>
            <w:vAlign w:val="center"/>
            <w:hideMark/>
          </w:tcPr>
          <w:p w14:paraId="19EF887C"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8"/>
                <w:szCs w:val="8"/>
              </w:rPr>
            </w:pPr>
            <w:r>
              <w:rPr>
                <w:rFonts w:ascii="Helvetica" w:hAnsi="Helvetica"/>
                <w:b/>
                <w:color w:val="000000"/>
                <w:sz w:val="8"/>
              </w:rPr>
              <w:t>Begrensning av klimaendringer</w:t>
            </w:r>
          </w:p>
        </w:tc>
        <w:tc>
          <w:tcPr>
            <w:tcW w:w="3711" w:type="dxa"/>
            <w:gridSpan w:val="8"/>
            <w:tcBorders>
              <w:top w:val="single" w:sz="4" w:space="0" w:color="auto"/>
              <w:left w:val="single" w:sz="4" w:space="0" w:color="auto"/>
              <w:bottom w:val="nil"/>
              <w:right w:val="nil"/>
            </w:tcBorders>
            <w:shd w:val="clear" w:color="auto" w:fill="B5B5B5"/>
            <w:tcMar>
              <w:top w:w="0" w:type="dxa"/>
              <w:left w:w="40" w:type="dxa"/>
              <w:bottom w:w="0" w:type="dxa"/>
              <w:right w:w="40" w:type="dxa"/>
            </w:tcMar>
            <w:vAlign w:val="center"/>
            <w:hideMark/>
          </w:tcPr>
          <w:p w14:paraId="1553C97A"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8"/>
                <w:szCs w:val="8"/>
              </w:rPr>
            </w:pPr>
            <w:r>
              <w:rPr>
                <w:rFonts w:ascii="Helvetica" w:hAnsi="Helvetica"/>
                <w:b/>
                <w:color w:val="000000"/>
                <w:sz w:val="8"/>
              </w:rPr>
              <w:t>Tilpasning til klimaendringer</w:t>
            </w:r>
          </w:p>
        </w:tc>
        <w:tc>
          <w:tcPr>
            <w:tcW w:w="3716" w:type="dxa"/>
            <w:gridSpan w:val="7"/>
            <w:tcBorders>
              <w:top w:val="single" w:sz="4" w:space="0" w:color="auto"/>
              <w:left w:val="single" w:sz="4" w:space="0" w:color="auto"/>
              <w:bottom w:val="nil"/>
              <w:right w:val="single" w:sz="4" w:space="0" w:color="auto"/>
            </w:tcBorders>
            <w:shd w:val="clear" w:color="auto" w:fill="B5B5B5"/>
            <w:tcMar>
              <w:top w:w="0" w:type="dxa"/>
              <w:left w:w="40" w:type="dxa"/>
              <w:bottom w:w="0" w:type="dxa"/>
              <w:right w:w="40" w:type="dxa"/>
            </w:tcMar>
            <w:vAlign w:val="center"/>
            <w:hideMark/>
          </w:tcPr>
          <w:p w14:paraId="4A6519A7"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8"/>
                <w:szCs w:val="8"/>
              </w:rPr>
            </w:pPr>
            <w:r>
              <w:rPr>
                <w:rFonts w:ascii="Helvetica" w:hAnsi="Helvetica"/>
                <w:b/>
                <w:color w:val="000000"/>
                <w:sz w:val="8"/>
              </w:rPr>
              <w:t>SUM (begrensning + tilpasning)</w:t>
            </w:r>
          </w:p>
        </w:tc>
      </w:tr>
      <w:tr w:rsidR="00A54846" w14:paraId="56D8EBFD" w14:textId="77777777">
        <w:tc>
          <w:tcPr>
            <w:tcW w:w="195" w:type="dxa"/>
            <w:vMerge/>
            <w:vAlign w:val="center"/>
            <w:hideMark/>
          </w:tcPr>
          <w:p w14:paraId="4CAC824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2459" w:type="dxa"/>
            <w:vMerge/>
            <w:tcBorders>
              <w:top w:val="single" w:sz="4" w:space="0" w:color="auto"/>
              <w:left w:val="single" w:sz="4" w:space="0" w:color="auto"/>
              <w:bottom w:val="nil"/>
              <w:right w:val="nil"/>
            </w:tcBorders>
            <w:vAlign w:val="center"/>
            <w:hideMark/>
          </w:tcPr>
          <w:p w14:paraId="110F46D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287" w:type="dxa"/>
            <w:vMerge/>
            <w:tcBorders>
              <w:top w:val="single" w:sz="4" w:space="0" w:color="auto"/>
              <w:left w:val="single" w:sz="4" w:space="0" w:color="auto"/>
              <w:bottom w:val="nil"/>
              <w:right w:val="nil"/>
            </w:tcBorders>
            <w:vAlign w:val="center"/>
            <w:hideMark/>
          </w:tcPr>
          <w:p w14:paraId="121CBC6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1122" w:type="dxa"/>
            <w:gridSpan w:val="3"/>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7373CA2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Absolutte kjøp</w:t>
            </w:r>
          </w:p>
        </w:tc>
        <w:tc>
          <w:tcPr>
            <w:tcW w:w="1114" w:type="dxa"/>
            <w:gridSpan w:val="3"/>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3C1E154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Absolutte salg</w:t>
            </w:r>
          </w:p>
        </w:tc>
        <w:tc>
          <w:tcPr>
            <w:tcW w:w="1100" w:type="dxa"/>
            <w:gridSpan w:val="3"/>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69221A2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Absolutte kjøp pluss absolutte salg</w:t>
            </w:r>
          </w:p>
        </w:tc>
        <w:tc>
          <w:tcPr>
            <w:tcW w:w="334" w:type="dxa"/>
            <w:vMerge w:val="restart"/>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5C53400F"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KPI for handel</w:t>
            </w:r>
          </w:p>
        </w:tc>
        <w:tc>
          <w:tcPr>
            <w:tcW w:w="1150" w:type="dxa"/>
            <w:gridSpan w:val="3"/>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00CD682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Absolutte kjøp</w:t>
            </w:r>
          </w:p>
        </w:tc>
        <w:tc>
          <w:tcPr>
            <w:tcW w:w="1130"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632063F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Absolutte salg</w:t>
            </w:r>
          </w:p>
        </w:tc>
        <w:tc>
          <w:tcPr>
            <w:tcW w:w="108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6CA73053"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Absolutte kjøp pluss absolutte salg</w:t>
            </w:r>
          </w:p>
        </w:tc>
        <w:tc>
          <w:tcPr>
            <w:tcW w:w="343" w:type="dxa"/>
            <w:vMerge w:val="restart"/>
            <w:tcBorders>
              <w:top w:val="single" w:sz="4" w:space="0" w:color="auto"/>
              <w:left w:val="single" w:sz="4" w:space="0" w:color="auto"/>
              <w:right w:val="nil"/>
            </w:tcBorders>
            <w:shd w:val="clear" w:color="auto" w:fill="FFFFFF"/>
            <w:tcMar>
              <w:top w:w="0" w:type="dxa"/>
              <w:left w:w="40" w:type="dxa"/>
              <w:bottom w:w="0" w:type="dxa"/>
              <w:right w:w="40" w:type="dxa"/>
            </w:tcMar>
            <w:vAlign w:val="center"/>
            <w:hideMark/>
          </w:tcPr>
          <w:p w14:paraId="64F5DDA8"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KPI for handel</w:t>
            </w:r>
          </w:p>
        </w:tc>
        <w:tc>
          <w:tcPr>
            <w:tcW w:w="1151"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47455976"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Absolutte kjøp</w:t>
            </w:r>
          </w:p>
        </w:tc>
        <w:tc>
          <w:tcPr>
            <w:tcW w:w="111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4A85DF2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Absolutte salg</w:t>
            </w:r>
          </w:p>
        </w:tc>
        <w:tc>
          <w:tcPr>
            <w:tcW w:w="1117"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0CCDD7F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Absolutte kjøp pluss absolutte salg</w:t>
            </w:r>
          </w:p>
        </w:tc>
        <w:tc>
          <w:tcPr>
            <w:tcW w:w="333" w:type="dxa"/>
            <w:vMerge w:val="restart"/>
            <w:tcBorders>
              <w:top w:val="single" w:sz="4" w:space="0" w:color="auto"/>
              <w:left w:val="single" w:sz="4" w:space="0" w:color="auto"/>
              <w:right w:val="single" w:sz="4" w:space="0" w:color="auto"/>
            </w:tcBorders>
            <w:shd w:val="clear" w:color="auto" w:fill="FFFFFF"/>
            <w:tcMar>
              <w:top w:w="0" w:type="dxa"/>
              <w:left w:w="40" w:type="dxa"/>
              <w:bottom w:w="0" w:type="dxa"/>
              <w:right w:w="40" w:type="dxa"/>
            </w:tcMar>
            <w:vAlign w:val="center"/>
            <w:hideMark/>
          </w:tcPr>
          <w:p w14:paraId="4FE31CE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KPI for handel</w:t>
            </w:r>
          </w:p>
        </w:tc>
      </w:tr>
      <w:tr w:rsidR="00A54846" w14:paraId="4C57B170" w14:textId="77777777">
        <w:tc>
          <w:tcPr>
            <w:tcW w:w="195" w:type="dxa"/>
            <w:vMerge/>
            <w:vAlign w:val="center"/>
            <w:hideMark/>
          </w:tcPr>
          <w:p w14:paraId="5AE21E7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2459" w:type="dxa"/>
            <w:vMerge/>
            <w:tcBorders>
              <w:top w:val="single" w:sz="4" w:space="0" w:color="auto"/>
              <w:left w:val="single" w:sz="4" w:space="0" w:color="auto"/>
              <w:bottom w:val="nil"/>
              <w:right w:val="nil"/>
            </w:tcBorders>
            <w:vAlign w:val="center"/>
            <w:hideMark/>
          </w:tcPr>
          <w:p w14:paraId="2FB818C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287" w:type="dxa"/>
            <w:vMerge/>
            <w:tcBorders>
              <w:top w:val="single" w:sz="4" w:space="0" w:color="auto"/>
              <w:left w:val="single" w:sz="4" w:space="0" w:color="auto"/>
              <w:bottom w:val="nil"/>
              <w:right w:val="nil"/>
            </w:tcBorders>
            <w:vAlign w:val="center"/>
            <w:hideMark/>
          </w:tcPr>
          <w:p w14:paraId="449C01D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nil"/>
              <w:left w:val="single" w:sz="4" w:space="0" w:color="auto"/>
              <w:bottom w:val="nil"/>
              <w:right w:val="nil"/>
            </w:tcBorders>
            <w:shd w:val="clear" w:color="auto" w:fill="FFFFFF"/>
            <w:tcMar>
              <w:top w:w="0" w:type="dxa"/>
              <w:left w:w="40" w:type="dxa"/>
              <w:bottom w:w="0" w:type="dxa"/>
              <w:right w:w="40" w:type="dxa"/>
            </w:tcMar>
            <w:vAlign w:val="center"/>
          </w:tcPr>
          <w:p w14:paraId="30000DCB"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0D1DF96B" w14:textId="5A723CCE"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bærekraftige (taksonomi</w:t>
            </w:r>
            <w:r w:rsidR="003929D8">
              <w:rPr>
                <w:rFonts w:ascii="Helvetica" w:hAnsi="Helvetica"/>
                <w:color w:val="000000"/>
                <w:sz w:val="8"/>
              </w:rPr>
              <w:softHyphen/>
            </w:r>
            <w:r>
              <w:rPr>
                <w:rFonts w:ascii="Helvetica" w:hAnsi="Helvetica"/>
                <w:color w:val="000000"/>
                <w:sz w:val="8"/>
              </w:rPr>
              <w:t>forenlige)</w:t>
            </w:r>
          </w:p>
        </w:tc>
        <w:tc>
          <w:tcPr>
            <w:tcW w:w="596" w:type="dxa"/>
            <w:tcBorders>
              <w:top w:val="nil"/>
              <w:left w:val="single" w:sz="4" w:space="0" w:color="auto"/>
              <w:bottom w:val="nil"/>
              <w:right w:val="nil"/>
            </w:tcBorders>
            <w:shd w:val="clear" w:color="auto" w:fill="FFFFFF"/>
            <w:tcMar>
              <w:top w:w="0" w:type="dxa"/>
              <w:left w:w="40" w:type="dxa"/>
              <w:bottom w:w="0" w:type="dxa"/>
              <w:right w:w="40" w:type="dxa"/>
            </w:tcMar>
            <w:vAlign w:val="center"/>
          </w:tcPr>
          <w:p w14:paraId="51F63B16"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6E45A430" w14:textId="1547532B"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w:t>
            </w:r>
            <w:r w:rsidR="003929D8">
              <w:rPr>
                <w:rFonts w:ascii="Helvetica" w:hAnsi="Helvetica"/>
                <w:color w:val="000000"/>
                <w:sz w:val="8"/>
              </w:rPr>
              <w:softHyphen/>
            </w:r>
            <w:r>
              <w:rPr>
                <w:rFonts w:ascii="Helvetica" w:hAnsi="Helvetica"/>
                <w:color w:val="000000"/>
                <w:sz w:val="8"/>
              </w:rPr>
              <w:t>tige (taksonomi</w:t>
            </w:r>
            <w:r w:rsidR="003929D8">
              <w:rPr>
                <w:rFonts w:ascii="Helvetica" w:hAnsi="Helvetica"/>
                <w:color w:val="000000"/>
                <w:sz w:val="8"/>
              </w:rPr>
              <w:softHyphen/>
            </w:r>
            <w:r>
              <w:rPr>
                <w:rFonts w:ascii="Helvetica" w:hAnsi="Helvetica"/>
                <w:color w:val="000000"/>
                <w:sz w:val="8"/>
              </w:rPr>
              <w:t>forenlige)</w:t>
            </w:r>
          </w:p>
        </w:tc>
        <w:tc>
          <w:tcPr>
            <w:tcW w:w="535" w:type="dxa"/>
            <w:tcBorders>
              <w:top w:val="nil"/>
              <w:left w:val="single" w:sz="4" w:space="0" w:color="auto"/>
              <w:bottom w:val="nil"/>
              <w:right w:val="nil"/>
            </w:tcBorders>
            <w:shd w:val="clear" w:color="auto" w:fill="FFFFFF"/>
            <w:tcMar>
              <w:top w:w="0" w:type="dxa"/>
              <w:left w:w="40" w:type="dxa"/>
              <w:bottom w:w="0" w:type="dxa"/>
              <w:right w:w="40" w:type="dxa"/>
            </w:tcMar>
            <w:vAlign w:val="center"/>
          </w:tcPr>
          <w:p w14:paraId="00B8C68B"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4BA574C6" w14:textId="6C4E6053"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bærekraftige (taksonomi</w:t>
            </w:r>
            <w:r w:rsidR="003929D8">
              <w:rPr>
                <w:rFonts w:ascii="Helvetica" w:hAnsi="Helvetica"/>
                <w:color w:val="000000"/>
                <w:sz w:val="8"/>
              </w:rPr>
              <w:softHyphen/>
            </w:r>
            <w:r>
              <w:rPr>
                <w:rFonts w:ascii="Helvetica" w:hAnsi="Helvetica"/>
                <w:color w:val="000000"/>
                <w:sz w:val="8"/>
              </w:rPr>
              <w:t>forenlige)</w:t>
            </w:r>
          </w:p>
        </w:tc>
        <w:tc>
          <w:tcPr>
            <w:tcW w:w="334" w:type="dxa"/>
            <w:vMerge/>
            <w:tcBorders>
              <w:top w:val="single" w:sz="4" w:space="0" w:color="auto"/>
              <w:left w:val="single" w:sz="4" w:space="0" w:color="auto"/>
              <w:bottom w:val="nil"/>
              <w:right w:val="nil"/>
            </w:tcBorders>
            <w:vAlign w:val="center"/>
            <w:hideMark/>
          </w:tcPr>
          <w:p w14:paraId="257DA53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nil"/>
              <w:left w:val="single" w:sz="4" w:space="0" w:color="auto"/>
              <w:bottom w:val="nil"/>
              <w:right w:val="nil"/>
            </w:tcBorders>
            <w:shd w:val="clear" w:color="auto" w:fill="FFFFFF"/>
            <w:tcMar>
              <w:top w:w="0" w:type="dxa"/>
              <w:left w:w="40" w:type="dxa"/>
              <w:bottom w:w="0" w:type="dxa"/>
              <w:right w:w="40" w:type="dxa"/>
            </w:tcMar>
            <w:vAlign w:val="center"/>
          </w:tcPr>
          <w:p w14:paraId="60376F97"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49C0DA6F" w14:textId="15D249D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bærekraftige (taksonomi</w:t>
            </w:r>
            <w:r w:rsidR="003929D8">
              <w:rPr>
                <w:rFonts w:ascii="Helvetica" w:hAnsi="Helvetica"/>
                <w:color w:val="000000"/>
                <w:sz w:val="8"/>
              </w:rPr>
              <w:softHyphen/>
            </w:r>
            <w:r>
              <w:rPr>
                <w:rFonts w:ascii="Helvetica" w:hAnsi="Helvetica"/>
                <w:color w:val="000000"/>
                <w:sz w:val="8"/>
              </w:rPr>
              <w:t>forenlige)</w:t>
            </w:r>
          </w:p>
        </w:tc>
        <w:tc>
          <w:tcPr>
            <w:tcW w:w="593" w:type="dxa"/>
            <w:tcBorders>
              <w:top w:val="nil"/>
              <w:left w:val="single" w:sz="4" w:space="0" w:color="auto"/>
              <w:bottom w:val="nil"/>
              <w:right w:val="nil"/>
            </w:tcBorders>
            <w:shd w:val="clear" w:color="auto" w:fill="FFFFFF"/>
            <w:tcMar>
              <w:top w:w="0" w:type="dxa"/>
              <w:left w:w="40" w:type="dxa"/>
              <w:bottom w:w="0" w:type="dxa"/>
              <w:right w:w="40" w:type="dxa"/>
            </w:tcMar>
            <w:vAlign w:val="center"/>
          </w:tcPr>
          <w:p w14:paraId="0688A15B"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42A2C90B" w14:textId="3F676FFB"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bærekraftige (taksonomi</w:t>
            </w:r>
            <w:r w:rsidR="003929D8">
              <w:rPr>
                <w:rFonts w:ascii="Helvetica" w:hAnsi="Helvetica"/>
                <w:color w:val="000000"/>
                <w:sz w:val="8"/>
              </w:rPr>
              <w:softHyphen/>
            </w:r>
            <w:r>
              <w:rPr>
                <w:rFonts w:ascii="Helvetica" w:hAnsi="Helvetica"/>
                <w:color w:val="000000"/>
                <w:sz w:val="8"/>
              </w:rPr>
              <w:t>forenlige)</w:t>
            </w:r>
          </w:p>
        </w:tc>
        <w:tc>
          <w:tcPr>
            <w:tcW w:w="541" w:type="dxa"/>
            <w:tcBorders>
              <w:top w:val="nil"/>
              <w:left w:val="single" w:sz="4" w:space="0" w:color="auto"/>
              <w:bottom w:val="nil"/>
              <w:right w:val="nil"/>
            </w:tcBorders>
            <w:shd w:val="clear" w:color="auto" w:fill="FFFFFF"/>
            <w:tcMar>
              <w:top w:w="0" w:type="dxa"/>
              <w:left w:w="40" w:type="dxa"/>
              <w:bottom w:w="0" w:type="dxa"/>
              <w:right w:w="40" w:type="dxa"/>
            </w:tcMar>
            <w:vAlign w:val="center"/>
          </w:tcPr>
          <w:p w14:paraId="7A07928B"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0F8DDFC0" w14:textId="7E3FD6D5"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bærekraftige (taksonomi</w:t>
            </w:r>
            <w:r w:rsidR="003929D8">
              <w:rPr>
                <w:rFonts w:ascii="Helvetica" w:hAnsi="Helvetica"/>
                <w:color w:val="000000"/>
                <w:sz w:val="8"/>
              </w:rPr>
              <w:softHyphen/>
            </w:r>
            <w:r>
              <w:rPr>
                <w:rFonts w:ascii="Helvetica" w:hAnsi="Helvetica"/>
                <w:color w:val="000000"/>
                <w:sz w:val="8"/>
              </w:rPr>
              <w:t>forenlige)</w:t>
            </w:r>
          </w:p>
        </w:tc>
        <w:tc>
          <w:tcPr>
            <w:tcW w:w="343" w:type="dxa"/>
            <w:vMerge/>
            <w:tcBorders>
              <w:left w:val="single" w:sz="4" w:space="0" w:color="auto"/>
              <w:bottom w:val="nil"/>
              <w:right w:val="nil"/>
            </w:tcBorders>
            <w:vAlign w:val="center"/>
            <w:hideMark/>
          </w:tcPr>
          <w:p w14:paraId="50CD88F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nil"/>
              <w:left w:val="single" w:sz="4" w:space="0" w:color="auto"/>
              <w:bottom w:val="nil"/>
              <w:right w:val="nil"/>
            </w:tcBorders>
            <w:shd w:val="clear" w:color="auto" w:fill="FFFFFF"/>
            <w:tcMar>
              <w:top w:w="0" w:type="dxa"/>
              <w:left w:w="40" w:type="dxa"/>
              <w:bottom w:w="0" w:type="dxa"/>
              <w:right w:w="40" w:type="dxa"/>
            </w:tcMar>
            <w:vAlign w:val="center"/>
          </w:tcPr>
          <w:p w14:paraId="780C38C1"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07EA39D4" w14:textId="7221A3BC"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bærekraftige (taksonomi</w:t>
            </w:r>
            <w:r w:rsidR="003929D8">
              <w:rPr>
                <w:rFonts w:ascii="Helvetica" w:hAnsi="Helvetica"/>
                <w:color w:val="000000"/>
                <w:sz w:val="8"/>
              </w:rPr>
              <w:softHyphen/>
            </w:r>
            <w:r>
              <w:rPr>
                <w:rFonts w:ascii="Helvetica" w:hAnsi="Helvetica"/>
                <w:color w:val="000000"/>
                <w:sz w:val="8"/>
              </w:rPr>
              <w:t>forenlige)</w:t>
            </w:r>
          </w:p>
        </w:tc>
        <w:tc>
          <w:tcPr>
            <w:tcW w:w="585" w:type="dxa"/>
            <w:tcBorders>
              <w:top w:val="nil"/>
              <w:left w:val="single" w:sz="4" w:space="0" w:color="auto"/>
              <w:bottom w:val="nil"/>
              <w:right w:val="nil"/>
            </w:tcBorders>
            <w:shd w:val="clear" w:color="auto" w:fill="FFFFFF"/>
            <w:tcMar>
              <w:top w:w="0" w:type="dxa"/>
              <w:left w:w="40" w:type="dxa"/>
              <w:bottom w:w="0" w:type="dxa"/>
              <w:right w:w="40" w:type="dxa"/>
            </w:tcMar>
            <w:vAlign w:val="center"/>
          </w:tcPr>
          <w:p w14:paraId="3FB93B47"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4023F4A6" w14:textId="0F9354F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bærekraftige (taksonomi</w:t>
            </w:r>
            <w:r w:rsidR="003929D8">
              <w:rPr>
                <w:rFonts w:ascii="Helvetica" w:hAnsi="Helvetica"/>
                <w:color w:val="000000"/>
                <w:sz w:val="8"/>
              </w:rPr>
              <w:softHyphen/>
            </w:r>
            <w:r>
              <w:rPr>
                <w:rFonts w:ascii="Helvetica" w:hAnsi="Helvetica"/>
                <w:color w:val="000000"/>
                <w:sz w:val="8"/>
              </w:rPr>
              <w:t>forenlige)</w:t>
            </w:r>
          </w:p>
        </w:tc>
        <w:tc>
          <w:tcPr>
            <w:tcW w:w="600" w:type="dxa"/>
            <w:tcBorders>
              <w:top w:val="nil"/>
              <w:left w:val="single" w:sz="4" w:space="0" w:color="auto"/>
              <w:bottom w:val="nil"/>
              <w:right w:val="nil"/>
            </w:tcBorders>
            <w:shd w:val="clear" w:color="auto" w:fill="FFFFFF"/>
            <w:tcMar>
              <w:top w:w="0" w:type="dxa"/>
              <w:left w:w="40" w:type="dxa"/>
              <w:bottom w:w="0" w:type="dxa"/>
              <w:right w:w="40" w:type="dxa"/>
            </w:tcMar>
            <w:vAlign w:val="center"/>
          </w:tcPr>
          <w:p w14:paraId="3E6D66B0"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06093460" w14:textId="222F5057" w:rsidR="00A54846" w:rsidRDefault="008A2731">
            <w:pPr>
              <w:widowControl w:val="0"/>
              <w:shd w:val="clear" w:color="auto" w:fill="auto"/>
              <w:spacing w:after="0" w:line="240" w:lineRule="auto"/>
              <w:jc w:val="center"/>
              <w:rPr>
                <w:rFonts w:ascii="Helvetica" w:eastAsia="Arial Unicode MS" w:hAnsi="Helvetica" w:cs="Arial Unicode MS"/>
                <w:color w:val="000000"/>
                <w:sz w:val="8"/>
                <w:szCs w:val="8"/>
              </w:rPr>
            </w:pPr>
            <w:r>
              <w:rPr>
                <w:rFonts w:ascii="Helvetica" w:hAnsi="Helvetica"/>
                <w:color w:val="000000"/>
                <w:sz w:val="8"/>
              </w:rPr>
              <w:t>Hvorav miljømessig bærekraftige (taksonomi</w:t>
            </w:r>
            <w:r w:rsidR="003929D8">
              <w:rPr>
                <w:rFonts w:ascii="Helvetica" w:hAnsi="Helvetica"/>
                <w:color w:val="000000"/>
                <w:sz w:val="8"/>
              </w:rPr>
              <w:softHyphen/>
            </w:r>
            <w:r>
              <w:rPr>
                <w:rFonts w:ascii="Helvetica" w:hAnsi="Helvetica"/>
                <w:color w:val="000000"/>
                <w:sz w:val="8"/>
              </w:rPr>
              <w:t>forenlige)</w:t>
            </w:r>
          </w:p>
        </w:tc>
        <w:tc>
          <w:tcPr>
            <w:tcW w:w="333" w:type="dxa"/>
            <w:vMerge/>
            <w:tcBorders>
              <w:left w:val="single" w:sz="4" w:space="0" w:color="auto"/>
              <w:bottom w:val="nil"/>
              <w:right w:val="single" w:sz="4" w:space="0" w:color="auto"/>
            </w:tcBorders>
            <w:vAlign w:val="center"/>
            <w:hideMark/>
          </w:tcPr>
          <w:p w14:paraId="2A2AF07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4BF75551"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B3EF5F8"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1</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96F1498" w14:textId="77777777" w:rsidR="00A54846" w:rsidRDefault="008A2731">
            <w:pPr>
              <w:widowControl w:val="0"/>
              <w:shd w:val="clear" w:color="auto" w:fill="auto"/>
              <w:spacing w:after="0" w:line="240" w:lineRule="auto"/>
              <w:jc w:val="left"/>
              <w:rPr>
                <w:rFonts w:ascii="Helvetica" w:eastAsia="Arial Unicode MS" w:hAnsi="Helvetica" w:cs="Arial Unicode MS"/>
                <w:b/>
                <w:color w:val="000000"/>
                <w:sz w:val="8"/>
                <w:szCs w:val="8"/>
                <w:u w:val="single"/>
              </w:rPr>
            </w:pPr>
            <w:r>
              <w:rPr>
                <w:rFonts w:ascii="Helvetica" w:hAnsi="Helvetica"/>
                <w:b/>
                <w:color w:val="000000"/>
                <w:sz w:val="8"/>
                <w:u w:val="single"/>
              </w:rPr>
              <w:t>Finansielle eiendeler som innehas for handelsformål (gjeldsinstrumenter og egenkapitalbeholdninger) – Foretak som er omfattet av direktivet om ikke-finansiell rapportering</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575DB7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57152A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77D86A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5A352F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5B1A9B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BC893F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8E062D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33B8C5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E84E4F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B4FAF8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B0D3D2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5F1130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C7312E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5A85C2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6E49EF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BB305D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DF3744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FC08E9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92B767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36BDEC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C4EAA0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00DD7C5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r>
      <w:tr w:rsidR="00A54846" w14:paraId="109D3613"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A90E41C"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2</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38BE9C0" w14:textId="77777777" w:rsidR="00A54846" w:rsidRDefault="008A2731">
            <w:pPr>
              <w:widowControl w:val="0"/>
              <w:shd w:val="clear" w:color="auto" w:fill="auto"/>
              <w:spacing w:after="0" w:line="240" w:lineRule="auto"/>
              <w:ind w:left="160"/>
              <w:jc w:val="left"/>
              <w:rPr>
                <w:rFonts w:ascii="Helvetica" w:eastAsia="Arial Unicode MS" w:hAnsi="Helvetica" w:cs="Arial Unicode MS"/>
                <w:color w:val="000000"/>
                <w:sz w:val="8"/>
                <w:szCs w:val="8"/>
              </w:rPr>
            </w:pPr>
            <w:r>
              <w:rPr>
                <w:rFonts w:ascii="Helvetica" w:hAnsi="Helvetica"/>
                <w:color w:val="000000"/>
                <w:sz w:val="8"/>
              </w:rPr>
              <w:t>Finansielle foretak</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99353F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4086C0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224AE0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434C41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754859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096EC9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9004AA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B3CE00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96B540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58317B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13271E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749307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DD62FB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CF2109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D73742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13AF8D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E685A3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45AE11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D79986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CD9777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DC929C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2953D84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67019B50"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A302A4D"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3</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24D3BD0B"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8"/>
                <w:szCs w:val="8"/>
              </w:rPr>
            </w:pPr>
            <w:r>
              <w:rPr>
                <w:rFonts w:ascii="Helvetica" w:hAnsi="Helvetica"/>
                <w:color w:val="000000"/>
                <w:sz w:val="8"/>
              </w:rPr>
              <w:t>Kredittinstitusjoner</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A08063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0E3672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EF9816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4E67A1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8E712E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3CE2C5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7881DC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BEB7E9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4632C4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BA6BB6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670DBF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2B3D31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7B53DC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F106FF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4A316D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FB008F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F55349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2D0442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AD2585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293DDD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DB271F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21CA3FE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6D8D6BC6"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43B04093"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4</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BAA328C" w14:textId="77777777" w:rsidR="00A54846" w:rsidRDefault="008A2731">
            <w:pPr>
              <w:widowControl w:val="0"/>
              <w:shd w:val="clear" w:color="auto" w:fill="auto"/>
              <w:spacing w:after="0" w:line="240" w:lineRule="auto"/>
              <w:ind w:left="280"/>
              <w:jc w:val="left"/>
              <w:rPr>
                <w:rFonts w:ascii="Helvetica" w:eastAsia="Arial Unicode MS" w:hAnsi="Helvetica" w:cs="Arial Unicode MS"/>
                <w:color w:val="000000"/>
                <w:sz w:val="8"/>
                <w:szCs w:val="8"/>
              </w:rPr>
            </w:pPr>
            <w:r>
              <w:rPr>
                <w:rFonts w:ascii="Helvetica" w:hAnsi="Helvetica"/>
                <w:color w:val="000000"/>
                <w:sz w:val="8"/>
              </w:rPr>
              <w:t>Gjeldsinstrumenter</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B621B5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DBEF94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26EB0A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B7BBAA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4B382A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5A8750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A9E22A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FA502D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86BC51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974869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65BAE5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63BF98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5E0732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EAF7BF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D33548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53E6F7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7464F7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F62728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ED05BA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A59728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48C9DB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218B06B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13D0EA12"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56C8E34"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5</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09843B9" w14:textId="77777777" w:rsidR="00A54846" w:rsidRDefault="008A2731">
            <w:pPr>
              <w:widowControl w:val="0"/>
              <w:shd w:val="clear" w:color="auto" w:fill="auto"/>
              <w:spacing w:after="0" w:line="240" w:lineRule="auto"/>
              <w:ind w:left="280"/>
              <w:jc w:val="left"/>
              <w:rPr>
                <w:rFonts w:ascii="Helvetica" w:eastAsia="Arial Unicode MS" w:hAnsi="Helvetica" w:cs="Arial Unicode MS"/>
                <w:color w:val="000000"/>
                <w:sz w:val="8"/>
                <w:szCs w:val="8"/>
              </w:rPr>
            </w:pPr>
            <w:r>
              <w:rPr>
                <w:rFonts w:ascii="Helvetica" w:hAnsi="Helvetica"/>
                <w:color w:val="000000"/>
                <w:sz w:val="8"/>
              </w:rPr>
              <w:t>Egenkapitalinstrumenter</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C6ADA1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A3D5B9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EEF119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48272A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B7504E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349C70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065C28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AE433C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FA2E30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6EC9B4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E0D9F7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BAAE28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5C0660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115E07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F52417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1A5C66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FB906E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84BA41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8E1DE3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C16CD1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1C7589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479E027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611E9755"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0B0646B"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6</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A093956"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8"/>
                <w:szCs w:val="8"/>
              </w:rPr>
            </w:pPr>
            <w:r>
              <w:rPr>
                <w:rFonts w:ascii="Helvetica" w:hAnsi="Helvetica"/>
                <w:color w:val="000000"/>
                <w:sz w:val="8"/>
              </w:rPr>
              <w:t>Andre finansielle foretak</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EE9514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7DF59F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E8A744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09AA53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7C0693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B91856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8B878A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7F927E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C7BF00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9B512B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29CCBB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43F999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6F3666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2AD757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380E29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282E00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1D95D7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AE3477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C38902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0FEA9F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4CB505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36D694F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7B05BAE1"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DA08785"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7</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427BEBE2" w14:textId="77777777" w:rsidR="00A54846" w:rsidRDefault="008A2731">
            <w:pPr>
              <w:widowControl w:val="0"/>
              <w:shd w:val="clear" w:color="auto" w:fill="auto"/>
              <w:spacing w:after="0" w:line="240" w:lineRule="auto"/>
              <w:ind w:left="280"/>
              <w:jc w:val="left"/>
              <w:rPr>
                <w:rFonts w:ascii="Helvetica" w:eastAsia="Arial Unicode MS" w:hAnsi="Helvetica" w:cs="Arial Unicode MS"/>
                <w:color w:val="000000"/>
                <w:sz w:val="8"/>
                <w:szCs w:val="8"/>
              </w:rPr>
            </w:pPr>
            <w:r>
              <w:rPr>
                <w:rFonts w:ascii="Helvetica" w:hAnsi="Helvetica"/>
                <w:color w:val="000000"/>
                <w:sz w:val="8"/>
              </w:rPr>
              <w:t>hvorav verdipapirforetak</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7150C9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D913F1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82D682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102BA6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0B5C77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8B266C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F1E460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7712A9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B7B0D7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ABF58D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9BFA05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77830C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8F535F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2230FA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61B6C5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518A2D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D2D074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37BEB9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40A6C7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EF075F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9EB337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3F21494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07673D31"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25DF3483"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8</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EEE5948" w14:textId="77777777" w:rsidR="00A54846" w:rsidRDefault="008A2731">
            <w:pPr>
              <w:widowControl w:val="0"/>
              <w:shd w:val="clear" w:color="auto" w:fill="auto"/>
              <w:spacing w:after="0" w:line="240" w:lineRule="auto"/>
              <w:ind w:left="340"/>
              <w:jc w:val="left"/>
              <w:rPr>
                <w:rFonts w:ascii="Helvetica" w:eastAsia="Arial Unicode MS" w:hAnsi="Helvetica" w:cs="Arial Unicode MS"/>
                <w:color w:val="000000"/>
                <w:sz w:val="8"/>
                <w:szCs w:val="8"/>
              </w:rPr>
            </w:pPr>
            <w:r>
              <w:rPr>
                <w:rFonts w:ascii="Helvetica" w:hAnsi="Helvetica"/>
                <w:color w:val="000000"/>
                <w:sz w:val="8"/>
              </w:rPr>
              <w:t>Gjeldsinstrumenter</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8E41B3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1F5C53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C9B581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E907D3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821BE8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196A5B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B5F6C0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6C0955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52D54E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71E6A1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4D90E8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61056B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BDCAC4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BCA509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B83D75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BEA622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9C3675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85FC51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D194A2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E3E1CC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FE3902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081E246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0A4BA0ED"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EA33601"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9</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65B767D" w14:textId="77777777" w:rsidR="00A54846" w:rsidRDefault="008A2731">
            <w:pPr>
              <w:widowControl w:val="0"/>
              <w:shd w:val="clear" w:color="auto" w:fill="auto"/>
              <w:spacing w:after="0" w:line="240" w:lineRule="auto"/>
              <w:ind w:left="340"/>
              <w:jc w:val="left"/>
              <w:rPr>
                <w:rFonts w:ascii="Helvetica" w:eastAsia="Arial Unicode MS" w:hAnsi="Helvetica" w:cs="Arial Unicode MS"/>
                <w:color w:val="000000"/>
                <w:sz w:val="8"/>
                <w:szCs w:val="8"/>
              </w:rPr>
            </w:pPr>
            <w:r>
              <w:rPr>
                <w:rFonts w:ascii="Helvetica" w:hAnsi="Helvetica"/>
                <w:color w:val="000000"/>
                <w:sz w:val="8"/>
              </w:rPr>
              <w:t>Egenkapitalinstrumenter</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DDD871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694EDA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A6DE72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549819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FFD16B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B5DE97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CD2326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6E5626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8FDDFD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E8118B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99D131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9F3576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76D5E7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9CDD6B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8B3225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B3A3B9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40D596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F2C028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6692E9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C2DFA6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AEC123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2D82B44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795B1954"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2696B5C"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10</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14851EE" w14:textId="77777777" w:rsidR="00A54846" w:rsidRDefault="008A2731">
            <w:pPr>
              <w:widowControl w:val="0"/>
              <w:shd w:val="clear" w:color="auto" w:fill="auto"/>
              <w:spacing w:after="0" w:line="240" w:lineRule="auto"/>
              <w:ind w:left="280"/>
              <w:jc w:val="left"/>
              <w:rPr>
                <w:rFonts w:ascii="Helvetica" w:eastAsia="Arial Unicode MS" w:hAnsi="Helvetica" w:cs="Arial Unicode MS"/>
                <w:color w:val="000000"/>
                <w:sz w:val="8"/>
                <w:szCs w:val="8"/>
              </w:rPr>
            </w:pPr>
            <w:r>
              <w:rPr>
                <w:rFonts w:ascii="Helvetica" w:hAnsi="Helvetica"/>
                <w:color w:val="000000"/>
                <w:sz w:val="8"/>
              </w:rPr>
              <w:t>hvorav kapitalforvaltere</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E7C096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7827F1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451EC1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5DA453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19EC85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3789EA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56A44F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8E5176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7BF38B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DF0633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A1BADA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2E24DD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ED201D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99D2D7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DE5BC9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181CE7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BD9A51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79FF7C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EF0F6D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D3976E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092967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72A32F5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028C5F3F"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36E7A2BA"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11</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center"/>
            <w:hideMark/>
          </w:tcPr>
          <w:p w14:paraId="6F5A931B" w14:textId="77777777" w:rsidR="00A54846" w:rsidRDefault="008A2731">
            <w:pPr>
              <w:widowControl w:val="0"/>
              <w:shd w:val="clear" w:color="auto" w:fill="auto"/>
              <w:spacing w:after="0" w:line="240" w:lineRule="auto"/>
              <w:ind w:left="340"/>
              <w:jc w:val="left"/>
              <w:rPr>
                <w:rFonts w:ascii="Helvetica" w:eastAsia="Arial Unicode MS" w:hAnsi="Helvetica" w:cs="Arial Unicode MS"/>
                <w:color w:val="000000"/>
                <w:sz w:val="8"/>
                <w:szCs w:val="8"/>
              </w:rPr>
            </w:pPr>
            <w:r>
              <w:rPr>
                <w:rFonts w:ascii="Helvetica" w:hAnsi="Helvetica"/>
                <w:color w:val="000000"/>
                <w:sz w:val="8"/>
              </w:rPr>
              <w:t>Gjeldsinstrumenter</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0CA755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20427E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47BA39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63F684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98FCA1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C481EC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5D1BD5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A5A896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E560E7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6766B4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7FDB65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B4A037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17506C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19148B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D9EB70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CE10DC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0DAF4B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AEA233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356953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BA7C98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EEA483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7CE1EEA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11151504"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5E2EB5BF"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12</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40FF53A1" w14:textId="77777777" w:rsidR="00A54846" w:rsidRDefault="008A2731">
            <w:pPr>
              <w:widowControl w:val="0"/>
              <w:shd w:val="clear" w:color="auto" w:fill="auto"/>
              <w:spacing w:after="0" w:line="240" w:lineRule="auto"/>
              <w:ind w:left="340"/>
              <w:jc w:val="left"/>
              <w:rPr>
                <w:rFonts w:ascii="Helvetica" w:eastAsia="Arial Unicode MS" w:hAnsi="Helvetica" w:cs="Arial Unicode MS"/>
                <w:color w:val="000000"/>
                <w:sz w:val="8"/>
                <w:szCs w:val="8"/>
              </w:rPr>
            </w:pPr>
            <w:r>
              <w:rPr>
                <w:rFonts w:ascii="Helvetica" w:hAnsi="Helvetica"/>
                <w:color w:val="000000"/>
                <w:sz w:val="8"/>
              </w:rPr>
              <w:t>Egenkapitalinstrumenter</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E381FE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A2CC7A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2F3DFE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0E18E6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820544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B4D888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87C468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2A9FFC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EC58C1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B9C4DA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65C172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5F1D77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9E3BA0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064C1E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46EFA6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089329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A657C6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26351B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741CE7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299FD7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89E6F3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211DD8D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5DC57870"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0D3EA8E"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13</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0CDA3AF5" w14:textId="77777777" w:rsidR="00A54846" w:rsidRDefault="008A2731">
            <w:pPr>
              <w:widowControl w:val="0"/>
              <w:shd w:val="clear" w:color="auto" w:fill="auto"/>
              <w:spacing w:after="0" w:line="240" w:lineRule="auto"/>
              <w:ind w:left="280"/>
              <w:jc w:val="left"/>
              <w:rPr>
                <w:rFonts w:ascii="Helvetica" w:eastAsia="Arial Unicode MS" w:hAnsi="Helvetica" w:cs="Arial Unicode MS"/>
                <w:color w:val="000000"/>
                <w:sz w:val="8"/>
                <w:szCs w:val="8"/>
              </w:rPr>
            </w:pPr>
            <w:r>
              <w:rPr>
                <w:rFonts w:ascii="Helvetica" w:hAnsi="Helvetica"/>
                <w:color w:val="000000"/>
                <w:sz w:val="8"/>
              </w:rPr>
              <w:t>hvorav forsikringsforetak</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B1475B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AF597F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AD4DE4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3608FC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A77B4E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D64014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092925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2058D6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A0F0C1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E5101B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4BAA38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71FCBF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9E12B8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E4FE7F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A827CE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AFE1D5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1B80BF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CAEC9A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87B193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582E4A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98B228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09B7730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5C1C60C7"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BAA3BCC"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14</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4CC4FC84" w14:textId="77777777" w:rsidR="00A54846" w:rsidRDefault="008A2731">
            <w:pPr>
              <w:widowControl w:val="0"/>
              <w:shd w:val="clear" w:color="auto" w:fill="auto"/>
              <w:spacing w:after="0" w:line="240" w:lineRule="auto"/>
              <w:ind w:left="340"/>
              <w:jc w:val="left"/>
              <w:rPr>
                <w:rFonts w:ascii="Helvetica" w:eastAsia="Arial Unicode MS" w:hAnsi="Helvetica" w:cs="Arial Unicode MS"/>
                <w:color w:val="000000"/>
                <w:sz w:val="8"/>
                <w:szCs w:val="8"/>
              </w:rPr>
            </w:pPr>
            <w:r>
              <w:rPr>
                <w:rFonts w:ascii="Helvetica" w:hAnsi="Helvetica"/>
                <w:color w:val="000000"/>
                <w:sz w:val="8"/>
              </w:rPr>
              <w:t>Gjeldsinstrumenter</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C18341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7930B8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F2F1F1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DC8099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E25096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DE7621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0AA7E0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7B2519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EF1401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83550B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066F89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95C815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CDACC6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0E1926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8B9FEE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2742E4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E1FE4D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899A79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9BE8C1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E11388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5B27BA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3B3E324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6995160A"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47B9A3F6"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15</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37D3DCE6" w14:textId="77777777" w:rsidR="00A54846" w:rsidRDefault="008A2731">
            <w:pPr>
              <w:widowControl w:val="0"/>
              <w:shd w:val="clear" w:color="auto" w:fill="auto"/>
              <w:spacing w:after="0" w:line="240" w:lineRule="auto"/>
              <w:ind w:left="340"/>
              <w:jc w:val="left"/>
              <w:rPr>
                <w:rFonts w:ascii="Helvetica" w:eastAsia="Arial Unicode MS" w:hAnsi="Helvetica" w:cs="Arial Unicode MS"/>
                <w:color w:val="000000"/>
                <w:sz w:val="8"/>
                <w:szCs w:val="8"/>
              </w:rPr>
            </w:pPr>
            <w:r>
              <w:rPr>
                <w:rFonts w:ascii="Helvetica" w:hAnsi="Helvetica"/>
                <w:color w:val="000000"/>
                <w:sz w:val="8"/>
              </w:rPr>
              <w:t>Egenkapitalinstrumenter</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5CE36C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31928B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73CEBC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72EC4B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83E08A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EDFF7B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130098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AE9F07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BBA9AB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0CEFD2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FD2BFB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311EE0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1E569D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91B560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8BEE44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E48BDC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7A46B0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9ABDF0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1984C2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AADBBD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60B50B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6B2445C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698BB4A4"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177B737F"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16</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60A9E42" w14:textId="77777777" w:rsidR="00A54846" w:rsidRDefault="008A2731">
            <w:pPr>
              <w:widowControl w:val="0"/>
              <w:shd w:val="clear" w:color="auto" w:fill="auto"/>
              <w:spacing w:after="0" w:line="240" w:lineRule="auto"/>
              <w:ind w:left="160"/>
              <w:jc w:val="left"/>
              <w:rPr>
                <w:rFonts w:ascii="Helvetica" w:eastAsia="Arial Unicode MS" w:hAnsi="Helvetica" w:cs="Arial Unicode MS"/>
                <w:color w:val="000000"/>
                <w:sz w:val="8"/>
                <w:szCs w:val="8"/>
              </w:rPr>
            </w:pPr>
            <w:r>
              <w:rPr>
                <w:rFonts w:ascii="Helvetica" w:hAnsi="Helvetica"/>
                <w:color w:val="000000"/>
                <w:sz w:val="8"/>
              </w:rPr>
              <w:t>Ikke-finansielle foretak som er omfattet av opplysningsplikten i direktivet om ikke-finansiell rapportering</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06642F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E24A4E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ED5EB5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FB2F4E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F6AED0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41429F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499DAD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D6C5CB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12DBBB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286154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CEBCD9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D3AF08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92B0AC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348EE3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FE7E59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E5E8B8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C1B4EB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EA7EE2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B67BA3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56083D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2AF76B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00697A7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r>
      <w:tr w:rsidR="00A54846" w14:paraId="38533048"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2F9DE520"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17</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hideMark/>
          </w:tcPr>
          <w:p w14:paraId="576BD3EA"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8"/>
                <w:szCs w:val="8"/>
              </w:rPr>
            </w:pPr>
            <w:r>
              <w:rPr>
                <w:rFonts w:ascii="Helvetica" w:hAnsi="Helvetica"/>
                <w:color w:val="000000"/>
                <w:sz w:val="8"/>
              </w:rPr>
              <w:t>Gjeldsinstrumenter</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EADA94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744BB0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2C7BD0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3ABAC4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BFE025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AAD249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F6286C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1D9882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1488C9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747647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8E4EAC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10F1F0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C25D70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2B7546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E2DCEF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E6A4BA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EE5F32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6AF028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301C91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68B75F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F38F73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0771EB0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69FF20B5"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A701CD6"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18</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A0F200C" w14:textId="77777777" w:rsidR="00A54846" w:rsidRDefault="008A2731">
            <w:pPr>
              <w:widowControl w:val="0"/>
              <w:shd w:val="clear" w:color="auto" w:fill="auto"/>
              <w:spacing w:after="0" w:line="240" w:lineRule="auto"/>
              <w:ind w:left="220"/>
              <w:jc w:val="left"/>
              <w:rPr>
                <w:rFonts w:ascii="Helvetica" w:eastAsia="Arial Unicode MS" w:hAnsi="Helvetica" w:cs="Arial Unicode MS"/>
                <w:color w:val="000000"/>
                <w:sz w:val="8"/>
                <w:szCs w:val="8"/>
              </w:rPr>
            </w:pPr>
            <w:r>
              <w:rPr>
                <w:rFonts w:ascii="Helvetica" w:hAnsi="Helvetica"/>
                <w:color w:val="000000"/>
                <w:sz w:val="8"/>
              </w:rPr>
              <w:t>Egenkapitalinstrumenter</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14D522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E56CF8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363806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B42931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4129E3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94DA12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22BBC3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2E0778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8563EF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FB9D70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77A1C5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29D89C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0BB40C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AB1EA7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67BAF1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1F8EE7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5E1B87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F6E16D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D6E90F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5BB43C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C249F4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33FF738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128F97F4"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7B96C1D3"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19</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6196C871" w14:textId="77777777" w:rsidR="00A54846" w:rsidRDefault="008A2731">
            <w:pPr>
              <w:widowControl w:val="0"/>
              <w:shd w:val="clear" w:color="auto" w:fill="auto"/>
              <w:spacing w:after="0" w:line="240" w:lineRule="auto"/>
              <w:ind w:left="160"/>
              <w:jc w:val="left"/>
              <w:rPr>
                <w:rFonts w:ascii="Helvetica" w:eastAsia="Arial Unicode MS" w:hAnsi="Helvetica" w:cs="Arial Unicode MS"/>
                <w:b/>
                <w:color w:val="000000"/>
                <w:sz w:val="8"/>
                <w:szCs w:val="8"/>
              </w:rPr>
            </w:pPr>
            <w:r>
              <w:rPr>
                <w:rFonts w:ascii="Helvetica" w:hAnsi="Helvetica"/>
                <w:b/>
                <w:color w:val="000000"/>
                <w:sz w:val="8"/>
              </w:rPr>
              <w:t>Motparter som ikke er omfattet av opplysningsplikten i direktivet om ikke-finansiell rapportering, herunder motparter i tredjeland</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0947C9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B7C185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2BE0AF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FB82F6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800463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D914DE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A66155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94DB1E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4AFAC9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27CC80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8120CE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785F6C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95805C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0E1516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EFD585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8325BE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EFD123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DB0017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4355BC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E0F56A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D7D4C8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2AEE49B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8"/>
                <w:szCs w:val="8"/>
                <w:lang w:bidi="en-US"/>
              </w:rPr>
            </w:pPr>
          </w:p>
        </w:tc>
      </w:tr>
      <w:tr w:rsidR="00A54846" w14:paraId="34E988B2" w14:textId="77777777">
        <w:tc>
          <w:tcPr>
            <w:tcW w:w="195"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29C51946"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20</w:t>
            </w:r>
          </w:p>
        </w:tc>
        <w:tc>
          <w:tcPr>
            <w:tcW w:w="2459" w:type="dxa"/>
            <w:tcBorders>
              <w:top w:val="single" w:sz="4" w:space="0" w:color="auto"/>
              <w:left w:val="single" w:sz="4" w:space="0" w:color="auto"/>
              <w:bottom w:val="nil"/>
              <w:right w:val="nil"/>
            </w:tcBorders>
            <w:shd w:val="clear" w:color="auto" w:fill="FFFFFF"/>
            <w:tcMar>
              <w:top w:w="0" w:type="dxa"/>
              <w:left w:w="40" w:type="dxa"/>
              <w:bottom w:w="0" w:type="dxa"/>
              <w:right w:w="40" w:type="dxa"/>
            </w:tcMar>
            <w:vAlign w:val="bottom"/>
            <w:hideMark/>
          </w:tcPr>
          <w:p w14:paraId="09675DA9" w14:textId="77777777" w:rsidR="00A54846" w:rsidRDefault="008A2731">
            <w:pPr>
              <w:widowControl w:val="0"/>
              <w:shd w:val="clear" w:color="auto" w:fill="auto"/>
              <w:spacing w:after="0" w:line="240" w:lineRule="auto"/>
              <w:ind w:left="200"/>
              <w:jc w:val="left"/>
              <w:rPr>
                <w:rFonts w:ascii="Helvetica" w:eastAsia="Arial Unicode MS" w:hAnsi="Helvetica" w:cs="Arial Unicode MS"/>
                <w:color w:val="000000"/>
                <w:sz w:val="8"/>
                <w:szCs w:val="8"/>
              </w:rPr>
            </w:pPr>
            <w:r>
              <w:rPr>
                <w:rFonts w:ascii="Helvetica" w:hAnsi="Helvetica"/>
                <w:color w:val="000000"/>
                <w:sz w:val="8"/>
              </w:rPr>
              <w:t>Gjeldsinstrumenter</w:t>
            </w:r>
          </w:p>
        </w:tc>
        <w:tc>
          <w:tcPr>
            <w:tcW w:w="28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D80DDF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3CFD75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786296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0EF691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7B9EE62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9EF4CD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C64AD9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D64B55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B8D1CD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F97A52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17A8264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8D172D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62EB3E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8B7DDE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0C81FC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87939F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4DB0A20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C459BD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578A67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0977D9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EB92F6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115CEC7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r w:rsidR="00A54846" w14:paraId="114EEE36" w14:textId="77777777">
        <w:tc>
          <w:tcPr>
            <w:tcW w:w="195"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vAlign w:val="bottom"/>
            <w:hideMark/>
          </w:tcPr>
          <w:p w14:paraId="7E2DF638" w14:textId="77777777" w:rsidR="00A54846" w:rsidRDefault="008A2731">
            <w:pPr>
              <w:widowControl w:val="0"/>
              <w:shd w:val="clear" w:color="auto" w:fill="auto"/>
              <w:spacing w:after="0" w:line="240" w:lineRule="auto"/>
              <w:jc w:val="right"/>
              <w:rPr>
                <w:rFonts w:ascii="Helvetica" w:eastAsia="Arial Unicode MS" w:hAnsi="Helvetica" w:cs="Arial Unicode MS"/>
                <w:color w:val="000000"/>
                <w:sz w:val="8"/>
                <w:szCs w:val="8"/>
              </w:rPr>
            </w:pPr>
            <w:r>
              <w:rPr>
                <w:rFonts w:ascii="Helvetica" w:hAnsi="Helvetica"/>
                <w:color w:val="000000"/>
                <w:sz w:val="8"/>
              </w:rPr>
              <w:t>21</w:t>
            </w:r>
          </w:p>
        </w:tc>
        <w:tc>
          <w:tcPr>
            <w:tcW w:w="245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vAlign w:val="center"/>
            <w:hideMark/>
          </w:tcPr>
          <w:p w14:paraId="444BAF37" w14:textId="77777777" w:rsidR="00A54846" w:rsidRDefault="008A2731">
            <w:pPr>
              <w:widowControl w:val="0"/>
              <w:shd w:val="clear" w:color="auto" w:fill="auto"/>
              <w:spacing w:after="0" w:line="240" w:lineRule="auto"/>
              <w:ind w:left="200"/>
              <w:jc w:val="left"/>
              <w:rPr>
                <w:rFonts w:ascii="Helvetica" w:eastAsia="Arial Unicode MS" w:hAnsi="Helvetica" w:cs="Arial Unicode MS"/>
                <w:color w:val="000000"/>
                <w:sz w:val="8"/>
                <w:szCs w:val="8"/>
              </w:rPr>
            </w:pPr>
            <w:r>
              <w:rPr>
                <w:rFonts w:ascii="Helvetica" w:hAnsi="Helvetica"/>
                <w:color w:val="000000"/>
                <w:sz w:val="8"/>
              </w:rPr>
              <w:t>Egenkapitalinstrumenter</w:t>
            </w:r>
          </w:p>
        </w:tc>
        <w:tc>
          <w:tcPr>
            <w:tcW w:w="28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68DA7F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9"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371D0E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3"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066FDE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A27B9F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8"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1174A2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5"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58362F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65"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C78D0E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4"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1F2538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6" w:type="dxa"/>
            <w:gridSpan w:val="2"/>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87C462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54"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29D132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93"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EF47AB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641567A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1"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436249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4C27AF0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43"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297222B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8"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AA9ABE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43"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A34A152"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85"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501DAFE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3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1DF277D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600"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79ECC9D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517" w:type="dxa"/>
            <w:tcBorders>
              <w:top w:val="single" w:sz="4" w:space="0" w:color="auto"/>
              <w:left w:val="single" w:sz="4" w:space="0" w:color="auto"/>
              <w:bottom w:val="single" w:sz="4" w:space="0" w:color="auto"/>
              <w:right w:val="nil"/>
            </w:tcBorders>
            <w:shd w:val="clear" w:color="auto" w:fill="FFFFFF"/>
            <w:tcMar>
              <w:top w:w="0" w:type="dxa"/>
              <w:left w:w="40" w:type="dxa"/>
              <w:bottom w:w="0" w:type="dxa"/>
              <w:right w:w="40" w:type="dxa"/>
            </w:tcMar>
          </w:tcPr>
          <w:p w14:paraId="0C087A0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c>
          <w:tcPr>
            <w:tcW w:w="333" w:type="dxa"/>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3C3D28B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8"/>
                <w:szCs w:val="8"/>
                <w:lang w:val="en-US" w:bidi="en-US"/>
              </w:rPr>
            </w:pPr>
          </w:p>
        </w:tc>
      </w:tr>
    </w:tbl>
    <w:p w14:paraId="1C155447" w14:textId="77777777" w:rsidR="00A54846" w:rsidRDefault="00A54846">
      <w:pPr>
        <w:pStyle w:val="Para"/>
      </w:pPr>
    </w:p>
    <w:p w14:paraId="794EE648" w14:textId="77777777" w:rsidR="00A54846" w:rsidRDefault="00A54846">
      <w:pPr>
        <w:pStyle w:val="AnnexTI"/>
        <w:sectPr w:rsidR="00A54846">
          <w:pgSz w:w="16838" w:h="11906" w:orient="landscape" w:code="9"/>
          <w:pgMar w:top="1120" w:right="1680" w:bottom="1120" w:left="840" w:header="920" w:footer="280" w:gutter="0"/>
          <w:cols w:space="708"/>
          <w:docGrid w:linePitch="360"/>
        </w:sectPr>
      </w:pPr>
    </w:p>
    <w:p w14:paraId="62E544BA" w14:textId="77777777" w:rsidR="00A54846" w:rsidRDefault="008A2731">
      <w:pPr>
        <w:pStyle w:val="AnnexTI"/>
        <w:spacing w:after="360"/>
      </w:pPr>
      <w:r>
        <w:lastRenderedPageBreak/>
        <w:t>VEDLEGG VII</w:t>
      </w:r>
    </w:p>
    <w:p w14:paraId="108A750E" w14:textId="77777777" w:rsidR="00A54846" w:rsidRDefault="008A2731">
      <w:pPr>
        <w:pStyle w:val="AnnexSTI"/>
        <w:spacing w:after="200" w:line="200" w:lineRule="exact"/>
        <w:rPr>
          <w:sz w:val="16"/>
        </w:rPr>
      </w:pPr>
      <w:r>
        <w:rPr>
          <w:sz w:val="16"/>
        </w:rPr>
        <w:t>KPI-er FOR VERDIPAPIRFORETAK</w:t>
      </w:r>
    </w:p>
    <w:p w14:paraId="2AB959A0" w14:textId="77777777" w:rsidR="00A54846" w:rsidRDefault="008A2731">
      <w:pPr>
        <w:pStyle w:val="AnnexSTI"/>
        <w:spacing w:after="200"/>
        <w:rPr>
          <w:b w:val="0"/>
        </w:rPr>
      </w:pPr>
      <w:r>
        <w:rPr>
          <w:b w:val="0"/>
          <w:i/>
        </w:rPr>
        <w:t>Innholdet i KPI-ene som skal legges fram av verdipapirforetak</w:t>
      </w:r>
    </w:p>
    <w:p w14:paraId="23B02A2A" w14:textId="77777777" w:rsidR="00A54846" w:rsidRDefault="008A2731">
      <w:pPr>
        <w:pStyle w:val="AnnexNumberedText"/>
        <w:ind w:left="414" w:hanging="414"/>
      </w:pPr>
      <w:r>
        <w:t>1.</w:t>
      </w:r>
      <w:r>
        <w:rPr>
          <w:b/>
        </w:rPr>
        <w:tab/>
        <w:t>KPI-enes virkeområde</w:t>
      </w:r>
    </w:p>
    <w:p w14:paraId="384E5B55" w14:textId="77777777" w:rsidR="00A54846" w:rsidRDefault="008A2731">
      <w:pPr>
        <w:pStyle w:val="AnnexNormal"/>
      </w:pPr>
      <w:r>
        <w:t>Opplysninger om KPI-er og metode skal omfatte og utformes separat for samtlige av følgende tjenester oppført i avsnitt A i vedlegg I til direktiv 2014/65/EU:</w:t>
      </w:r>
    </w:p>
    <w:p w14:paraId="3112B00F" w14:textId="77777777" w:rsidR="00A54846" w:rsidRDefault="008A2731">
      <w:pPr>
        <w:pStyle w:val="AnnexNumberedText"/>
        <w:ind w:left="293" w:hanging="293"/>
      </w:pPr>
      <w:r>
        <w:t>a)</w:t>
      </w:r>
      <w:r>
        <w:tab/>
        <w:t>Verdipapirforetaks handel for egen regning, uten hensyn til om verdipapirforetakene handler på egne vegne eller på vegne av kunder i samsvar med avsnitt A nr. 3 i vedlegg I til direktiv 2014/65/EU.</w:t>
      </w:r>
    </w:p>
    <w:p w14:paraId="34F903AB" w14:textId="77777777" w:rsidR="00A54846" w:rsidRDefault="008A2731">
      <w:pPr>
        <w:pStyle w:val="AnnexNumberedText"/>
        <w:ind w:left="293" w:hanging="293"/>
      </w:pPr>
      <w:r>
        <w:t>b)</w:t>
      </w:r>
      <w:r>
        <w:tab/>
        <w:t>Verdipapirforetaks investeringstjenester og -aktiviteter utenom handel for egen regning i samsvar med avsnitt A i vedlegg I til direktiv 2014/65/EU, med unntak av avsnittets nr. 3.</w:t>
      </w:r>
    </w:p>
    <w:p w14:paraId="500E9741" w14:textId="77777777" w:rsidR="00A54846" w:rsidRDefault="008A2731">
      <w:pPr>
        <w:pStyle w:val="AnnexNormal"/>
      </w:pPr>
      <w:r>
        <w:t>Tilknyttede tjenester som oppført i avsnitt B i vedlegg I direktiv 2014/65/EU, skal ikke medtas i opplysningene.</w:t>
      </w:r>
    </w:p>
    <w:p w14:paraId="5ACD742D" w14:textId="77777777" w:rsidR="00A54846" w:rsidRDefault="008A2731">
      <w:pPr>
        <w:pStyle w:val="AnnexNormal"/>
      </w:pPr>
      <w:r>
        <w:t>De investeringstjenestene og -aktivitetene som skal medtas i henhold til opplysningskravene fastsatt i artikkel 8 i forordning (EU) 2020/852 og denne forordningen, skal omfatte følgende:</w:t>
      </w:r>
    </w:p>
    <w:p w14:paraId="16EEBAD7" w14:textId="77777777" w:rsidR="00A54846" w:rsidRDefault="008A2731">
      <w:pPr>
        <w:pStyle w:val="AnnexNumberedText"/>
        <w:ind w:left="293" w:hanging="293"/>
      </w:pPr>
      <w:r>
        <w:t>a)</w:t>
      </w:r>
      <w:r>
        <w:tab/>
        <w:t>Mottak og formidling av ordrer i forbindelse med et eller flere finansielle instrumenter.</w:t>
      </w:r>
    </w:p>
    <w:p w14:paraId="5F829170" w14:textId="77777777" w:rsidR="00A54846" w:rsidRDefault="008A2731">
      <w:pPr>
        <w:pStyle w:val="AnnexNumberedText"/>
        <w:ind w:left="293" w:hanging="293"/>
      </w:pPr>
      <w:r>
        <w:t>b)</w:t>
      </w:r>
      <w:r>
        <w:tab/>
        <w:t>Utførelse av ordrer på vegne av kunder.</w:t>
      </w:r>
    </w:p>
    <w:p w14:paraId="2F124C88" w14:textId="77777777" w:rsidR="00A54846" w:rsidRDefault="008A2731">
      <w:pPr>
        <w:pStyle w:val="AnnexNumberedText"/>
        <w:ind w:left="293" w:hanging="293"/>
      </w:pPr>
      <w:r>
        <w:t>c)</w:t>
      </w:r>
      <w:r>
        <w:tab/>
        <w:t>Handel for egen regning.</w:t>
      </w:r>
    </w:p>
    <w:p w14:paraId="6C0EC4E3" w14:textId="77777777" w:rsidR="00A54846" w:rsidRDefault="008A2731">
      <w:pPr>
        <w:pStyle w:val="AnnexNumberedText"/>
        <w:ind w:left="293" w:hanging="293"/>
      </w:pPr>
      <w:r>
        <w:t>d)</w:t>
      </w:r>
      <w:r>
        <w:tab/>
        <w:t>Porteføljeforvaltning.</w:t>
      </w:r>
    </w:p>
    <w:p w14:paraId="0DA41D3F" w14:textId="77777777" w:rsidR="00A54846" w:rsidRDefault="008A2731">
      <w:pPr>
        <w:pStyle w:val="AnnexNumberedText"/>
        <w:ind w:left="293" w:hanging="293"/>
      </w:pPr>
      <w:r>
        <w:t>e)</w:t>
      </w:r>
      <w:r>
        <w:tab/>
        <w:t>Investeringsrådgivning.</w:t>
      </w:r>
    </w:p>
    <w:p w14:paraId="6C02B933" w14:textId="77777777" w:rsidR="00A54846" w:rsidRDefault="008A2731">
      <w:pPr>
        <w:pStyle w:val="AnnexNumberedText"/>
        <w:ind w:left="293" w:hanging="293"/>
      </w:pPr>
      <w:r>
        <w:t>f)</w:t>
      </w:r>
      <w:r>
        <w:tab/>
        <w:t>Fulltegningsgaranti for finansielle instrumenter og/eller plassering av finansielle instrumenter på grunnlag av bindende tilsagn.</w:t>
      </w:r>
    </w:p>
    <w:p w14:paraId="3F87C606" w14:textId="77777777" w:rsidR="00A54846" w:rsidRDefault="008A2731">
      <w:pPr>
        <w:pStyle w:val="AnnexNumberedText"/>
        <w:ind w:left="293" w:hanging="293"/>
      </w:pPr>
      <w:r>
        <w:t>g)</w:t>
      </w:r>
      <w:r>
        <w:tab/>
        <w:t>Plassering av finansielle instrumenter uten bindende tilsagn.</w:t>
      </w:r>
    </w:p>
    <w:p w14:paraId="56C4AE9E" w14:textId="77777777" w:rsidR="00A54846" w:rsidRDefault="008A2731">
      <w:pPr>
        <w:pStyle w:val="AnnexNumberedText"/>
        <w:ind w:left="293" w:hanging="293"/>
      </w:pPr>
      <w:r>
        <w:t>h)</w:t>
      </w:r>
      <w:r>
        <w:tab/>
        <w:t>Drift av en MHF.</w:t>
      </w:r>
    </w:p>
    <w:p w14:paraId="526BC674" w14:textId="77777777" w:rsidR="00A54846" w:rsidRDefault="008A2731">
      <w:pPr>
        <w:pStyle w:val="AnnexNumberedText"/>
        <w:ind w:left="293" w:hanging="293"/>
      </w:pPr>
      <w:r>
        <w:t>i)</w:t>
      </w:r>
      <w:r>
        <w:tab/>
        <w:t>Drift av en OHF.</w:t>
      </w:r>
    </w:p>
    <w:p w14:paraId="0BA92EEE" w14:textId="77777777" w:rsidR="00A54846" w:rsidRDefault="008A2731">
      <w:pPr>
        <w:pStyle w:val="AnnexNumberedText"/>
        <w:ind w:left="414" w:hanging="414"/>
      </w:pPr>
      <w:r>
        <w:t>2.</w:t>
      </w:r>
      <w:r>
        <w:rPr>
          <w:b/>
        </w:rPr>
        <w:tab/>
        <w:t>Verdipapirforetak som handler for egen regning</w:t>
      </w:r>
    </w:p>
    <w:p w14:paraId="747A0B51" w14:textId="77777777" w:rsidR="00A54846" w:rsidRDefault="008A2731">
      <w:pPr>
        <w:pStyle w:val="AnnexNormal"/>
      </w:pPr>
      <w:r>
        <w:t>Verdipapirforetak som handler for egen regning, skal legge fram følgende KPI-er:</w:t>
      </w:r>
    </w:p>
    <w:p w14:paraId="09111EBC" w14:textId="77777777" w:rsidR="00A54846" w:rsidRDefault="008A2731">
      <w:pPr>
        <w:pStyle w:val="AnnexNumberedText"/>
        <w:ind w:left="414" w:hanging="414"/>
      </w:pPr>
      <w:r>
        <w:t>2.1.</w:t>
      </w:r>
      <w:r>
        <w:rPr>
          <w:i/>
        </w:rPr>
        <w:tab/>
        <w:t>KPI-er for deres eiendeler, som</w:t>
      </w:r>
    </w:p>
    <w:p w14:paraId="70D4D2F5" w14:textId="77777777" w:rsidR="00A54846" w:rsidRDefault="008A2731">
      <w:pPr>
        <w:pStyle w:val="AnnexNumberedText"/>
        <w:ind w:left="324" w:hanging="324"/>
      </w:pPr>
      <w:r>
        <w:t>—</w:t>
      </w:r>
      <w:r>
        <w:tab/>
        <w:t>andelen eiendeler som er forbundet med økonomiske aktiviteter som er omfattet av taksonomien, av samlede eiendeler,</w:t>
      </w:r>
    </w:p>
    <w:p w14:paraId="2FADF7D7" w14:textId="77777777" w:rsidR="00A54846" w:rsidRDefault="008A2731">
      <w:pPr>
        <w:pStyle w:val="AnnexNumberedText"/>
        <w:ind w:left="324" w:hanging="324"/>
      </w:pPr>
      <w:r>
        <w:t>—</w:t>
      </w:r>
      <w:r>
        <w:tab/>
        <w:t>andelen eiendeler som er forbundet med taksonomiforenlige økonomiske aktiviteter, av de eiendelene som er forbundet med økonomiske aktiviteter som er omfattet av taksonomien, og</w:t>
      </w:r>
    </w:p>
    <w:p w14:paraId="4009D03E" w14:textId="77777777" w:rsidR="00A54846" w:rsidRDefault="008A2731">
      <w:pPr>
        <w:pStyle w:val="AnnexNumberedText"/>
        <w:ind w:left="324" w:hanging="324"/>
      </w:pPr>
      <w:r>
        <w:t>—</w:t>
      </w:r>
      <w:r>
        <w:tab/>
        <w:t>andelen eiendeler som er forbundet med taksonomiforenlige økonomiske aktiviteter, av samlede eiendeler (GAR).</w:t>
      </w:r>
    </w:p>
    <w:p w14:paraId="5386ABE5" w14:textId="77777777" w:rsidR="00A54846" w:rsidRDefault="008A2731">
      <w:pPr>
        <w:pStyle w:val="AnnexNormal"/>
      </w:pPr>
      <w:r>
        <w:t>Ved beregning av KPI-er skal følgende tas i betraktning:</w:t>
      </w:r>
    </w:p>
    <w:p w14:paraId="707D5411" w14:textId="77777777" w:rsidR="00A54846" w:rsidRDefault="008A2731">
      <w:pPr>
        <w:pStyle w:val="AnnexNumberedText"/>
        <w:ind w:left="414" w:hanging="414"/>
      </w:pPr>
      <w:r>
        <w:t>2.2.</w:t>
      </w:r>
      <w:r>
        <w:rPr>
          <w:i/>
        </w:rPr>
        <w:tab/>
        <w:t>Investeringsobjekter</w:t>
      </w:r>
    </w:p>
    <w:p w14:paraId="130F1540" w14:textId="77777777" w:rsidR="00A54846" w:rsidRDefault="008A2731">
      <w:pPr>
        <w:pStyle w:val="AnnexNormal"/>
      </w:pPr>
      <w:r>
        <w:t>Investeringsobjekter skal omfatte ikke-finansielle foretak, ikke-finansielle foretak som ikke er omfattet av artikkel 19a og 29a i direktiv 2014/95/EU, samt finansforetak og finansforetak som ikke er omfattet av artikkel 19a og 29a i direktiv 2014/95/EU.</w:t>
      </w:r>
    </w:p>
    <w:p w14:paraId="44AF0281" w14:textId="77777777" w:rsidR="00A54846" w:rsidRDefault="008A2731">
      <w:pPr>
        <w:pStyle w:val="AnnexNormal"/>
      </w:pPr>
      <w:r>
        <w:t>For investeringsobjekter som er omfattet av artikkel 19a og 29a i direktiv 2014/95/EU, skal verdipapirforetakene bruke de KPI-ene som investeringsobjektene framlegger opplysninger om i henhold til denne forordningen. For investeringsobjekter som ikke er omfattet av direktiv 2014/95/EU, får artikkel 8 nr. 3 i denne forordningen anvendelse.</w:t>
      </w:r>
    </w:p>
    <w:p w14:paraId="08FFE8EE" w14:textId="77777777" w:rsidR="00A54846" w:rsidRDefault="008A2731">
      <w:pPr>
        <w:pStyle w:val="AnnexNumberedText"/>
        <w:ind w:left="414" w:hanging="414"/>
      </w:pPr>
      <w:r>
        <w:t>2.3.</w:t>
      </w:r>
      <w:r>
        <w:rPr>
          <w:i/>
        </w:rPr>
        <w:tab/>
        <w:t>Investeringsinstrumenter – eiendeler</w:t>
      </w:r>
    </w:p>
    <w:p w14:paraId="5C97B2AC" w14:textId="77777777" w:rsidR="00A54846" w:rsidRDefault="008A2731">
      <w:pPr>
        <w:pStyle w:val="AnnexNormal"/>
        <w:spacing w:after="0"/>
      </w:pPr>
      <w:r>
        <w:t>For investeringsinstrumenter skal beregningen av KPI-ene omfatte gjeldsinstrumenter, egenkapitalinstrumenter, kontantekvivalenter mot investeringsobjekter, samt alle andre eiendeler.</w:t>
      </w:r>
      <w:r>
        <w:br w:type="page"/>
      </w:r>
    </w:p>
    <w:p w14:paraId="42AE63E0" w14:textId="77777777" w:rsidR="00A54846" w:rsidRDefault="008A2731">
      <w:pPr>
        <w:pStyle w:val="AnnexNumberedText"/>
        <w:ind w:left="414" w:hanging="414"/>
      </w:pPr>
      <w:r>
        <w:lastRenderedPageBreak/>
        <w:t>2.4.</w:t>
      </w:r>
      <w:r>
        <w:rPr>
          <w:i/>
        </w:rPr>
        <w:tab/>
        <w:t>Beregningsmetode</w:t>
      </w:r>
    </w:p>
    <w:p w14:paraId="373A57BA" w14:textId="77777777" w:rsidR="00A54846" w:rsidRDefault="008A2731">
      <w:pPr>
        <w:pStyle w:val="AnnexNormal"/>
      </w:pPr>
      <w:r>
        <w:t>Når det gjelder beregningen av GAR for verdipapirforetaks tjenester og aktiviteter i forbindelse med handel for egen regning, skal verdipapirforetakene bruke investeringsobjektenes KPI for omsetning og KPI for investeringsutgifter for hvert miljømål.</w:t>
      </w:r>
    </w:p>
    <w:p w14:paraId="54443BC2" w14:textId="77777777" w:rsidR="00A54846" w:rsidRDefault="008A2731">
      <w:pPr>
        <w:pStyle w:val="AnnexNormal"/>
      </w:pPr>
      <w:r>
        <w:t>Telleren skal bestå av investeringenes verdi vektet med andelen taksonomiforenlige økonomiske aktiviteter spesifisert etter investeringsobjektets omstillingsaktiviteter og muliggjørende aktiviteter, dvs. med den andelen av investeringsobjektets omsetning og investeringsutgifter som er forbundet med taksonomiforenlige økonomiske aktiviteter.</w:t>
      </w:r>
    </w:p>
    <w:p w14:paraId="58B55C5D" w14:textId="77777777" w:rsidR="00A54846" w:rsidRDefault="008A2731">
      <w:pPr>
        <w:pStyle w:val="AnnexNormal"/>
      </w:pPr>
      <w:r>
        <w:t>Det vektede gjennomsnittet av verdien av investeringer skal baseres på investeringsobjektenes andel av taksonomiforenlige økonomiske aktiviteter, målt ved følgende:</w:t>
      </w:r>
    </w:p>
    <w:p w14:paraId="40A5424A" w14:textId="77777777" w:rsidR="00A54846" w:rsidRDefault="008A2731">
      <w:pPr>
        <w:pStyle w:val="AnnexNumberedText"/>
        <w:ind w:left="293" w:hanging="293"/>
      </w:pPr>
      <w:r>
        <w:t>a)</w:t>
      </w:r>
      <w:r>
        <w:tab/>
        <w:t>For investeringsobjekter som er ikke-finansielle foretak: KPI-ene for omsetning og investeringsutgifter som framkommer ved beregning av investeringsobjektets KPI-er i samsvar med vedlegg I og II.</w:t>
      </w:r>
    </w:p>
    <w:p w14:paraId="1EECD6F1" w14:textId="77777777" w:rsidR="00A54846" w:rsidRDefault="008A2731">
      <w:pPr>
        <w:pStyle w:val="AnnexNumberedText"/>
        <w:ind w:left="293" w:hanging="293"/>
      </w:pPr>
      <w:r>
        <w:t>b)</w:t>
      </w:r>
      <w:r>
        <w:tab/>
        <w:t>For investeringsobjekter som er kapitalforvaltere: KPI-er basert på omsetning og på investeringsutgifter som framkommer ved beregning av investeringsobjektets KPI-er i samsvar med vedlegg III og IV.</w:t>
      </w:r>
    </w:p>
    <w:p w14:paraId="7EFEAF04" w14:textId="77777777" w:rsidR="00A54846" w:rsidRDefault="008A2731">
      <w:pPr>
        <w:pStyle w:val="AnnexNumberedText"/>
        <w:ind w:left="293" w:hanging="293"/>
      </w:pPr>
      <w:r>
        <w:t>c)</w:t>
      </w:r>
      <w:r>
        <w:tab/>
        <w:t>For investeringsobjekter som er kredittinstitusjoner: grønn brøk (GAR) basert på omsetning og investeringsutgifter som framkommer ved beregning av investeringsobjektets grønne brøk i samsvar med vedlegg V og VI.</w:t>
      </w:r>
    </w:p>
    <w:p w14:paraId="0B8D39FF" w14:textId="77777777" w:rsidR="00A54846" w:rsidRDefault="008A2731">
      <w:pPr>
        <w:pStyle w:val="AnnexNumberedText"/>
        <w:ind w:left="293" w:hanging="293"/>
      </w:pPr>
      <w:r>
        <w:t>d)</w:t>
      </w:r>
      <w:r>
        <w:tab/>
        <w:t>For investeringsobjekter som er verdipapirforetak: investeringer og inntekter som framkommer ved beregning av investeringsobjektets KPI-er for omsetning og investeringsutgifter i samsvar med vedlegg VII og VIII, ut fra den andelen av verdipapirforetakets inntekter fra tjenester og aktiviteter som er knyttet til handel for egen regning og ikke knyttet til handel for egen regning.</w:t>
      </w:r>
    </w:p>
    <w:p w14:paraId="43F6A3C2" w14:textId="77777777" w:rsidR="00A54846" w:rsidRDefault="008A2731">
      <w:pPr>
        <w:pStyle w:val="AnnexNumberedText"/>
        <w:ind w:left="293" w:hanging="293"/>
      </w:pPr>
      <w:r>
        <w:t>e)</w:t>
      </w:r>
      <w:r>
        <w:tab/>
        <w:t>For investeringsobjekter som er forsikrings- eller gjenforsikringsforetak: investeringer, tegnede bruttopremier eller eventuelt samlede forsikringsinntekter slik de framkommer ved beregning av KPI-en for investeringer basert på enten omsetning eller på investeringsutgifter, i relevante tilfeller kombinert med KPI for forsikringsvirksomheten for investeringsobjekter som er forsikrings- og gjenforsikringsforetak i samsvar med vedlegg IX og X.</w:t>
      </w:r>
    </w:p>
    <w:p w14:paraId="67F52530" w14:textId="77777777" w:rsidR="00A54846" w:rsidRDefault="008A2731">
      <w:pPr>
        <w:pStyle w:val="AnnexNormal"/>
      </w:pPr>
      <w:r>
        <w:t>For gjeldsinstrumenter utstedt av et investeringsobjekt med sikte på å finansiere konkrete aktiviteter eller prosjekter, eller der investeringsobjektet har utstedt miljømessig bærekraftige obligasjoner, skal verdipapirforetakene vurdere disse gjeldsinstrumentene på grunnlag av hvorvidt de finansierer taksonomiforenlige økonomiske aktiviteter eller prosjekter, ut fra opplysningene investeringsobjektet har gitt.</w:t>
      </w:r>
    </w:p>
    <w:p w14:paraId="42A088DD" w14:textId="77777777" w:rsidR="00A54846" w:rsidRDefault="008A2731">
      <w:pPr>
        <w:pStyle w:val="AnnexNormal"/>
      </w:pPr>
      <w:r>
        <w:t>Som unntak fra andre og tredje ledd i dette punkt 2.4 skal gjeldsinstrumenter som har som formål å finansiere konkrete, identifiserte aktiviteter eller prosjekter, eller miljømessig bærekraftige obligasjoner som er utstedt av et investeringsobjekt, tas med i telleren opp til verdien av de taksonomiforenlige økonomiske aktivitetene som provenyet fra disse obligasjonene og gjeldsinstrumentene finansierer, på grunnlag av opplysninger framlagt av investeringsobjektet.</w:t>
      </w:r>
    </w:p>
    <w:p w14:paraId="23AF6BBD" w14:textId="77777777" w:rsidR="00A54846" w:rsidRDefault="008A2731">
      <w:pPr>
        <w:pStyle w:val="AnnexNormal"/>
      </w:pPr>
      <w:r>
        <w:t>For nevneren skal samlede eiendeler omfatte alle eiendeler verdipapirforetakene har investert for egen regning.</w:t>
      </w:r>
    </w:p>
    <w:p w14:paraId="1BC50941" w14:textId="77777777" w:rsidR="00A54846" w:rsidRDefault="008A2731">
      <w:pPr>
        <w:pStyle w:val="AnnexNumberedText"/>
        <w:ind w:left="414" w:hanging="414"/>
      </w:pPr>
      <w:r>
        <w:t>3.</w:t>
      </w:r>
      <w:r>
        <w:rPr>
          <w:b/>
        </w:rPr>
        <w:tab/>
        <w:t>Verdipapirforetak som ikke handler for egen regning</w:t>
      </w:r>
    </w:p>
    <w:p w14:paraId="7100C30D" w14:textId="77777777" w:rsidR="00A54846" w:rsidRDefault="008A2731">
      <w:pPr>
        <w:pStyle w:val="AnnexNormal"/>
      </w:pPr>
      <w:r>
        <w:t>Verdipapirforetak som ikke handler for egen regning, skal legge fram følgende KPI-er:</w:t>
      </w:r>
    </w:p>
    <w:p w14:paraId="4547ABA7" w14:textId="77777777" w:rsidR="00A54846" w:rsidRDefault="008A2731">
      <w:pPr>
        <w:pStyle w:val="AnnexNumberedText"/>
        <w:ind w:left="414" w:hanging="414"/>
      </w:pPr>
      <w:r>
        <w:t>3.1.</w:t>
      </w:r>
      <w:r>
        <w:rPr>
          <w:i/>
        </w:rPr>
        <w:tab/>
        <w:t>KPI-er for inntekter, herunder gebyrer, provisjoner og andre pengeytelser som</w:t>
      </w:r>
    </w:p>
    <w:p w14:paraId="69910F17" w14:textId="77777777" w:rsidR="00A54846" w:rsidRDefault="008A2731">
      <w:pPr>
        <w:pStyle w:val="AnnexNumberedText"/>
        <w:ind w:left="324" w:hanging="324"/>
      </w:pPr>
      <w:r>
        <w:t>—</w:t>
      </w:r>
      <w:r>
        <w:tab/>
        <w:t>andel som inntektene fra tjenester og aktiviteter som er forbundet med økonomiske aktiviteter som er omfattet av taksonomien, utgjør av de samlede inntektene fra investeringstjenester og -aktiviteter,</w:t>
      </w:r>
    </w:p>
    <w:p w14:paraId="7CFCD4FF" w14:textId="77777777" w:rsidR="00A54846" w:rsidRDefault="008A2731">
      <w:pPr>
        <w:pStyle w:val="AnnexNumberedText"/>
        <w:ind w:left="324" w:hanging="324"/>
      </w:pPr>
      <w:r>
        <w:t>—</w:t>
      </w:r>
      <w:r>
        <w:tab/>
        <w:t>andel som inntektene fra investeringstjenester og -aktiviteter som er forbundet med taksonomiforenlige økonomiske aktiviteter, utgjør av inntektene fra investeringstjenester og -aktiviteter som er forbundet med økonomiske aktiviteter som er omfattet av taksonomien,</w:t>
      </w:r>
    </w:p>
    <w:p w14:paraId="0A842D35" w14:textId="77777777" w:rsidR="00A54846" w:rsidRDefault="008A2731">
      <w:pPr>
        <w:pStyle w:val="AnnexNumberedText"/>
        <w:spacing w:after="0"/>
        <w:ind w:left="324" w:hanging="324"/>
      </w:pPr>
      <w:r>
        <w:t>—</w:t>
      </w:r>
      <w:r>
        <w:tab/>
        <w:t>andel som inntektene fra investeringstjenester og -aktiviteter som er forbundet med taksonomiforenlige økonomiske aktiviteter, utgjør av de samlede inntektene fra investeringstjenester og -aktiviteter (GAR).</w:t>
      </w:r>
    </w:p>
    <w:p w14:paraId="0BC6F365" w14:textId="77777777" w:rsidR="00A54846" w:rsidRDefault="00A54846">
      <w:pPr>
        <w:pStyle w:val="AnnexNormal"/>
        <w:ind w:left="414"/>
        <w:sectPr w:rsidR="00A54846">
          <w:pgSz w:w="11906" w:h="16838" w:code="9"/>
          <w:pgMar w:top="1680" w:right="1333" w:bottom="840" w:left="1333" w:header="920" w:footer="280" w:gutter="0"/>
          <w:cols w:space="708"/>
          <w:vAlign w:val="both"/>
          <w:docGrid w:linePitch="360"/>
        </w:sectPr>
      </w:pPr>
    </w:p>
    <w:p w14:paraId="6A741273" w14:textId="77777777" w:rsidR="00A54846" w:rsidRDefault="008A2731">
      <w:pPr>
        <w:pStyle w:val="AnnexNormal"/>
      </w:pPr>
      <w:r>
        <w:lastRenderedPageBreak/>
        <w:t>Ved beregning av KPI-er skal følgende tas i betraktning:</w:t>
      </w:r>
    </w:p>
    <w:p w14:paraId="01F4BECA" w14:textId="77777777" w:rsidR="00A54846" w:rsidRDefault="008A2731">
      <w:pPr>
        <w:pStyle w:val="AnnexNumberedText"/>
        <w:ind w:left="414" w:hanging="414"/>
      </w:pPr>
      <w:r>
        <w:t>3.2.</w:t>
      </w:r>
      <w:r>
        <w:rPr>
          <w:i/>
        </w:rPr>
        <w:tab/>
        <w:t>Kunder</w:t>
      </w:r>
    </w:p>
    <w:p w14:paraId="25480C46" w14:textId="3ABBCFA8" w:rsidR="00A54846" w:rsidRDefault="008A2731">
      <w:pPr>
        <w:pStyle w:val="AnnexNormal"/>
        <w:spacing w:after="120"/>
      </w:pPr>
      <w:r>
        <w:t>Verdipapirforetak skal ta med kunder som tar imot andre investeringstjenester enn tjenester ved handel for egen regning og tilknyttede tjenester, når de er ikke-finansielle foretak og andre ikke-finansielle foretak som ikke er omfattet av artikkel 19a og</w:t>
      </w:r>
      <w:r w:rsidR="003929D8">
        <w:t> </w:t>
      </w:r>
      <w:r>
        <w:t>29a i direktiv 2014/95/EU, samt finansforetak og finansforetak som ikke er omfattet av artikkel 19a og 29a i direktiv 2014/95/EU.</w:t>
      </w:r>
    </w:p>
    <w:p w14:paraId="580B9872" w14:textId="77777777" w:rsidR="00A54846" w:rsidRDefault="008A2731">
      <w:pPr>
        <w:pStyle w:val="AnnexNormal"/>
      </w:pPr>
      <w:r>
        <w:t>For investeringsobjekter som er omfattet av direktiv 2014/95/EU, skal verdipapirforetakene bruke de KPI-ene som investeringsobjektene framlegger opplysninger om i henhold til denne forordningen. For investeringsobjekter som ikke er omfattet av direktiv 2014/95/EU, får artikkel 8 nr. 3 i denne forordningen anvendelse.</w:t>
      </w:r>
    </w:p>
    <w:p w14:paraId="4FE4350A" w14:textId="77777777" w:rsidR="00A54846" w:rsidRDefault="008A2731">
      <w:pPr>
        <w:pStyle w:val="AnnexNumberedText"/>
        <w:ind w:left="414" w:hanging="414"/>
      </w:pPr>
      <w:r>
        <w:t>3.3.</w:t>
      </w:r>
      <w:r>
        <w:rPr>
          <w:i/>
        </w:rPr>
        <w:tab/>
        <w:t>Beregningsmetode</w:t>
      </w:r>
    </w:p>
    <w:p w14:paraId="00D3A27E" w14:textId="77777777" w:rsidR="00A54846" w:rsidRDefault="008A2731">
      <w:pPr>
        <w:pStyle w:val="AnnexNormal"/>
      </w:pPr>
      <w:r>
        <w:t>For verdipapirforetakenes andre aktiviteter enn handel for egen regning skal telleren bestå av det vektede gjennomsnittet av verdipapirforetakets inntekter (gebyrer, provisjoner og andre pengeytelser) i forhold til den samlede verdien av deres kunders taksonomiforenlige økonomiske aktiviteter. Metoden fastsatt i punkt 2.4 i dette vedlegget får anvendelse.</w:t>
      </w:r>
    </w:p>
    <w:p w14:paraId="520D77CA" w14:textId="77777777" w:rsidR="00A54846" w:rsidRDefault="008A2731">
      <w:pPr>
        <w:pStyle w:val="AnnexNumberedText"/>
        <w:ind w:left="414" w:hanging="414"/>
      </w:pPr>
      <w:r>
        <w:t>3.4.</w:t>
      </w:r>
      <w:r>
        <w:rPr>
          <w:i/>
        </w:rPr>
        <w:tab/>
        <w:t>Ytterligere faktorer</w:t>
      </w:r>
    </w:p>
    <w:p w14:paraId="69B96D2D" w14:textId="77777777" w:rsidR="00A54846" w:rsidRDefault="008A2731">
      <w:pPr>
        <w:pStyle w:val="AnnexNormal"/>
        <w:spacing w:after="120"/>
      </w:pPr>
      <w:r>
        <w:t>I malene skal verdipapirforetakene oppgi miljømålene og type aktiviteter, om de er muliggjørende aktiviteter eller omstillingsaktiviteter.</w:t>
      </w:r>
    </w:p>
    <w:p w14:paraId="099E5921" w14:textId="77777777" w:rsidR="00A54846" w:rsidRDefault="008A2731">
      <w:pPr>
        <w:pStyle w:val="AnnexNormal"/>
        <w:spacing w:after="400"/>
        <w:rPr>
          <w:szCs w:val="18"/>
        </w:rPr>
      </w:pPr>
      <w:r>
        <w:t>Opplysningene skal gis etter fradrag for eventuelle sikringer og motregning, uten hensyn til hvilket instrument som er brukt, i samsvar med artikkel 3 nr. 4 og 5 i europaparlaments- og rådsforordning (EU) nr. 236/2012(</w:t>
      </w:r>
      <w:bookmarkStart w:id="11" w:name="NOTE_12"/>
      <w:r>
        <w:rPr>
          <w:rStyle w:val="FootnoteReference"/>
          <w:sz w:val="18"/>
          <w:szCs w:val="18"/>
        </w:rPr>
        <w:footnoteReference w:id="13"/>
      </w:r>
      <w:bookmarkEnd w:id="11"/>
      <w:r>
        <w:t>).</w:t>
      </w:r>
    </w:p>
    <w:p w14:paraId="1ACDEB2E" w14:textId="77777777" w:rsidR="00A54846" w:rsidRDefault="008A2731">
      <w:pPr>
        <w:pStyle w:val="line2"/>
        <w:pBdr>
          <w:bottom w:val="none" w:sz="0" w:space="0" w:color="auto"/>
        </w:pBdr>
        <w:tabs>
          <w:tab w:val="left" w:leader="underscore" w:pos="522"/>
        </w:tabs>
        <w:ind w:left="0" w:right="0"/>
      </w:pPr>
      <w:r>
        <w:tab/>
      </w:r>
    </w:p>
    <w:p w14:paraId="68C41348" w14:textId="77777777" w:rsidR="00A54846" w:rsidRDefault="00A54846">
      <w:pPr>
        <w:pStyle w:val="AnnexTI"/>
        <w:sectPr w:rsidR="00A54846">
          <w:footnotePr>
            <w:numRestart w:val="eachSect"/>
          </w:footnotePr>
          <w:pgSz w:w="11906" w:h="16838" w:code="9"/>
          <w:pgMar w:top="1680" w:right="1333" w:bottom="840" w:left="1333" w:header="920" w:footer="280" w:gutter="0"/>
          <w:cols w:space="708"/>
          <w:docGrid w:linePitch="360"/>
        </w:sectPr>
      </w:pPr>
    </w:p>
    <w:p w14:paraId="4524AD9D" w14:textId="77777777" w:rsidR="00A54846" w:rsidRDefault="008A2731">
      <w:pPr>
        <w:pStyle w:val="AnnexTI"/>
        <w:spacing w:after="360"/>
      </w:pPr>
      <w:r>
        <w:lastRenderedPageBreak/>
        <w:t>VEDLEGG VIII</w:t>
      </w:r>
    </w:p>
    <w:p w14:paraId="2B252E90" w14:textId="77777777" w:rsidR="00A54846" w:rsidRDefault="008A2731">
      <w:pPr>
        <w:pStyle w:val="AnnexSTI"/>
        <w:spacing w:after="200" w:line="200" w:lineRule="exact"/>
        <w:rPr>
          <w:sz w:val="16"/>
        </w:rPr>
      </w:pPr>
      <w:r>
        <w:rPr>
          <w:sz w:val="16"/>
        </w:rPr>
        <w:t>MAL FOR KPI-er FOR VERDIPAPIRFORETAK</w:t>
      </w:r>
    </w:p>
    <w:tbl>
      <w:tblPr>
        <w:tblStyle w:val="EFTATable"/>
        <w:tblW w:w="14331" w:type="dxa"/>
        <w:tblLayout w:type="fixed"/>
        <w:tblLook w:val="04A0" w:firstRow="1" w:lastRow="0" w:firstColumn="1" w:lastColumn="0" w:noHBand="0" w:noVBand="1"/>
      </w:tblPr>
      <w:tblGrid>
        <w:gridCol w:w="1368"/>
        <w:gridCol w:w="12963"/>
      </w:tblGrid>
      <w:tr w:rsidR="00A54846" w14:paraId="04BB0E5D" w14:textId="77777777">
        <w:trPr>
          <w:trHeight w:val="252"/>
          <w:tblHeader/>
        </w:trPr>
        <w:tc>
          <w:tcPr>
            <w:tcW w:w="1368" w:type="dxa"/>
            <w:shd w:val="clear" w:color="auto" w:fill="CCCCCC"/>
            <w:tcMar>
              <w:top w:w="60" w:type="dxa"/>
              <w:left w:w="0" w:type="dxa"/>
              <w:bottom w:w="60" w:type="dxa"/>
            </w:tcMar>
            <w:vAlign w:val="center"/>
          </w:tcPr>
          <w:p w14:paraId="4C780B93" w14:textId="77777777" w:rsidR="00A54846" w:rsidRDefault="008A2731">
            <w:pPr>
              <w:pStyle w:val="AnnexTableHeader"/>
              <w:spacing w:line="200" w:lineRule="exact"/>
            </w:pPr>
            <w:r>
              <w:t>Mal nr.</w:t>
            </w:r>
          </w:p>
        </w:tc>
        <w:tc>
          <w:tcPr>
            <w:tcW w:w="12963" w:type="dxa"/>
            <w:shd w:val="clear" w:color="auto" w:fill="CCCCCC"/>
            <w:tcMar>
              <w:top w:w="60" w:type="dxa"/>
              <w:bottom w:w="60" w:type="dxa"/>
            </w:tcMar>
            <w:vAlign w:val="center"/>
          </w:tcPr>
          <w:p w14:paraId="3460E842" w14:textId="77777777" w:rsidR="00A54846" w:rsidRDefault="008A2731">
            <w:pPr>
              <w:pStyle w:val="AnnexTableHeader"/>
              <w:spacing w:line="200" w:lineRule="exact"/>
            </w:pPr>
            <w:r>
              <w:t>Betegnelse</w:t>
            </w:r>
          </w:p>
        </w:tc>
      </w:tr>
      <w:tr w:rsidR="00A54846" w14:paraId="199E57CD" w14:textId="77777777">
        <w:trPr>
          <w:trHeight w:val="252"/>
        </w:trPr>
        <w:tc>
          <w:tcPr>
            <w:tcW w:w="1368" w:type="dxa"/>
            <w:tcBorders>
              <w:bottom w:val="single" w:sz="4" w:space="0" w:color="auto"/>
            </w:tcBorders>
            <w:tcMar>
              <w:left w:w="0" w:type="dxa"/>
            </w:tcMar>
          </w:tcPr>
          <w:p w14:paraId="1722A5DB" w14:textId="77777777" w:rsidR="00A54846" w:rsidRDefault="008A2731">
            <w:pPr>
              <w:pStyle w:val="AnnexTableCellLeft"/>
              <w:jc w:val="center"/>
            </w:pPr>
            <w:r>
              <w:t>0</w:t>
            </w:r>
          </w:p>
        </w:tc>
        <w:tc>
          <w:tcPr>
            <w:tcW w:w="12963" w:type="dxa"/>
            <w:tcBorders>
              <w:bottom w:val="single" w:sz="4" w:space="0" w:color="auto"/>
            </w:tcBorders>
          </w:tcPr>
          <w:p w14:paraId="27419282" w14:textId="77777777" w:rsidR="00A54846" w:rsidRDefault="008A2731">
            <w:pPr>
              <w:pStyle w:val="AnnexTableCellLeft"/>
            </w:pPr>
            <w:r>
              <w:t>Sammendrag av KPI-er som skal legges fram av verdipapirforetak i henhold til artikkel 8 i taksonomiforordningen</w:t>
            </w:r>
          </w:p>
        </w:tc>
      </w:tr>
      <w:tr w:rsidR="00A54846" w14:paraId="77A2FB43" w14:textId="77777777">
        <w:trPr>
          <w:trHeight w:val="252"/>
        </w:trPr>
        <w:tc>
          <w:tcPr>
            <w:tcW w:w="1368" w:type="dxa"/>
            <w:tcBorders>
              <w:bottom w:val="nil"/>
            </w:tcBorders>
            <w:tcMar>
              <w:left w:w="0" w:type="dxa"/>
            </w:tcMar>
          </w:tcPr>
          <w:p w14:paraId="6A9B0D64" w14:textId="77777777" w:rsidR="00A54846" w:rsidRDefault="008A2731">
            <w:pPr>
              <w:pStyle w:val="AnnexTableCellLeft"/>
              <w:jc w:val="center"/>
            </w:pPr>
            <w:r>
              <w:t>1</w:t>
            </w:r>
          </w:p>
        </w:tc>
        <w:tc>
          <w:tcPr>
            <w:tcW w:w="12963" w:type="dxa"/>
            <w:tcBorders>
              <w:bottom w:val="nil"/>
            </w:tcBorders>
          </w:tcPr>
          <w:p w14:paraId="595D9ED3" w14:textId="77777777" w:rsidR="00A54846" w:rsidRDefault="008A2731">
            <w:pPr>
              <w:pStyle w:val="AnnexTableCellLeft"/>
            </w:pPr>
            <w:r>
              <w:t>KPI for verdipapirforetak – Tjenester ved handel for egen regning</w:t>
            </w:r>
          </w:p>
        </w:tc>
      </w:tr>
      <w:tr w:rsidR="00A54846" w14:paraId="268611AB" w14:textId="77777777">
        <w:trPr>
          <w:trHeight w:val="252"/>
        </w:trPr>
        <w:tc>
          <w:tcPr>
            <w:tcW w:w="1368" w:type="dxa"/>
            <w:tcBorders>
              <w:top w:val="nil"/>
            </w:tcBorders>
            <w:tcMar>
              <w:left w:w="0" w:type="dxa"/>
            </w:tcMar>
          </w:tcPr>
          <w:p w14:paraId="428E27C9" w14:textId="77777777" w:rsidR="00A54846" w:rsidRDefault="008A2731">
            <w:pPr>
              <w:pStyle w:val="AnnexTableCellLeft"/>
              <w:jc w:val="center"/>
            </w:pPr>
            <w:r>
              <w:t>2</w:t>
            </w:r>
          </w:p>
        </w:tc>
        <w:tc>
          <w:tcPr>
            <w:tcW w:w="12963" w:type="dxa"/>
            <w:tcBorders>
              <w:top w:val="nil"/>
            </w:tcBorders>
          </w:tcPr>
          <w:p w14:paraId="629919F7" w14:textId="77777777" w:rsidR="00A54846" w:rsidRDefault="008A2731">
            <w:pPr>
              <w:pStyle w:val="AnnexTableCellLeft"/>
            </w:pPr>
            <w:r>
              <w:t>KPI for verdipapirforetak – Andre tjenester</w:t>
            </w:r>
          </w:p>
        </w:tc>
      </w:tr>
    </w:tbl>
    <w:p w14:paraId="0060870B" w14:textId="77777777" w:rsidR="00A54846" w:rsidRDefault="008A2731">
      <w:pPr>
        <w:pStyle w:val="AnnexNumberedText"/>
        <w:spacing w:before="400" w:after="300"/>
        <w:ind w:left="279" w:hanging="279"/>
      </w:pPr>
      <w:r>
        <w:t>0.</w:t>
      </w:r>
      <w:r>
        <w:rPr>
          <w:b/>
        </w:rPr>
        <w:tab/>
        <w:t>Sammendrag av KPI-er som skal legges fram av verdipapirforetak i henhold til artikkel 8 i taksonomiforordningen</w:t>
      </w:r>
    </w:p>
    <w:tbl>
      <w:tblPr>
        <w:tblOverlap w:val="never"/>
        <w:tblW w:w="0" w:type="auto"/>
        <w:tblInd w:w="316" w:type="dxa"/>
        <w:tblLayout w:type="fixed"/>
        <w:tblCellMar>
          <w:left w:w="10" w:type="dxa"/>
          <w:right w:w="10" w:type="dxa"/>
        </w:tblCellMar>
        <w:tblLook w:val="04A0" w:firstRow="1" w:lastRow="0" w:firstColumn="1" w:lastColumn="0" w:noHBand="0" w:noVBand="1"/>
      </w:tblPr>
      <w:tblGrid>
        <w:gridCol w:w="4400"/>
        <w:gridCol w:w="1602"/>
        <w:gridCol w:w="3816"/>
        <w:gridCol w:w="923"/>
        <w:gridCol w:w="923"/>
        <w:gridCol w:w="2384"/>
      </w:tblGrid>
      <w:tr w:rsidR="00A54846" w14:paraId="262C38D4" w14:textId="77777777">
        <w:trPr>
          <w:trHeight w:val="216"/>
        </w:trPr>
        <w:tc>
          <w:tcPr>
            <w:tcW w:w="6002" w:type="dxa"/>
            <w:gridSpan w:val="2"/>
            <w:tcBorders>
              <w:top w:val="single" w:sz="4" w:space="0" w:color="auto"/>
              <w:left w:val="single" w:sz="4" w:space="0" w:color="auto"/>
              <w:bottom w:val="nil"/>
              <w:right w:val="nil"/>
            </w:tcBorders>
            <w:shd w:val="clear" w:color="auto" w:fill="E1E1E1"/>
            <w:tcMar>
              <w:top w:w="0" w:type="dxa"/>
              <w:left w:w="40" w:type="dxa"/>
              <w:bottom w:w="0" w:type="dxa"/>
              <w:right w:w="40" w:type="dxa"/>
            </w:tcMar>
          </w:tcPr>
          <w:p w14:paraId="12297423" w14:textId="77777777" w:rsidR="00A54846" w:rsidRPr="006A792F" w:rsidRDefault="00A54846">
            <w:pPr>
              <w:widowControl w:val="0"/>
              <w:shd w:val="clear" w:color="auto" w:fill="auto"/>
              <w:spacing w:after="60" w:line="240" w:lineRule="auto"/>
              <w:jc w:val="left"/>
              <w:rPr>
                <w:rFonts w:ascii="Helvetica" w:eastAsia="Arial Unicode MS" w:hAnsi="Helvetica" w:cs="Arial Unicode MS"/>
                <w:b/>
                <w:color w:val="000000"/>
                <w:sz w:val="14"/>
                <w:szCs w:val="14"/>
                <w:lang w:bidi="en-US"/>
              </w:rPr>
            </w:pPr>
          </w:p>
        </w:tc>
        <w:tc>
          <w:tcPr>
            <w:tcW w:w="3816" w:type="dxa"/>
            <w:tcBorders>
              <w:top w:val="single" w:sz="4" w:space="0" w:color="auto"/>
              <w:left w:val="single" w:sz="4" w:space="0" w:color="auto"/>
              <w:bottom w:val="nil"/>
              <w:right w:val="nil"/>
            </w:tcBorders>
            <w:shd w:val="clear" w:color="auto" w:fill="E1E1E1"/>
            <w:tcMar>
              <w:top w:w="0" w:type="dxa"/>
              <w:left w:w="40" w:type="dxa"/>
              <w:bottom w:w="0" w:type="dxa"/>
              <w:right w:w="40" w:type="dxa"/>
            </w:tcMar>
            <w:hideMark/>
          </w:tcPr>
          <w:p w14:paraId="5B590C9A" w14:textId="77777777" w:rsidR="00A54846" w:rsidRDefault="008A2731">
            <w:pPr>
              <w:widowControl w:val="0"/>
              <w:shd w:val="clear" w:color="auto" w:fill="auto"/>
              <w:spacing w:after="60" w:line="240" w:lineRule="auto"/>
              <w:jc w:val="left"/>
              <w:rPr>
                <w:rFonts w:ascii="Helvetica" w:eastAsia="Arial Unicode MS" w:hAnsi="Helvetica" w:cs="Arial Unicode MS"/>
                <w:b/>
                <w:color w:val="000000"/>
                <w:sz w:val="14"/>
                <w:szCs w:val="14"/>
              </w:rPr>
            </w:pPr>
            <w:r>
              <w:rPr>
                <w:rFonts w:ascii="Helvetica" w:hAnsi="Helvetica"/>
                <w:b/>
                <w:color w:val="000000"/>
                <w:sz w:val="14"/>
              </w:rPr>
              <w:t>Sum miljømessig bærekraftige eiendeler</w:t>
            </w:r>
          </w:p>
        </w:tc>
        <w:tc>
          <w:tcPr>
            <w:tcW w:w="923" w:type="dxa"/>
            <w:tcBorders>
              <w:top w:val="single" w:sz="4" w:space="0" w:color="auto"/>
              <w:left w:val="single" w:sz="4" w:space="0" w:color="auto"/>
              <w:bottom w:val="nil"/>
              <w:right w:val="nil"/>
            </w:tcBorders>
            <w:shd w:val="clear" w:color="auto" w:fill="E1E1E1"/>
            <w:tcMar>
              <w:top w:w="0" w:type="dxa"/>
              <w:left w:w="40" w:type="dxa"/>
              <w:bottom w:w="0" w:type="dxa"/>
              <w:right w:w="40" w:type="dxa"/>
            </w:tcMar>
            <w:hideMark/>
          </w:tcPr>
          <w:p w14:paraId="02454666" w14:textId="77777777" w:rsidR="00A54846" w:rsidRDefault="008A2731">
            <w:pPr>
              <w:widowControl w:val="0"/>
              <w:shd w:val="clear" w:color="auto" w:fill="auto"/>
              <w:spacing w:after="60" w:line="240" w:lineRule="auto"/>
              <w:jc w:val="left"/>
              <w:rPr>
                <w:rFonts w:ascii="Helvetica" w:eastAsia="Arial Unicode MS" w:hAnsi="Helvetica" w:cs="Arial Unicode MS"/>
                <w:b/>
                <w:color w:val="000000"/>
                <w:sz w:val="14"/>
                <w:szCs w:val="14"/>
              </w:rPr>
            </w:pPr>
            <w:r>
              <w:rPr>
                <w:rFonts w:ascii="Helvetica" w:hAnsi="Helvetica"/>
                <w:b/>
                <w:color w:val="000000"/>
                <w:sz w:val="14"/>
              </w:rPr>
              <w:t>KPI***</w:t>
            </w:r>
          </w:p>
        </w:tc>
        <w:tc>
          <w:tcPr>
            <w:tcW w:w="923" w:type="dxa"/>
            <w:tcBorders>
              <w:top w:val="single" w:sz="4" w:space="0" w:color="auto"/>
              <w:left w:val="single" w:sz="4" w:space="0" w:color="auto"/>
              <w:bottom w:val="nil"/>
              <w:right w:val="nil"/>
            </w:tcBorders>
            <w:shd w:val="clear" w:color="auto" w:fill="E1E1E1"/>
            <w:tcMar>
              <w:top w:w="0" w:type="dxa"/>
              <w:left w:w="40" w:type="dxa"/>
              <w:bottom w:w="0" w:type="dxa"/>
              <w:right w:w="40" w:type="dxa"/>
            </w:tcMar>
            <w:hideMark/>
          </w:tcPr>
          <w:p w14:paraId="36AA6390" w14:textId="77777777" w:rsidR="00A54846" w:rsidRDefault="008A2731">
            <w:pPr>
              <w:widowControl w:val="0"/>
              <w:shd w:val="clear" w:color="auto" w:fill="auto"/>
              <w:spacing w:after="60" w:line="240" w:lineRule="auto"/>
              <w:jc w:val="left"/>
              <w:rPr>
                <w:rFonts w:ascii="Helvetica" w:eastAsia="Arial Unicode MS" w:hAnsi="Helvetica" w:cs="Arial Unicode MS"/>
                <w:b/>
                <w:color w:val="000000"/>
                <w:sz w:val="14"/>
                <w:szCs w:val="14"/>
              </w:rPr>
            </w:pPr>
            <w:r>
              <w:rPr>
                <w:rFonts w:ascii="Helvetica" w:hAnsi="Helvetica"/>
                <w:b/>
                <w:color w:val="000000"/>
                <w:sz w:val="14"/>
              </w:rPr>
              <w:t>KPI****</w:t>
            </w:r>
          </w:p>
        </w:tc>
        <w:tc>
          <w:tcPr>
            <w:tcW w:w="2382" w:type="dxa"/>
            <w:tcBorders>
              <w:top w:val="single" w:sz="4" w:space="0" w:color="auto"/>
              <w:left w:val="single" w:sz="4" w:space="0" w:color="auto"/>
              <w:bottom w:val="nil"/>
              <w:right w:val="single" w:sz="4" w:space="0" w:color="auto"/>
            </w:tcBorders>
            <w:shd w:val="clear" w:color="auto" w:fill="E1E1E1"/>
            <w:tcMar>
              <w:top w:w="0" w:type="dxa"/>
              <w:left w:w="40" w:type="dxa"/>
              <w:bottom w:w="0" w:type="dxa"/>
              <w:right w:w="40" w:type="dxa"/>
            </w:tcMar>
            <w:hideMark/>
          </w:tcPr>
          <w:p w14:paraId="41BA611C" w14:textId="77777777" w:rsidR="00A54846" w:rsidRDefault="008A2731">
            <w:pPr>
              <w:widowControl w:val="0"/>
              <w:shd w:val="clear" w:color="auto" w:fill="auto"/>
              <w:spacing w:after="60" w:line="240" w:lineRule="auto"/>
              <w:jc w:val="left"/>
              <w:rPr>
                <w:rFonts w:ascii="Helvetica" w:eastAsia="Arial Unicode MS" w:hAnsi="Helvetica" w:cs="Arial Unicode MS"/>
                <w:b/>
                <w:color w:val="000000"/>
                <w:sz w:val="14"/>
                <w:szCs w:val="14"/>
              </w:rPr>
            </w:pPr>
            <w:r>
              <w:rPr>
                <w:rFonts w:ascii="Helvetica" w:hAnsi="Helvetica"/>
                <w:b/>
                <w:color w:val="000000"/>
                <w:sz w:val="14"/>
              </w:rPr>
              <w:t>% dekning (av samlede eiendeler)**</w:t>
            </w:r>
          </w:p>
        </w:tc>
      </w:tr>
      <w:tr w:rsidR="00A54846" w14:paraId="4D65F001" w14:textId="77777777">
        <w:trPr>
          <w:trHeight w:val="216"/>
        </w:trPr>
        <w:tc>
          <w:tcPr>
            <w:tcW w:w="4400" w:type="dxa"/>
            <w:tcBorders>
              <w:top w:val="single" w:sz="4" w:space="0" w:color="auto"/>
              <w:left w:val="single" w:sz="4" w:space="0" w:color="auto"/>
              <w:bottom w:val="nil"/>
              <w:right w:val="nil"/>
            </w:tcBorders>
            <w:shd w:val="clear" w:color="auto" w:fill="FFFFFF"/>
            <w:tcMar>
              <w:top w:w="0" w:type="dxa"/>
              <w:left w:w="40" w:type="dxa"/>
              <w:bottom w:w="0" w:type="dxa"/>
              <w:right w:w="40" w:type="dxa"/>
            </w:tcMar>
            <w:hideMark/>
          </w:tcPr>
          <w:p w14:paraId="098CE5B3" w14:textId="77777777" w:rsidR="00A54846" w:rsidRDefault="008A2731">
            <w:pPr>
              <w:widowControl w:val="0"/>
              <w:shd w:val="clear" w:color="auto" w:fill="auto"/>
              <w:spacing w:after="60" w:line="240" w:lineRule="auto"/>
              <w:jc w:val="left"/>
              <w:rPr>
                <w:rFonts w:ascii="Helvetica" w:eastAsia="Arial Unicode MS" w:hAnsi="Helvetica" w:cs="Arial Unicode MS"/>
                <w:b/>
                <w:color w:val="000000"/>
                <w:sz w:val="14"/>
                <w:szCs w:val="14"/>
              </w:rPr>
            </w:pPr>
            <w:r>
              <w:rPr>
                <w:rFonts w:ascii="Helvetica" w:hAnsi="Helvetica"/>
                <w:b/>
                <w:color w:val="000000"/>
                <w:sz w:val="14"/>
              </w:rPr>
              <w:t>Hoved-KPI (for handel for egen regning)</w:t>
            </w:r>
          </w:p>
        </w:tc>
        <w:tc>
          <w:tcPr>
            <w:tcW w:w="1601" w:type="dxa"/>
            <w:tcBorders>
              <w:top w:val="single" w:sz="4" w:space="0" w:color="auto"/>
              <w:left w:val="single" w:sz="4" w:space="0" w:color="auto"/>
              <w:bottom w:val="nil"/>
              <w:right w:val="nil"/>
            </w:tcBorders>
            <w:shd w:val="clear" w:color="auto" w:fill="FFFFFF"/>
            <w:tcMar>
              <w:top w:w="0" w:type="dxa"/>
              <w:left w:w="40" w:type="dxa"/>
              <w:bottom w:w="0" w:type="dxa"/>
              <w:right w:w="40" w:type="dxa"/>
            </w:tcMar>
            <w:hideMark/>
          </w:tcPr>
          <w:p w14:paraId="7D54BED8" w14:textId="77777777" w:rsidR="00A54846" w:rsidRDefault="008A2731">
            <w:pPr>
              <w:widowControl w:val="0"/>
              <w:shd w:val="clear" w:color="auto" w:fill="auto"/>
              <w:spacing w:after="60" w:line="240" w:lineRule="auto"/>
              <w:jc w:val="left"/>
              <w:rPr>
                <w:rFonts w:ascii="Helvetica" w:eastAsia="Arial Unicode MS" w:hAnsi="Helvetica" w:cs="Arial Unicode MS"/>
                <w:b/>
                <w:color w:val="000000"/>
                <w:sz w:val="14"/>
                <w:szCs w:val="14"/>
              </w:rPr>
            </w:pPr>
            <w:r>
              <w:rPr>
                <w:rFonts w:ascii="Helvetica" w:hAnsi="Helvetica"/>
                <w:b/>
                <w:color w:val="000000"/>
                <w:sz w:val="14"/>
              </w:rPr>
              <w:t>Den grønne brøken (GAR)</w:t>
            </w:r>
          </w:p>
        </w:tc>
        <w:tc>
          <w:tcPr>
            <w:tcW w:w="381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72A54DD" w14:textId="77777777" w:rsidR="00A54846" w:rsidRDefault="00A54846">
            <w:pPr>
              <w:widowControl w:val="0"/>
              <w:shd w:val="clear" w:color="auto" w:fill="auto"/>
              <w:spacing w:after="60" w:line="240" w:lineRule="auto"/>
              <w:jc w:val="left"/>
              <w:rPr>
                <w:rFonts w:ascii="Helvetica" w:eastAsia="Arial Unicode MS" w:hAnsi="Helvetica" w:cs="Arial Unicode MS"/>
                <w:b/>
                <w:color w:val="000000"/>
                <w:sz w:val="14"/>
                <w:szCs w:val="14"/>
                <w:lang w:val="en-US" w:bidi="en-US"/>
              </w:rPr>
            </w:pPr>
          </w:p>
        </w:tc>
        <w:tc>
          <w:tcPr>
            <w:tcW w:w="92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6E066771" w14:textId="77777777" w:rsidR="00A54846" w:rsidRDefault="00A54846">
            <w:pPr>
              <w:widowControl w:val="0"/>
              <w:shd w:val="clear" w:color="auto" w:fill="auto"/>
              <w:spacing w:after="60" w:line="240" w:lineRule="auto"/>
              <w:jc w:val="left"/>
              <w:rPr>
                <w:rFonts w:ascii="Helvetica" w:eastAsia="Arial Unicode MS" w:hAnsi="Helvetica" w:cs="Arial Unicode MS"/>
                <w:b/>
                <w:color w:val="000000"/>
                <w:sz w:val="14"/>
                <w:szCs w:val="14"/>
                <w:lang w:val="en-US" w:bidi="en-US"/>
              </w:rPr>
            </w:pPr>
          </w:p>
        </w:tc>
        <w:tc>
          <w:tcPr>
            <w:tcW w:w="92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06BB4CFF" w14:textId="77777777" w:rsidR="00A54846" w:rsidRDefault="00A54846">
            <w:pPr>
              <w:widowControl w:val="0"/>
              <w:shd w:val="clear" w:color="auto" w:fill="auto"/>
              <w:spacing w:after="60" w:line="240" w:lineRule="auto"/>
              <w:jc w:val="left"/>
              <w:rPr>
                <w:rFonts w:ascii="Helvetica" w:eastAsia="Arial Unicode MS" w:hAnsi="Helvetica" w:cs="Arial Unicode MS"/>
                <w:b/>
                <w:color w:val="000000"/>
                <w:sz w:val="14"/>
                <w:szCs w:val="14"/>
                <w:lang w:val="en-US" w:bidi="en-US"/>
              </w:rPr>
            </w:pPr>
          </w:p>
        </w:tc>
        <w:tc>
          <w:tcPr>
            <w:tcW w:w="2382"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5A857853" w14:textId="77777777" w:rsidR="00A54846" w:rsidRDefault="00A54846">
            <w:pPr>
              <w:widowControl w:val="0"/>
              <w:shd w:val="clear" w:color="auto" w:fill="auto"/>
              <w:spacing w:after="60" w:line="240" w:lineRule="auto"/>
              <w:jc w:val="left"/>
              <w:rPr>
                <w:rFonts w:ascii="Helvetica" w:eastAsia="Arial Unicode MS" w:hAnsi="Helvetica" w:cs="Arial Unicode MS"/>
                <w:b/>
                <w:color w:val="000000"/>
                <w:sz w:val="14"/>
                <w:szCs w:val="14"/>
                <w:lang w:val="en-US" w:bidi="en-US"/>
              </w:rPr>
            </w:pPr>
          </w:p>
        </w:tc>
      </w:tr>
      <w:tr w:rsidR="00A54846" w14:paraId="29C940D3" w14:textId="77777777">
        <w:trPr>
          <w:trHeight w:val="374"/>
        </w:trPr>
        <w:tc>
          <w:tcPr>
            <w:tcW w:w="6002" w:type="dxa"/>
            <w:gridSpan w:val="2"/>
            <w:tcBorders>
              <w:top w:val="single" w:sz="4" w:space="0" w:color="auto"/>
              <w:left w:val="single" w:sz="4" w:space="0" w:color="auto"/>
              <w:bottom w:val="nil"/>
              <w:right w:val="nil"/>
            </w:tcBorders>
            <w:shd w:val="clear" w:color="auto" w:fill="E1E1E1"/>
            <w:tcMar>
              <w:top w:w="0" w:type="dxa"/>
              <w:left w:w="40" w:type="dxa"/>
              <w:bottom w:w="0" w:type="dxa"/>
              <w:right w:w="40" w:type="dxa"/>
            </w:tcMar>
          </w:tcPr>
          <w:p w14:paraId="5AB526C3" w14:textId="77777777" w:rsidR="00A54846" w:rsidRDefault="00A54846">
            <w:pPr>
              <w:widowControl w:val="0"/>
              <w:shd w:val="clear" w:color="auto" w:fill="auto"/>
              <w:spacing w:after="60" w:line="240" w:lineRule="auto"/>
              <w:jc w:val="left"/>
              <w:rPr>
                <w:rFonts w:ascii="Helvetica" w:eastAsia="Arial Unicode MS" w:hAnsi="Helvetica" w:cs="Arial Unicode MS"/>
                <w:b/>
                <w:color w:val="000000"/>
                <w:sz w:val="14"/>
                <w:szCs w:val="14"/>
                <w:lang w:val="en-US" w:bidi="en-US"/>
              </w:rPr>
            </w:pPr>
          </w:p>
        </w:tc>
        <w:tc>
          <w:tcPr>
            <w:tcW w:w="3816" w:type="dxa"/>
            <w:tcBorders>
              <w:top w:val="single" w:sz="4" w:space="0" w:color="auto"/>
              <w:left w:val="single" w:sz="4" w:space="0" w:color="auto"/>
              <w:bottom w:val="nil"/>
              <w:right w:val="nil"/>
            </w:tcBorders>
            <w:shd w:val="clear" w:color="auto" w:fill="E1E1E1"/>
            <w:tcMar>
              <w:top w:w="0" w:type="dxa"/>
              <w:left w:w="40" w:type="dxa"/>
              <w:bottom w:w="0" w:type="dxa"/>
              <w:right w:w="40" w:type="dxa"/>
            </w:tcMar>
            <w:hideMark/>
          </w:tcPr>
          <w:p w14:paraId="729CDCDB" w14:textId="77777777" w:rsidR="00A54846" w:rsidRDefault="008A2731">
            <w:pPr>
              <w:widowControl w:val="0"/>
              <w:shd w:val="clear" w:color="auto" w:fill="auto"/>
              <w:spacing w:after="60" w:line="240" w:lineRule="auto"/>
              <w:jc w:val="left"/>
              <w:rPr>
                <w:rFonts w:ascii="Helvetica" w:eastAsia="Arial Unicode MS" w:hAnsi="Helvetica" w:cs="Arial Unicode MS"/>
                <w:b/>
                <w:color w:val="000000"/>
                <w:sz w:val="14"/>
                <w:szCs w:val="14"/>
              </w:rPr>
            </w:pPr>
            <w:r>
              <w:rPr>
                <w:rFonts w:ascii="Helvetica" w:hAnsi="Helvetica"/>
                <w:b/>
                <w:color w:val="000000"/>
                <w:sz w:val="14"/>
              </w:rPr>
              <w:t>Samlet inntekt fra miljømessig bærekraftige tjenester og aktiviteter</w:t>
            </w:r>
          </w:p>
        </w:tc>
        <w:tc>
          <w:tcPr>
            <w:tcW w:w="923" w:type="dxa"/>
            <w:tcBorders>
              <w:top w:val="single" w:sz="4" w:space="0" w:color="auto"/>
              <w:left w:val="single" w:sz="4" w:space="0" w:color="auto"/>
              <w:bottom w:val="nil"/>
              <w:right w:val="nil"/>
            </w:tcBorders>
            <w:shd w:val="clear" w:color="auto" w:fill="E1E1E1"/>
            <w:tcMar>
              <w:top w:w="0" w:type="dxa"/>
              <w:left w:w="40" w:type="dxa"/>
              <w:bottom w:w="0" w:type="dxa"/>
              <w:right w:w="40" w:type="dxa"/>
            </w:tcMar>
            <w:hideMark/>
          </w:tcPr>
          <w:p w14:paraId="06D1AB7B" w14:textId="77777777" w:rsidR="00A54846" w:rsidRDefault="008A2731">
            <w:pPr>
              <w:widowControl w:val="0"/>
              <w:shd w:val="clear" w:color="auto" w:fill="auto"/>
              <w:spacing w:after="60" w:line="240" w:lineRule="auto"/>
              <w:jc w:val="left"/>
              <w:rPr>
                <w:rFonts w:ascii="Helvetica" w:eastAsia="Arial Unicode MS" w:hAnsi="Helvetica" w:cs="Arial Unicode MS"/>
                <w:b/>
                <w:color w:val="000000"/>
                <w:sz w:val="14"/>
                <w:szCs w:val="14"/>
              </w:rPr>
            </w:pPr>
            <w:r>
              <w:rPr>
                <w:rFonts w:ascii="Helvetica" w:hAnsi="Helvetica"/>
                <w:b/>
                <w:color w:val="000000"/>
                <w:sz w:val="14"/>
              </w:rPr>
              <w:t>KPI</w:t>
            </w:r>
          </w:p>
        </w:tc>
        <w:tc>
          <w:tcPr>
            <w:tcW w:w="923" w:type="dxa"/>
            <w:tcBorders>
              <w:top w:val="single" w:sz="4" w:space="0" w:color="auto"/>
              <w:left w:val="single" w:sz="4" w:space="0" w:color="auto"/>
              <w:bottom w:val="nil"/>
              <w:right w:val="nil"/>
            </w:tcBorders>
            <w:shd w:val="clear" w:color="auto" w:fill="E1E1E1"/>
            <w:tcMar>
              <w:top w:w="0" w:type="dxa"/>
              <w:left w:w="40" w:type="dxa"/>
              <w:bottom w:w="0" w:type="dxa"/>
              <w:right w:w="40" w:type="dxa"/>
            </w:tcMar>
            <w:hideMark/>
          </w:tcPr>
          <w:p w14:paraId="34AC5325" w14:textId="77777777" w:rsidR="00A54846" w:rsidRDefault="008A2731">
            <w:pPr>
              <w:widowControl w:val="0"/>
              <w:shd w:val="clear" w:color="auto" w:fill="auto"/>
              <w:spacing w:after="60" w:line="240" w:lineRule="auto"/>
              <w:jc w:val="left"/>
              <w:rPr>
                <w:rFonts w:ascii="Helvetica" w:eastAsia="Arial Unicode MS" w:hAnsi="Helvetica" w:cs="Arial Unicode MS"/>
                <w:b/>
                <w:color w:val="000000"/>
                <w:sz w:val="14"/>
                <w:szCs w:val="14"/>
              </w:rPr>
            </w:pPr>
            <w:r>
              <w:rPr>
                <w:rFonts w:ascii="Helvetica" w:hAnsi="Helvetica"/>
                <w:b/>
                <w:color w:val="000000"/>
                <w:sz w:val="14"/>
              </w:rPr>
              <w:t>KPI</w:t>
            </w:r>
          </w:p>
        </w:tc>
        <w:tc>
          <w:tcPr>
            <w:tcW w:w="2382" w:type="dxa"/>
            <w:tcBorders>
              <w:top w:val="single" w:sz="4" w:space="0" w:color="auto"/>
              <w:left w:val="single" w:sz="4" w:space="0" w:color="auto"/>
              <w:bottom w:val="nil"/>
              <w:right w:val="single" w:sz="4" w:space="0" w:color="auto"/>
            </w:tcBorders>
            <w:shd w:val="clear" w:color="auto" w:fill="E1E1E1"/>
            <w:tcMar>
              <w:top w:w="0" w:type="dxa"/>
              <w:left w:w="40" w:type="dxa"/>
              <w:bottom w:w="0" w:type="dxa"/>
              <w:right w:w="40" w:type="dxa"/>
            </w:tcMar>
            <w:hideMark/>
          </w:tcPr>
          <w:p w14:paraId="51FE7487" w14:textId="77777777" w:rsidR="00A54846" w:rsidRDefault="008A2731">
            <w:pPr>
              <w:widowControl w:val="0"/>
              <w:shd w:val="clear" w:color="auto" w:fill="auto"/>
              <w:spacing w:after="60" w:line="240" w:lineRule="auto"/>
              <w:jc w:val="left"/>
              <w:rPr>
                <w:rFonts w:ascii="Helvetica" w:eastAsia="Arial Unicode MS" w:hAnsi="Helvetica" w:cs="Arial Unicode MS"/>
                <w:b/>
                <w:color w:val="000000"/>
                <w:sz w:val="14"/>
                <w:szCs w:val="14"/>
              </w:rPr>
            </w:pPr>
            <w:r>
              <w:rPr>
                <w:rFonts w:ascii="Helvetica" w:hAnsi="Helvetica"/>
                <w:b/>
                <w:color w:val="000000"/>
                <w:sz w:val="14"/>
              </w:rPr>
              <w:t>% dekning (av samlede inntekter)</w:t>
            </w:r>
          </w:p>
        </w:tc>
      </w:tr>
      <w:tr w:rsidR="00A54846" w14:paraId="177D2FCC" w14:textId="77777777">
        <w:trPr>
          <w:trHeight w:val="374"/>
        </w:trPr>
        <w:tc>
          <w:tcPr>
            <w:tcW w:w="4400" w:type="dxa"/>
            <w:tcBorders>
              <w:top w:val="single" w:sz="4" w:space="0" w:color="auto"/>
              <w:left w:val="single" w:sz="4" w:space="0" w:color="auto"/>
              <w:bottom w:val="nil"/>
              <w:right w:val="nil"/>
            </w:tcBorders>
            <w:shd w:val="clear" w:color="auto" w:fill="FFFFFF"/>
            <w:tcMar>
              <w:top w:w="0" w:type="dxa"/>
              <w:left w:w="40" w:type="dxa"/>
              <w:bottom w:w="0" w:type="dxa"/>
              <w:right w:w="40" w:type="dxa"/>
            </w:tcMar>
            <w:hideMark/>
          </w:tcPr>
          <w:p w14:paraId="28C8BA11" w14:textId="77777777" w:rsidR="00A54846" w:rsidRDefault="008A2731">
            <w:pPr>
              <w:widowControl w:val="0"/>
              <w:shd w:val="clear" w:color="auto" w:fill="auto"/>
              <w:spacing w:after="60" w:line="240" w:lineRule="auto"/>
              <w:jc w:val="left"/>
              <w:rPr>
                <w:rFonts w:ascii="Helvetica" w:eastAsia="Arial Unicode MS" w:hAnsi="Helvetica" w:cs="Arial Unicode MS"/>
                <w:b/>
                <w:color w:val="000000"/>
                <w:sz w:val="14"/>
                <w:szCs w:val="14"/>
              </w:rPr>
            </w:pPr>
            <w:r>
              <w:rPr>
                <w:rFonts w:ascii="Helvetica" w:hAnsi="Helvetica"/>
                <w:b/>
                <w:color w:val="000000"/>
                <w:sz w:val="14"/>
              </w:rPr>
              <w:t>Hoved-KPI (for andre tjenester og aktiviteter enn handel for egen regning)</w:t>
            </w:r>
          </w:p>
        </w:tc>
        <w:tc>
          <w:tcPr>
            <w:tcW w:w="1601" w:type="dxa"/>
            <w:tcBorders>
              <w:top w:val="single" w:sz="4" w:space="0" w:color="auto"/>
              <w:left w:val="single" w:sz="4" w:space="0" w:color="auto"/>
              <w:bottom w:val="nil"/>
              <w:right w:val="nil"/>
            </w:tcBorders>
            <w:shd w:val="clear" w:color="auto" w:fill="FFFFFF"/>
            <w:tcMar>
              <w:top w:w="0" w:type="dxa"/>
              <w:left w:w="40" w:type="dxa"/>
              <w:bottom w:w="0" w:type="dxa"/>
              <w:right w:w="40" w:type="dxa"/>
            </w:tcMar>
            <w:hideMark/>
          </w:tcPr>
          <w:p w14:paraId="3796E8BB" w14:textId="77777777" w:rsidR="00A54846" w:rsidRDefault="008A2731">
            <w:pPr>
              <w:widowControl w:val="0"/>
              <w:shd w:val="clear" w:color="auto" w:fill="auto"/>
              <w:spacing w:after="60" w:line="240" w:lineRule="auto"/>
              <w:jc w:val="left"/>
              <w:rPr>
                <w:rFonts w:ascii="Helvetica" w:eastAsia="Arial Unicode MS" w:hAnsi="Helvetica" w:cs="Arial Unicode MS"/>
                <w:b/>
                <w:color w:val="000000"/>
                <w:sz w:val="14"/>
                <w:szCs w:val="14"/>
              </w:rPr>
            </w:pPr>
            <w:r>
              <w:rPr>
                <w:rFonts w:ascii="Helvetica" w:hAnsi="Helvetica"/>
                <w:b/>
                <w:color w:val="000000"/>
                <w:sz w:val="14"/>
              </w:rPr>
              <w:t>KPI for inntekter*</w:t>
            </w:r>
          </w:p>
        </w:tc>
        <w:tc>
          <w:tcPr>
            <w:tcW w:w="3816"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336B1D82" w14:textId="77777777" w:rsidR="00A54846" w:rsidRDefault="00A54846">
            <w:pPr>
              <w:widowControl w:val="0"/>
              <w:shd w:val="clear" w:color="auto" w:fill="auto"/>
              <w:spacing w:after="60" w:line="240" w:lineRule="auto"/>
              <w:jc w:val="left"/>
              <w:rPr>
                <w:rFonts w:ascii="Helvetica" w:eastAsia="Arial Unicode MS" w:hAnsi="Helvetica" w:cs="Arial Unicode MS"/>
                <w:b/>
                <w:color w:val="000000"/>
                <w:sz w:val="14"/>
                <w:szCs w:val="14"/>
                <w:lang w:val="en-US" w:bidi="en-US"/>
              </w:rPr>
            </w:pPr>
          </w:p>
        </w:tc>
        <w:tc>
          <w:tcPr>
            <w:tcW w:w="92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2F57DA52" w14:textId="77777777" w:rsidR="00A54846" w:rsidRDefault="00A54846">
            <w:pPr>
              <w:widowControl w:val="0"/>
              <w:shd w:val="clear" w:color="auto" w:fill="auto"/>
              <w:spacing w:after="60" w:line="240" w:lineRule="auto"/>
              <w:jc w:val="left"/>
              <w:rPr>
                <w:rFonts w:ascii="Helvetica" w:eastAsia="Arial Unicode MS" w:hAnsi="Helvetica" w:cs="Arial Unicode MS"/>
                <w:b/>
                <w:color w:val="000000"/>
                <w:sz w:val="14"/>
                <w:szCs w:val="14"/>
                <w:lang w:val="en-US" w:bidi="en-US"/>
              </w:rPr>
            </w:pPr>
          </w:p>
        </w:tc>
        <w:tc>
          <w:tcPr>
            <w:tcW w:w="923" w:type="dxa"/>
            <w:tcBorders>
              <w:top w:val="single" w:sz="4" w:space="0" w:color="auto"/>
              <w:left w:val="single" w:sz="4" w:space="0" w:color="auto"/>
              <w:bottom w:val="nil"/>
              <w:right w:val="nil"/>
            </w:tcBorders>
            <w:shd w:val="clear" w:color="auto" w:fill="FFFFFF"/>
            <w:tcMar>
              <w:top w:w="0" w:type="dxa"/>
              <w:left w:w="40" w:type="dxa"/>
              <w:bottom w:w="0" w:type="dxa"/>
              <w:right w:w="40" w:type="dxa"/>
            </w:tcMar>
          </w:tcPr>
          <w:p w14:paraId="585F4A50" w14:textId="77777777" w:rsidR="00A54846" w:rsidRDefault="00A54846">
            <w:pPr>
              <w:widowControl w:val="0"/>
              <w:shd w:val="clear" w:color="auto" w:fill="auto"/>
              <w:spacing w:after="60" w:line="240" w:lineRule="auto"/>
              <w:jc w:val="left"/>
              <w:rPr>
                <w:rFonts w:ascii="Helvetica" w:eastAsia="Arial Unicode MS" w:hAnsi="Helvetica" w:cs="Arial Unicode MS"/>
                <w:b/>
                <w:color w:val="000000"/>
                <w:sz w:val="14"/>
                <w:szCs w:val="14"/>
                <w:lang w:val="en-US" w:bidi="en-US"/>
              </w:rPr>
            </w:pPr>
          </w:p>
        </w:tc>
        <w:tc>
          <w:tcPr>
            <w:tcW w:w="2382" w:type="dxa"/>
            <w:tcBorders>
              <w:top w:val="single" w:sz="4" w:space="0" w:color="auto"/>
              <w:left w:val="single" w:sz="4" w:space="0" w:color="auto"/>
              <w:bottom w:val="nil"/>
              <w:right w:val="single" w:sz="4" w:space="0" w:color="auto"/>
            </w:tcBorders>
            <w:shd w:val="clear" w:color="auto" w:fill="FFFFFF"/>
            <w:tcMar>
              <w:top w:w="0" w:type="dxa"/>
              <w:left w:w="40" w:type="dxa"/>
              <w:bottom w:w="0" w:type="dxa"/>
              <w:right w:w="40" w:type="dxa"/>
            </w:tcMar>
          </w:tcPr>
          <w:p w14:paraId="5AB2C6B0" w14:textId="77777777" w:rsidR="00A54846" w:rsidRDefault="00A54846">
            <w:pPr>
              <w:widowControl w:val="0"/>
              <w:shd w:val="clear" w:color="auto" w:fill="auto"/>
              <w:spacing w:after="60" w:line="240" w:lineRule="auto"/>
              <w:jc w:val="left"/>
              <w:rPr>
                <w:rFonts w:ascii="Helvetica" w:eastAsia="Arial Unicode MS" w:hAnsi="Helvetica" w:cs="Arial Unicode MS"/>
                <w:b/>
                <w:color w:val="000000"/>
                <w:sz w:val="14"/>
                <w:szCs w:val="14"/>
                <w:lang w:val="en-US" w:bidi="en-US"/>
              </w:rPr>
            </w:pPr>
          </w:p>
        </w:tc>
      </w:tr>
      <w:tr w:rsidR="00A54846" w14:paraId="586FE339" w14:textId="77777777">
        <w:trPr>
          <w:trHeight w:val="877"/>
        </w:trPr>
        <w:tc>
          <w:tcPr>
            <w:tcW w:w="14048" w:type="dxa"/>
            <w:gridSpan w:val="6"/>
            <w:tcBorders>
              <w:top w:val="single" w:sz="4" w:space="0" w:color="auto"/>
              <w:left w:val="nil"/>
              <w:bottom w:val="nil"/>
              <w:right w:val="nil"/>
            </w:tcBorders>
            <w:shd w:val="clear" w:color="auto" w:fill="FFFFFF"/>
            <w:tcMar>
              <w:top w:w="0" w:type="dxa"/>
              <w:left w:w="40" w:type="dxa"/>
              <w:bottom w:w="0" w:type="dxa"/>
              <w:right w:w="40" w:type="dxa"/>
            </w:tcMar>
            <w:vAlign w:val="bottom"/>
            <w:hideMark/>
          </w:tcPr>
          <w:p w14:paraId="389F6121" w14:textId="77777777" w:rsidR="00A54846" w:rsidRDefault="008A2731">
            <w:pPr>
              <w:widowControl w:val="0"/>
              <w:shd w:val="clear" w:color="auto" w:fill="auto"/>
              <w:spacing w:after="80" w:line="240" w:lineRule="auto"/>
              <w:jc w:val="left"/>
              <w:rPr>
                <w:rFonts w:ascii="Helvetica" w:eastAsia="Arial Unicode MS" w:hAnsi="Helvetica" w:cs="Arial Unicode MS"/>
                <w:color w:val="000000"/>
                <w:sz w:val="14"/>
                <w:szCs w:val="14"/>
              </w:rPr>
            </w:pPr>
            <w:r>
              <w:rPr>
                <w:rFonts w:ascii="Helvetica" w:hAnsi="Helvetica"/>
                <w:color w:val="000000"/>
                <w:sz w:val="14"/>
              </w:rPr>
              <w:t>*gebyrer, provisjoner og andre pengeytelser</w:t>
            </w:r>
          </w:p>
          <w:p w14:paraId="555DF56B" w14:textId="77777777" w:rsidR="00A54846" w:rsidRDefault="008A2731">
            <w:pPr>
              <w:widowControl w:val="0"/>
              <w:shd w:val="clear" w:color="auto" w:fill="auto"/>
              <w:spacing w:after="80" w:line="240" w:lineRule="auto"/>
              <w:jc w:val="left"/>
              <w:rPr>
                <w:rFonts w:ascii="Helvetica" w:eastAsia="Arial Unicode MS" w:hAnsi="Helvetica" w:cs="Arial Unicode MS"/>
                <w:color w:val="000000"/>
                <w:sz w:val="14"/>
                <w:szCs w:val="14"/>
              </w:rPr>
            </w:pPr>
            <w:r>
              <w:rPr>
                <w:rFonts w:ascii="Helvetica" w:hAnsi="Helvetica"/>
                <w:color w:val="000000"/>
                <w:sz w:val="14"/>
              </w:rPr>
              <w:t>** % av eiendelene KPI-en dekker av samlede eiendeler</w:t>
            </w:r>
          </w:p>
          <w:p w14:paraId="109D0030" w14:textId="77777777" w:rsidR="00A54846" w:rsidRDefault="008A2731">
            <w:pPr>
              <w:widowControl w:val="0"/>
              <w:shd w:val="clear" w:color="auto" w:fill="auto"/>
              <w:spacing w:after="80" w:line="240" w:lineRule="auto"/>
              <w:jc w:val="left"/>
              <w:rPr>
                <w:rFonts w:ascii="Helvetica" w:eastAsia="Arial Unicode MS" w:hAnsi="Helvetica" w:cs="Arial Unicode MS"/>
                <w:color w:val="000000"/>
                <w:sz w:val="14"/>
                <w:szCs w:val="14"/>
              </w:rPr>
            </w:pPr>
            <w:r>
              <w:rPr>
                <w:rFonts w:ascii="Helvetica" w:hAnsi="Helvetica"/>
                <w:color w:val="000000"/>
                <w:sz w:val="14"/>
              </w:rPr>
              <w:t>***basert på motpartens KPI for omsetning</w:t>
            </w:r>
          </w:p>
          <w:p w14:paraId="721CDDA4"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4"/>
                <w:szCs w:val="14"/>
              </w:rPr>
            </w:pPr>
            <w:r>
              <w:rPr>
                <w:rFonts w:ascii="Helvetica" w:hAnsi="Helvetica"/>
                <w:color w:val="000000"/>
                <w:sz w:val="14"/>
              </w:rPr>
              <w:t>****basert på motpartens KPI for investeringsutgifter</w:t>
            </w:r>
          </w:p>
        </w:tc>
      </w:tr>
    </w:tbl>
    <w:p w14:paraId="576CEB48" w14:textId="77777777" w:rsidR="00A54846" w:rsidRDefault="00A54846">
      <w:pPr>
        <w:pStyle w:val="Para"/>
        <w:spacing w:line="240" w:lineRule="auto"/>
        <w:jc w:val="left"/>
      </w:pPr>
    </w:p>
    <w:p w14:paraId="088B0060" w14:textId="77777777" w:rsidR="00A54846" w:rsidRDefault="008A2731">
      <w:pPr>
        <w:shd w:val="clear" w:color="auto" w:fill="auto"/>
        <w:jc w:val="left"/>
        <w:rPr>
          <w:color w:val="auto"/>
          <w14:ligatures w14:val="standard"/>
        </w:rPr>
      </w:pPr>
      <w:r>
        <w:br w:type="page"/>
      </w:r>
    </w:p>
    <w:p w14:paraId="579A26D5" w14:textId="77777777" w:rsidR="00A54846" w:rsidRDefault="008A2731">
      <w:pPr>
        <w:pStyle w:val="AnnexNumberedText"/>
        <w:ind w:left="279" w:hanging="279"/>
      </w:pPr>
      <w:r>
        <w:lastRenderedPageBreak/>
        <w:t>1.</w:t>
      </w:r>
      <w:r>
        <w:rPr>
          <w:b/>
        </w:rPr>
        <w:tab/>
        <w:t>KPI for verdipapirforetak – Tjenester ved handel for egen regning</w:t>
      </w:r>
    </w:p>
    <w:tbl>
      <w:tblPr>
        <w:tblOverlap w:val="never"/>
        <w:tblW w:w="0" w:type="auto"/>
        <w:tblInd w:w="316" w:type="dxa"/>
        <w:tblLayout w:type="fixed"/>
        <w:tblCellMar>
          <w:left w:w="10" w:type="dxa"/>
          <w:right w:w="10" w:type="dxa"/>
        </w:tblCellMar>
        <w:tblLook w:val="04A0" w:firstRow="1" w:lastRow="0" w:firstColumn="1" w:lastColumn="0" w:noHBand="0" w:noVBand="1"/>
      </w:tblPr>
      <w:tblGrid>
        <w:gridCol w:w="323"/>
        <w:gridCol w:w="1784"/>
        <w:gridCol w:w="1043"/>
        <w:gridCol w:w="1086"/>
        <w:gridCol w:w="294"/>
        <w:gridCol w:w="323"/>
        <w:gridCol w:w="1502"/>
        <w:gridCol w:w="1152"/>
        <w:gridCol w:w="309"/>
        <w:gridCol w:w="323"/>
        <w:gridCol w:w="1502"/>
        <w:gridCol w:w="1159"/>
        <w:gridCol w:w="301"/>
        <w:gridCol w:w="244"/>
        <w:gridCol w:w="1517"/>
        <w:gridCol w:w="1172"/>
        <w:gridCol w:w="7"/>
      </w:tblGrid>
      <w:tr w:rsidR="00A54846" w14:paraId="37C1BF3D" w14:textId="77777777">
        <w:trPr>
          <w:gridAfter w:val="1"/>
          <w:wAfter w:w="7" w:type="dxa"/>
          <w:trHeight w:val="161"/>
        </w:trPr>
        <w:tc>
          <w:tcPr>
            <w:tcW w:w="323" w:type="dxa"/>
            <w:shd w:val="clear" w:color="auto" w:fill="FFFFFF"/>
            <w:tcMar>
              <w:top w:w="40" w:type="dxa"/>
              <w:left w:w="40" w:type="dxa"/>
              <w:bottom w:w="40" w:type="dxa"/>
              <w:right w:w="40" w:type="dxa"/>
            </w:tcMar>
          </w:tcPr>
          <w:p w14:paraId="4FD0AFEA"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1784" w:type="dxa"/>
            <w:shd w:val="clear" w:color="auto" w:fill="FFFFFF"/>
            <w:tcMar>
              <w:top w:w="40" w:type="dxa"/>
              <w:left w:w="40" w:type="dxa"/>
              <w:bottom w:w="40" w:type="dxa"/>
              <w:right w:w="40" w:type="dxa"/>
            </w:tcMar>
          </w:tcPr>
          <w:p w14:paraId="13F98B7D"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1043"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6768E7F7"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a</w:t>
            </w:r>
          </w:p>
        </w:tc>
        <w:tc>
          <w:tcPr>
            <w:tcW w:w="1086"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3E97D95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b</w:t>
            </w:r>
          </w:p>
        </w:tc>
        <w:tc>
          <w:tcPr>
            <w:tcW w:w="294"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627A3DB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c</w:t>
            </w:r>
          </w:p>
        </w:tc>
        <w:tc>
          <w:tcPr>
            <w:tcW w:w="323"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069F790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d</w:t>
            </w:r>
          </w:p>
        </w:tc>
        <w:tc>
          <w:tcPr>
            <w:tcW w:w="1502"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2EF263DF"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e</w:t>
            </w:r>
          </w:p>
        </w:tc>
        <w:tc>
          <w:tcPr>
            <w:tcW w:w="1150"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23EE3E8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f</w:t>
            </w:r>
          </w:p>
        </w:tc>
        <w:tc>
          <w:tcPr>
            <w:tcW w:w="309"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05E26737"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g</w:t>
            </w:r>
          </w:p>
        </w:tc>
        <w:tc>
          <w:tcPr>
            <w:tcW w:w="323"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599E611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h</w:t>
            </w:r>
          </w:p>
        </w:tc>
        <w:tc>
          <w:tcPr>
            <w:tcW w:w="1502"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2BFFFE2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i</w:t>
            </w:r>
          </w:p>
        </w:tc>
        <w:tc>
          <w:tcPr>
            <w:tcW w:w="1157"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16C62AF6"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j</w:t>
            </w:r>
          </w:p>
        </w:tc>
        <w:tc>
          <w:tcPr>
            <w:tcW w:w="301"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4B6ADE7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k</w:t>
            </w:r>
          </w:p>
        </w:tc>
        <w:tc>
          <w:tcPr>
            <w:tcW w:w="244"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5DE50618"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l</w:t>
            </w:r>
          </w:p>
        </w:tc>
        <w:tc>
          <w:tcPr>
            <w:tcW w:w="1517"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3627AD8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m</w:t>
            </w:r>
          </w:p>
        </w:tc>
        <w:tc>
          <w:tcPr>
            <w:tcW w:w="1172" w:type="dxa"/>
            <w:tcBorders>
              <w:top w:val="single" w:sz="4" w:space="0" w:color="auto"/>
              <w:left w:val="single" w:sz="4" w:space="0" w:color="auto"/>
              <w:bottom w:val="nil"/>
              <w:right w:val="single" w:sz="4" w:space="0" w:color="auto"/>
            </w:tcBorders>
            <w:shd w:val="clear" w:color="auto" w:fill="FFFFFF"/>
            <w:tcMar>
              <w:top w:w="40" w:type="dxa"/>
              <w:left w:w="40" w:type="dxa"/>
              <w:bottom w:w="40" w:type="dxa"/>
              <w:right w:w="40" w:type="dxa"/>
            </w:tcMar>
            <w:vAlign w:val="center"/>
            <w:hideMark/>
          </w:tcPr>
          <w:p w14:paraId="2B38A94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m</w:t>
            </w:r>
          </w:p>
        </w:tc>
      </w:tr>
      <w:tr w:rsidR="00A54846" w14:paraId="05F37121" w14:textId="77777777">
        <w:trPr>
          <w:trHeight w:val="479"/>
        </w:trPr>
        <w:tc>
          <w:tcPr>
            <w:tcW w:w="323" w:type="dxa"/>
            <w:tcBorders>
              <w:top w:val="nil"/>
              <w:left w:val="single" w:sz="4" w:space="0" w:color="auto"/>
              <w:bottom w:val="nil"/>
              <w:right w:val="nil"/>
            </w:tcBorders>
            <w:shd w:val="clear" w:color="auto" w:fill="FFFFFF"/>
            <w:tcMar>
              <w:top w:w="40" w:type="dxa"/>
              <w:left w:w="40" w:type="dxa"/>
              <w:bottom w:w="40" w:type="dxa"/>
              <w:right w:w="40" w:type="dxa"/>
            </w:tcMar>
          </w:tcPr>
          <w:p w14:paraId="1ED2497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784"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04597749"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043"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7741D434"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086"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3376C0EF"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9801" w:type="dxa"/>
            <w:gridSpan w:val="13"/>
            <w:tcBorders>
              <w:top w:val="single" w:sz="4" w:space="0" w:color="auto"/>
              <w:left w:val="single" w:sz="4" w:space="0" w:color="auto"/>
              <w:bottom w:val="nil"/>
              <w:right w:val="single" w:sz="4" w:space="0" w:color="auto"/>
            </w:tcBorders>
            <w:shd w:val="clear" w:color="auto" w:fill="FFFFFF"/>
            <w:tcMar>
              <w:top w:w="40" w:type="dxa"/>
              <w:left w:w="40" w:type="dxa"/>
              <w:bottom w:w="40" w:type="dxa"/>
              <w:right w:w="40" w:type="dxa"/>
            </w:tcMar>
          </w:tcPr>
          <w:p w14:paraId="6DD455FB"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r>
      <w:tr w:rsidR="00A54846" w14:paraId="4A204051" w14:textId="77777777">
        <w:trPr>
          <w:trHeight w:val="171"/>
        </w:trPr>
        <w:tc>
          <w:tcPr>
            <w:tcW w:w="323" w:type="dxa"/>
            <w:tcBorders>
              <w:top w:val="nil"/>
              <w:left w:val="single" w:sz="4" w:space="0" w:color="auto"/>
              <w:bottom w:val="nil"/>
              <w:right w:val="nil"/>
            </w:tcBorders>
            <w:shd w:val="clear" w:color="auto" w:fill="FFFFFF"/>
            <w:tcMar>
              <w:top w:w="40" w:type="dxa"/>
              <w:left w:w="40" w:type="dxa"/>
              <w:bottom w:w="40" w:type="dxa"/>
              <w:right w:w="40" w:type="dxa"/>
            </w:tcMar>
          </w:tcPr>
          <w:p w14:paraId="6747A4A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784" w:type="dxa"/>
            <w:tcBorders>
              <w:top w:val="nil"/>
              <w:left w:val="single" w:sz="4" w:space="0" w:color="auto"/>
              <w:bottom w:val="nil"/>
              <w:right w:val="nil"/>
            </w:tcBorders>
            <w:shd w:val="clear" w:color="auto" w:fill="FFFFFF"/>
            <w:tcMar>
              <w:top w:w="40" w:type="dxa"/>
              <w:left w:w="40" w:type="dxa"/>
              <w:bottom w:w="40" w:type="dxa"/>
              <w:right w:w="40" w:type="dxa"/>
            </w:tcMar>
          </w:tcPr>
          <w:p w14:paraId="428568B3"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043" w:type="dxa"/>
            <w:tcBorders>
              <w:top w:val="nil"/>
              <w:left w:val="single" w:sz="4" w:space="0" w:color="auto"/>
              <w:bottom w:val="nil"/>
              <w:right w:val="nil"/>
            </w:tcBorders>
            <w:shd w:val="clear" w:color="auto" w:fill="FFFFFF"/>
            <w:tcMar>
              <w:top w:w="40" w:type="dxa"/>
              <w:left w:w="40" w:type="dxa"/>
              <w:bottom w:w="40" w:type="dxa"/>
              <w:right w:w="40" w:type="dxa"/>
            </w:tcMar>
          </w:tcPr>
          <w:p w14:paraId="130E6B6E"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086" w:type="dxa"/>
            <w:tcBorders>
              <w:top w:val="nil"/>
              <w:left w:val="single" w:sz="4" w:space="0" w:color="auto"/>
              <w:bottom w:val="nil"/>
              <w:right w:val="nil"/>
            </w:tcBorders>
            <w:shd w:val="clear" w:color="auto" w:fill="FFFFFF"/>
            <w:tcMar>
              <w:top w:w="40" w:type="dxa"/>
              <w:left w:w="40" w:type="dxa"/>
              <w:bottom w:w="40" w:type="dxa"/>
              <w:right w:w="40" w:type="dxa"/>
            </w:tcMar>
          </w:tcPr>
          <w:p w14:paraId="2B3C0A9E"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3271" w:type="dxa"/>
            <w:gridSpan w:val="4"/>
            <w:tcBorders>
              <w:top w:val="single" w:sz="4" w:space="0" w:color="auto"/>
              <w:left w:val="single" w:sz="4" w:space="0" w:color="auto"/>
              <w:bottom w:val="nil"/>
              <w:right w:val="nil"/>
            </w:tcBorders>
            <w:shd w:val="clear" w:color="auto" w:fill="B5B5B5"/>
            <w:tcMar>
              <w:top w:w="40" w:type="dxa"/>
              <w:left w:w="40" w:type="dxa"/>
              <w:bottom w:w="40" w:type="dxa"/>
              <w:right w:w="40" w:type="dxa"/>
            </w:tcMar>
            <w:hideMark/>
          </w:tcPr>
          <w:p w14:paraId="397016F5"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14"/>
                <w:szCs w:val="14"/>
              </w:rPr>
            </w:pPr>
            <w:r>
              <w:rPr>
                <w:rFonts w:ascii="Helvetica" w:hAnsi="Helvetica"/>
                <w:b/>
                <w:color w:val="000000"/>
                <w:sz w:val="14"/>
              </w:rPr>
              <w:t>Begrensning av klimaendringer</w:t>
            </w:r>
          </w:p>
        </w:tc>
        <w:tc>
          <w:tcPr>
            <w:tcW w:w="3293" w:type="dxa"/>
            <w:gridSpan w:val="4"/>
            <w:tcBorders>
              <w:top w:val="single" w:sz="4" w:space="0" w:color="auto"/>
              <w:left w:val="single" w:sz="4" w:space="0" w:color="auto"/>
              <w:bottom w:val="nil"/>
              <w:right w:val="nil"/>
            </w:tcBorders>
            <w:shd w:val="clear" w:color="auto" w:fill="B5B5B5"/>
            <w:tcMar>
              <w:top w:w="40" w:type="dxa"/>
              <w:left w:w="40" w:type="dxa"/>
              <w:bottom w:w="40" w:type="dxa"/>
              <w:right w:w="40" w:type="dxa"/>
            </w:tcMar>
            <w:hideMark/>
          </w:tcPr>
          <w:p w14:paraId="1C2D7A64"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14"/>
                <w:szCs w:val="14"/>
              </w:rPr>
            </w:pPr>
            <w:r>
              <w:rPr>
                <w:rFonts w:ascii="Helvetica" w:hAnsi="Helvetica"/>
                <w:b/>
                <w:color w:val="000000"/>
                <w:sz w:val="14"/>
              </w:rPr>
              <w:t>Tilpasning til klimaendringer</w:t>
            </w:r>
          </w:p>
        </w:tc>
        <w:tc>
          <w:tcPr>
            <w:tcW w:w="3235" w:type="dxa"/>
            <w:gridSpan w:val="5"/>
            <w:tcBorders>
              <w:top w:val="single" w:sz="4" w:space="0" w:color="auto"/>
              <w:left w:val="single" w:sz="4" w:space="0" w:color="auto"/>
              <w:bottom w:val="nil"/>
              <w:right w:val="single" w:sz="4" w:space="0" w:color="auto"/>
            </w:tcBorders>
            <w:shd w:val="clear" w:color="auto" w:fill="B5B5B5"/>
            <w:tcMar>
              <w:top w:w="40" w:type="dxa"/>
              <w:left w:w="40" w:type="dxa"/>
              <w:bottom w:w="40" w:type="dxa"/>
              <w:right w:w="40" w:type="dxa"/>
            </w:tcMar>
            <w:hideMark/>
          </w:tcPr>
          <w:p w14:paraId="17BD0973"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14"/>
                <w:szCs w:val="14"/>
              </w:rPr>
            </w:pPr>
            <w:r>
              <w:rPr>
                <w:rFonts w:ascii="Helvetica" w:hAnsi="Helvetica"/>
                <w:b/>
                <w:color w:val="000000"/>
                <w:sz w:val="14"/>
              </w:rPr>
              <w:t>SUM (begrensning + tilpasning)</w:t>
            </w:r>
          </w:p>
        </w:tc>
      </w:tr>
      <w:tr w:rsidR="00A54846" w14:paraId="1B08D620" w14:textId="77777777">
        <w:trPr>
          <w:trHeight w:val="442"/>
        </w:trPr>
        <w:tc>
          <w:tcPr>
            <w:tcW w:w="323" w:type="dxa"/>
            <w:tcBorders>
              <w:top w:val="nil"/>
              <w:left w:val="single" w:sz="4" w:space="0" w:color="auto"/>
              <w:bottom w:val="nil"/>
              <w:right w:val="nil"/>
            </w:tcBorders>
            <w:shd w:val="clear" w:color="auto" w:fill="FFFFFF"/>
            <w:tcMar>
              <w:top w:w="40" w:type="dxa"/>
              <w:left w:w="40" w:type="dxa"/>
              <w:bottom w:w="40" w:type="dxa"/>
              <w:right w:w="40" w:type="dxa"/>
            </w:tcMar>
          </w:tcPr>
          <w:p w14:paraId="52503E7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784" w:type="dxa"/>
            <w:tcBorders>
              <w:top w:val="nil"/>
              <w:left w:val="single" w:sz="4" w:space="0" w:color="auto"/>
              <w:bottom w:val="nil"/>
              <w:right w:val="nil"/>
            </w:tcBorders>
            <w:shd w:val="clear" w:color="auto" w:fill="FFFFFF"/>
            <w:tcMar>
              <w:top w:w="40" w:type="dxa"/>
              <w:left w:w="40" w:type="dxa"/>
              <w:bottom w:w="40" w:type="dxa"/>
              <w:right w:w="40" w:type="dxa"/>
            </w:tcMar>
          </w:tcPr>
          <w:p w14:paraId="6B79294E"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043" w:type="dxa"/>
            <w:tcBorders>
              <w:top w:val="nil"/>
              <w:left w:val="single" w:sz="4" w:space="0" w:color="auto"/>
              <w:bottom w:val="nil"/>
              <w:right w:val="nil"/>
            </w:tcBorders>
            <w:shd w:val="clear" w:color="auto" w:fill="FFFFFF"/>
            <w:tcMar>
              <w:top w:w="40" w:type="dxa"/>
              <w:left w:w="40" w:type="dxa"/>
              <w:bottom w:w="40" w:type="dxa"/>
              <w:right w:w="40" w:type="dxa"/>
            </w:tcMar>
            <w:vAlign w:val="bottom"/>
            <w:hideMark/>
          </w:tcPr>
          <w:p w14:paraId="22327984"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Sum (millioner euro)</w:t>
            </w:r>
          </w:p>
        </w:tc>
        <w:tc>
          <w:tcPr>
            <w:tcW w:w="1086" w:type="dxa"/>
            <w:vMerge w:val="restart"/>
            <w:tcBorders>
              <w:top w:val="nil"/>
              <w:left w:val="single" w:sz="4" w:space="0" w:color="auto"/>
              <w:bottom w:val="nil"/>
              <w:right w:val="nil"/>
            </w:tcBorders>
            <w:shd w:val="clear" w:color="auto" w:fill="FFFFFF"/>
            <w:tcMar>
              <w:top w:w="40" w:type="dxa"/>
              <w:left w:w="40" w:type="dxa"/>
              <w:bottom w:w="40" w:type="dxa"/>
              <w:right w:w="40" w:type="dxa"/>
            </w:tcMar>
            <w:vAlign w:val="bottom"/>
            <w:hideMark/>
          </w:tcPr>
          <w:p w14:paraId="056C9140"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14"/>
                <w:szCs w:val="14"/>
              </w:rPr>
            </w:pPr>
            <w:r>
              <w:rPr>
                <w:rFonts w:ascii="Helvetica" w:hAnsi="Helvetica"/>
                <w:b/>
                <w:color w:val="000000"/>
                <w:sz w:val="14"/>
              </w:rPr>
              <w:t>Hvorav dekket av KPI-en (millioner euro)</w:t>
            </w:r>
          </w:p>
        </w:tc>
        <w:tc>
          <w:tcPr>
            <w:tcW w:w="3271" w:type="dxa"/>
            <w:gridSpan w:val="4"/>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310D04F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Hvorav eiendeler dekket av EU-taksonomien (%) (omfattet av taksonomien)</w:t>
            </w:r>
          </w:p>
        </w:tc>
        <w:tc>
          <w:tcPr>
            <w:tcW w:w="3293" w:type="dxa"/>
            <w:gridSpan w:val="4"/>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5B85355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Hvorav eiendeler dekket av EU-taksonomien (%) (omfattet av taksonomien)</w:t>
            </w:r>
          </w:p>
        </w:tc>
        <w:tc>
          <w:tcPr>
            <w:tcW w:w="3235" w:type="dxa"/>
            <w:gridSpan w:val="5"/>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205C969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Hvorav eiendeler dekket av EU-taksonomien (%) (omfattet av taksonomien)</w:t>
            </w:r>
          </w:p>
        </w:tc>
      </w:tr>
      <w:tr w:rsidR="00A54846" w14:paraId="2E64D043" w14:textId="77777777">
        <w:trPr>
          <w:trHeight w:val="491"/>
        </w:trPr>
        <w:tc>
          <w:tcPr>
            <w:tcW w:w="323" w:type="dxa"/>
            <w:tcBorders>
              <w:top w:val="nil"/>
              <w:left w:val="single" w:sz="4" w:space="0" w:color="auto"/>
              <w:bottom w:val="nil"/>
              <w:right w:val="nil"/>
            </w:tcBorders>
            <w:shd w:val="clear" w:color="auto" w:fill="FFFFFF"/>
            <w:tcMar>
              <w:top w:w="40" w:type="dxa"/>
              <w:left w:w="40" w:type="dxa"/>
              <w:bottom w:w="40" w:type="dxa"/>
              <w:right w:w="40" w:type="dxa"/>
            </w:tcMar>
          </w:tcPr>
          <w:p w14:paraId="3D0B4BD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784" w:type="dxa"/>
            <w:tcBorders>
              <w:top w:val="nil"/>
              <w:left w:val="single" w:sz="4" w:space="0" w:color="auto"/>
              <w:bottom w:val="nil"/>
              <w:right w:val="nil"/>
            </w:tcBorders>
            <w:shd w:val="clear" w:color="auto" w:fill="FFFFFF"/>
            <w:tcMar>
              <w:top w:w="40" w:type="dxa"/>
              <w:left w:w="40" w:type="dxa"/>
              <w:bottom w:w="40" w:type="dxa"/>
              <w:right w:w="40" w:type="dxa"/>
            </w:tcMar>
          </w:tcPr>
          <w:p w14:paraId="756A26A3"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1043" w:type="dxa"/>
            <w:tcBorders>
              <w:top w:val="nil"/>
              <w:left w:val="single" w:sz="4" w:space="0" w:color="auto"/>
              <w:bottom w:val="nil"/>
              <w:right w:val="nil"/>
            </w:tcBorders>
            <w:shd w:val="clear" w:color="auto" w:fill="FFFFFF"/>
            <w:tcMar>
              <w:top w:w="40" w:type="dxa"/>
              <w:left w:w="40" w:type="dxa"/>
              <w:bottom w:w="40" w:type="dxa"/>
              <w:right w:w="40" w:type="dxa"/>
            </w:tcMar>
          </w:tcPr>
          <w:p w14:paraId="045934C1"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1086" w:type="dxa"/>
            <w:vMerge/>
            <w:tcBorders>
              <w:top w:val="nil"/>
              <w:left w:val="single" w:sz="4" w:space="0" w:color="auto"/>
              <w:bottom w:val="nil"/>
              <w:right w:val="nil"/>
            </w:tcBorders>
            <w:vAlign w:val="center"/>
            <w:hideMark/>
          </w:tcPr>
          <w:p w14:paraId="6D49753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b/>
                <w:color w:val="000000"/>
                <w:sz w:val="14"/>
                <w:szCs w:val="14"/>
                <w:lang w:bidi="en-US"/>
              </w:rPr>
            </w:pPr>
          </w:p>
        </w:tc>
        <w:tc>
          <w:tcPr>
            <w:tcW w:w="294" w:type="dxa"/>
            <w:tcBorders>
              <w:top w:val="nil"/>
              <w:left w:val="single" w:sz="4" w:space="0" w:color="auto"/>
              <w:bottom w:val="nil"/>
              <w:right w:val="nil"/>
            </w:tcBorders>
            <w:shd w:val="clear" w:color="auto" w:fill="FFFFFF"/>
            <w:tcMar>
              <w:top w:w="40" w:type="dxa"/>
              <w:left w:w="40" w:type="dxa"/>
              <w:bottom w:w="40" w:type="dxa"/>
              <w:right w:w="40" w:type="dxa"/>
            </w:tcMar>
          </w:tcPr>
          <w:p w14:paraId="3622225C"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2977" w:type="dxa"/>
            <w:gridSpan w:val="3"/>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568CEE93"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Hvorav knyttet til aktiviteter som er forenlige med EU-taksonomien (%) (taksonomiforenlige)</w:t>
            </w:r>
          </w:p>
        </w:tc>
        <w:tc>
          <w:tcPr>
            <w:tcW w:w="309" w:type="dxa"/>
            <w:tcBorders>
              <w:top w:val="nil"/>
              <w:left w:val="single" w:sz="4" w:space="0" w:color="auto"/>
              <w:bottom w:val="nil"/>
              <w:right w:val="nil"/>
            </w:tcBorders>
            <w:shd w:val="clear" w:color="auto" w:fill="FFFFFF"/>
            <w:tcMar>
              <w:top w:w="40" w:type="dxa"/>
              <w:left w:w="40" w:type="dxa"/>
              <w:bottom w:w="40" w:type="dxa"/>
              <w:right w:w="40" w:type="dxa"/>
            </w:tcMar>
          </w:tcPr>
          <w:p w14:paraId="77A95E5B"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2984" w:type="dxa"/>
            <w:gridSpan w:val="3"/>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3795CAE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Hvorav knyttet til aktiviteter som er forenlige med EU-taksonomien (%) (taksonomiforenlige)</w:t>
            </w:r>
          </w:p>
        </w:tc>
        <w:tc>
          <w:tcPr>
            <w:tcW w:w="301" w:type="dxa"/>
            <w:tcBorders>
              <w:top w:val="nil"/>
              <w:left w:val="single" w:sz="4" w:space="0" w:color="auto"/>
              <w:bottom w:val="nil"/>
              <w:right w:val="nil"/>
            </w:tcBorders>
            <w:shd w:val="clear" w:color="auto" w:fill="FFFFFF"/>
            <w:tcMar>
              <w:top w:w="40" w:type="dxa"/>
              <w:left w:w="40" w:type="dxa"/>
              <w:bottom w:w="40" w:type="dxa"/>
              <w:right w:w="40" w:type="dxa"/>
            </w:tcMar>
          </w:tcPr>
          <w:p w14:paraId="08961E3F"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2934" w:type="dxa"/>
            <w:gridSpan w:val="4"/>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021302F3"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Hvorav knyttet til aktiviteter som er forenlige med EU-taksonomien (%) (taksonomiforenlige)</w:t>
            </w:r>
          </w:p>
        </w:tc>
      </w:tr>
      <w:tr w:rsidR="00A54846" w14:paraId="2950A101" w14:textId="77777777">
        <w:trPr>
          <w:gridAfter w:val="1"/>
          <w:wAfter w:w="7" w:type="dxa"/>
          <w:trHeight w:val="418"/>
        </w:trPr>
        <w:tc>
          <w:tcPr>
            <w:tcW w:w="323" w:type="dxa"/>
            <w:tcBorders>
              <w:top w:val="nil"/>
              <w:left w:val="single" w:sz="4" w:space="0" w:color="auto"/>
              <w:bottom w:val="nil"/>
              <w:right w:val="nil"/>
            </w:tcBorders>
            <w:shd w:val="clear" w:color="auto" w:fill="FFFFFF"/>
            <w:tcMar>
              <w:top w:w="40" w:type="dxa"/>
              <w:left w:w="40" w:type="dxa"/>
              <w:bottom w:w="40" w:type="dxa"/>
              <w:right w:w="40" w:type="dxa"/>
            </w:tcMar>
          </w:tcPr>
          <w:p w14:paraId="6C9665B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784" w:type="dxa"/>
            <w:tcBorders>
              <w:top w:val="nil"/>
              <w:left w:val="single" w:sz="4" w:space="0" w:color="auto"/>
              <w:bottom w:val="nil"/>
              <w:right w:val="nil"/>
            </w:tcBorders>
            <w:shd w:val="clear" w:color="auto" w:fill="FFFFFF"/>
            <w:tcMar>
              <w:top w:w="40" w:type="dxa"/>
              <w:left w:w="40" w:type="dxa"/>
              <w:bottom w:w="40" w:type="dxa"/>
              <w:right w:w="40" w:type="dxa"/>
            </w:tcMar>
          </w:tcPr>
          <w:p w14:paraId="60C92A58"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1043" w:type="dxa"/>
            <w:tcBorders>
              <w:top w:val="nil"/>
              <w:left w:val="single" w:sz="4" w:space="0" w:color="auto"/>
              <w:bottom w:val="nil"/>
              <w:right w:val="nil"/>
            </w:tcBorders>
            <w:shd w:val="clear" w:color="auto" w:fill="FFFFFF"/>
            <w:tcMar>
              <w:top w:w="40" w:type="dxa"/>
              <w:left w:w="40" w:type="dxa"/>
              <w:bottom w:w="40" w:type="dxa"/>
              <w:right w:w="40" w:type="dxa"/>
            </w:tcMar>
          </w:tcPr>
          <w:p w14:paraId="206A5E64"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1086" w:type="dxa"/>
            <w:tcBorders>
              <w:top w:val="nil"/>
              <w:left w:val="single" w:sz="4" w:space="0" w:color="auto"/>
              <w:bottom w:val="nil"/>
              <w:right w:val="nil"/>
            </w:tcBorders>
            <w:shd w:val="clear" w:color="auto" w:fill="FFFFFF"/>
            <w:tcMar>
              <w:top w:w="40" w:type="dxa"/>
              <w:left w:w="40" w:type="dxa"/>
              <w:bottom w:w="40" w:type="dxa"/>
              <w:right w:w="40" w:type="dxa"/>
            </w:tcMar>
          </w:tcPr>
          <w:p w14:paraId="2BB3F5CD"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294" w:type="dxa"/>
            <w:tcBorders>
              <w:top w:val="nil"/>
              <w:left w:val="single" w:sz="4" w:space="0" w:color="auto"/>
              <w:bottom w:val="nil"/>
              <w:right w:val="nil"/>
            </w:tcBorders>
            <w:shd w:val="clear" w:color="auto" w:fill="FFFFFF"/>
            <w:tcMar>
              <w:top w:w="40" w:type="dxa"/>
              <w:left w:w="40" w:type="dxa"/>
              <w:bottom w:w="40" w:type="dxa"/>
              <w:right w:w="40" w:type="dxa"/>
            </w:tcMar>
          </w:tcPr>
          <w:p w14:paraId="31E97A49"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323" w:type="dxa"/>
            <w:tcBorders>
              <w:top w:val="nil"/>
              <w:left w:val="single" w:sz="4" w:space="0" w:color="auto"/>
              <w:bottom w:val="nil"/>
              <w:right w:val="nil"/>
            </w:tcBorders>
            <w:shd w:val="clear" w:color="auto" w:fill="FFFFFF"/>
            <w:tcMar>
              <w:top w:w="40" w:type="dxa"/>
              <w:left w:w="40" w:type="dxa"/>
              <w:bottom w:w="40" w:type="dxa"/>
              <w:right w:w="40" w:type="dxa"/>
            </w:tcMar>
          </w:tcPr>
          <w:p w14:paraId="650520ED"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1502" w:type="dxa"/>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10CD1F35"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4"/>
                <w:szCs w:val="14"/>
              </w:rPr>
            </w:pPr>
            <w:r>
              <w:rPr>
                <w:rFonts w:ascii="Helvetica" w:hAnsi="Helvetica"/>
                <w:color w:val="000000"/>
                <w:sz w:val="14"/>
              </w:rPr>
              <w:t>Hvorav omstilling (%)</w:t>
            </w:r>
          </w:p>
        </w:tc>
        <w:tc>
          <w:tcPr>
            <w:tcW w:w="1150" w:type="dxa"/>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2832F871"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4"/>
                <w:szCs w:val="14"/>
              </w:rPr>
            </w:pPr>
            <w:r>
              <w:rPr>
                <w:rFonts w:ascii="Helvetica" w:hAnsi="Helvetica"/>
                <w:color w:val="000000"/>
                <w:sz w:val="14"/>
              </w:rPr>
              <w:t>Hvorav muliggjørende (%)</w:t>
            </w:r>
          </w:p>
        </w:tc>
        <w:tc>
          <w:tcPr>
            <w:tcW w:w="309" w:type="dxa"/>
            <w:tcBorders>
              <w:top w:val="nil"/>
              <w:left w:val="single" w:sz="4" w:space="0" w:color="auto"/>
              <w:bottom w:val="nil"/>
              <w:right w:val="nil"/>
            </w:tcBorders>
            <w:shd w:val="clear" w:color="auto" w:fill="FFFFFF"/>
            <w:tcMar>
              <w:top w:w="40" w:type="dxa"/>
              <w:left w:w="40" w:type="dxa"/>
              <w:bottom w:w="40" w:type="dxa"/>
              <w:right w:w="40" w:type="dxa"/>
            </w:tcMar>
          </w:tcPr>
          <w:p w14:paraId="4671C5C4"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323" w:type="dxa"/>
            <w:tcBorders>
              <w:top w:val="nil"/>
              <w:left w:val="single" w:sz="4" w:space="0" w:color="auto"/>
              <w:bottom w:val="nil"/>
              <w:right w:val="nil"/>
            </w:tcBorders>
            <w:shd w:val="clear" w:color="auto" w:fill="FFFFFF"/>
            <w:tcMar>
              <w:top w:w="40" w:type="dxa"/>
              <w:left w:w="40" w:type="dxa"/>
              <w:bottom w:w="40" w:type="dxa"/>
              <w:right w:w="40" w:type="dxa"/>
            </w:tcMar>
          </w:tcPr>
          <w:p w14:paraId="15BCCB52"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502" w:type="dxa"/>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06D0B779"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4"/>
                <w:szCs w:val="14"/>
              </w:rPr>
            </w:pPr>
            <w:r>
              <w:rPr>
                <w:rFonts w:ascii="Helvetica" w:hAnsi="Helvetica"/>
                <w:color w:val="000000"/>
                <w:sz w:val="14"/>
              </w:rPr>
              <w:t>Hvorav omstilling (%)</w:t>
            </w:r>
          </w:p>
        </w:tc>
        <w:tc>
          <w:tcPr>
            <w:tcW w:w="1157" w:type="dxa"/>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101B56A8"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4"/>
                <w:szCs w:val="14"/>
              </w:rPr>
            </w:pPr>
            <w:r>
              <w:rPr>
                <w:rFonts w:ascii="Helvetica" w:hAnsi="Helvetica"/>
                <w:color w:val="000000"/>
                <w:sz w:val="14"/>
              </w:rPr>
              <w:t>Hvorav muliggjørende (%)</w:t>
            </w:r>
          </w:p>
        </w:tc>
        <w:tc>
          <w:tcPr>
            <w:tcW w:w="301" w:type="dxa"/>
            <w:tcBorders>
              <w:top w:val="nil"/>
              <w:left w:val="single" w:sz="4" w:space="0" w:color="auto"/>
              <w:bottom w:val="nil"/>
              <w:right w:val="nil"/>
            </w:tcBorders>
            <w:shd w:val="clear" w:color="auto" w:fill="FFFFFF"/>
            <w:tcMar>
              <w:top w:w="40" w:type="dxa"/>
              <w:left w:w="40" w:type="dxa"/>
              <w:bottom w:w="40" w:type="dxa"/>
              <w:right w:w="40" w:type="dxa"/>
            </w:tcMar>
          </w:tcPr>
          <w:p w14:paraId="03D81944"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244" w:type="dxa"/>
            <w:tcBorders>
              <w:top w:val="nil"/>
              <w:left w:val="single" w:sz="4" w:space="0" w:color="auto"/>
              <w:bottom w:val="nil"/>
              <w:right w:val="nil"/>
            </w:tcBorders>
            <w:shd w:val="clear" w:color="auto" w:fill="FFFFFF"/>
            <w:tcMar>
              <w:top w:w="40" w:type="dxa"/>
              <w:left w:w="40" w:type="dxa"/>
              <w:bottom w:w="40" w:type="dxa"/>
              <w:right w:w="40" w:type="dxa"/>
            </w:tcMar>
          </w:tcPr>
          <w:p w14:paraId="144DFBF4"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517" w:type="dxa"/>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0EC7869A"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4"/>
                <w:szCs w:val="14"/>
              </w:rPr>
            </w:pPr>
            <w:r>
              <w:rPr>
                <w:rFonts w:ascii="Helvetica" w:hAnsi="Helvetica"/>
                <w:color w:val="000000"/>
                <w:sz w:val="14"/>
              </w:rPr>
              <w:t>Hvorav omstilling (%)</w:t>
            </w:r>
          </w:p>
        </w:tc>
        <w:tc>
          <w:tcPr>
            <w:tcW w:w="1172" w:type="dxa"/>
            <w:tcBorders>
              <w:top w:val="single" w:sz="4" w:space="0" w:color="auto"/>
              <w:left w:val="single" w:sz="4" w:space="0" w:color="auto"/>
              <w:bottom w:val="nil"/>
              <w:right w:val="single" w:sz="4" w:space="0" w:color="auto"/>
            </w:tcBorders>
            <w:shd w:val="clear" w:color="auto" w:fill="FFFFFF"/>
            <w:tcMar>
              <w:top w:w="40" w:type="dxa"/>
              <w:left w:w="40" w:type="dxa"/>
              <w:bottom w:w="40" w:type="dxa"/>
              <w:right w:w="40" w:type="dxa"/>
            </w:tcMar>
            <w:hideMark/>
          </w:tcPr>
          <w:p w14:paraId="178375F3"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4"/>
                <w:szCs w:val="14"/>
              </w:rPr>
            </w:pPr>
            <w:r>
              <w:rPr>
                <w:rFonts w:ascii="Helvetica" w:hAnsi="Helvetica"/>
                <w:color w:val="000000"/>
                <w:sz w:val="14"/>
              </w:rPr>
              <w:t>Hvorav muliggjørende (%)</w:t>
            </w:r>
          </w:p>
        </w:tc>
      </w:tr>
      <w:tr w:rsidR="00A54846" w14:paraId="68E3B828" w14:textId="77777777">
        <w:trPr>
          <w:gridAfter w:val="1"/>
          <w:wAfter w:w="7" w:type="dxa"/>
          <w:trHeight w:val="980"/>
        </w:trPr>
        <w:tc>
          <w:tcPr>
            <w:tcW w:w="323"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153D5FE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1</w:t>
            </w:r>
          </w:p>
        </w:tc>
        <w:tc>
          <w:tcPr>
            <w:tcW w:w="1784" w:type="dxa"/>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6E951820" w14:textId="77777777" w:rsidR="00A54846" w:rsidRDefault="008A2731">
            <w:pPr>
              <w:widowControl w:val="0"/>
              <w:shd w:val="clear" w:color="auto" w:fill="auto"/>
              <w:spacing w:after="0" w:line="240" w:lineRule="auto"/>
              <w:jc w:val="left"/>
              <w:rPr>
                <w:rFonts w:ascii="Helvetica" w:eastAsia="Arial Unicode MS" w:hAnsi="Helvetica" w:cs="Arial Unicode MS"/>
                <w:b/>
                <w:color w:val="000000"/>
                <w:sz w:val="14"/>
                <w:szCs w:val="14"/>
              </w:rPr>
            </w:pPr>
            <w:r>
              <w:rPr>
                <w:rFonts w:ascii="Helvetica" w:hAnsi="Helvetica"/>
                <w:b/>
                <w:color w:val="000000"/>
                <w:sz w:val="14"/>
              </w:rPr>
              <w:t>Samlede eiendeler investert i forbindelse med verdipapirforetakenes aktiviteter knyttet til handel for egen regning (iht. avsnitt A i vedlegg I til direktiv 2014/65/EU)</w:t>
            </w:r>
          </w:p>
        </w:tc>
        <w:tc>
          <w:tcPr>
            <w:tcW w:w="1043"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68CB837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86"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627ECE7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94"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35C4409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23"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44EFB18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502"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3A79A65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150"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67EF107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09"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5957ECF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23"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1D2B897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502"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2A46699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157"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6A4E606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01"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5BD574B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44"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26EB386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517"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28E0339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172" w:type="dxa"/>
            <w:tcBorders>
              <w:top w:val="single" w:sz="4" w:space="0" w:color="auto"/>
              <w:left w:val="single" w:sz="4" w:space="0" w:color="auto"/>
              <w:bottom w:val="nil"/>
              <w:right w:val="single" w:sz="4" w:space="0" w:color="auto"/>
            </w:tcBorders>
            <w:shd w:val="clear" w:color="auto" w:fill="FFFFFF"/>
            <w:tcMar>
              <w:top w:w="40" w:type="dxa"/>
              <w:left w:w="40" w:type="dxa"/>
              <w:bottom w:w="40" w:type="dxa"/>
              <w:right w:w="40" w:type="dxa"/>
            </w:tcMar>
          </w:tcPr>
          <w:p w14:paraId="3C28161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r>
      <w:tr w:rsidR="00A54846" w14:paraId="72FC3C7D" w14:textId="77777777">
        <w:trPr>
          <w:gridAfter w:val="1"/>
          <w:wAfter w:w="7" w:type="dxa"/>
          <w:trHeight w:val="323"/>
        </w:trPr>
        <w:tc>
          <w:tcPr>
            <w:tcW w:w="323" w:type="dxa"/>
            <w:tcBorders>
              <w:top w:val="single" w:sz="4" w:space="0" w:color="auto"/>
              <w:left w:val="single" w:sz="4" w:space="0" w:color="auto"/>
              <w:bottom w:val="nil"/>
              <w:right w:val="nil"/>
            </w:tcBorders>
            <w:shd w:val="clear" w:color="auto" w:fill="FFFFFF"/>
            <w:tcMar>
              <w:top w:w="40" w:type="dxa"/>
              <w:left w:w="40" w:type="dxa"/>
              <w:bottom w:w="40" w:type="dxa"/>
              <w:right w:w="40" w:type="dxa"/>
            </w:tcMar>
            <w:vAlign w:val="center"/>
            <w:hideMark/>
          </w:tcPr>
          <w:p w14:paraId="031CCDE5"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2</w:t>
            </w:r>
          </w:p>
        </w:tc>
        <w:tc>
          <w:tcPr>
            <w:tcW w:w="1784" w:type="dxa"/>
            <w:tcBorders>
              <w:top w:val="single" w:sz="4" w:space="0" w:color="auto"/>
              <w:left w:val="single" w:sz="4" w:space="0" w:color="auto"/>
              <w:bottom w:val="nil"/>
              <w:right w:val="nil"/>
            </w:tcBorders>
            <w:shd w:val="clear" w:color="auto" w:fill="FFFFFF"/>
            <w:tcMar>
              <w:top w:w="40" w:type="dxa"/>
              <w:left w:w="40" w:type="dxa"/>
              <w:bottom w:w="40" w:type="dxa"/>
              <w:right w:w="40" w:type="dxa"/>
            </w:tcMar>
            <w:hideMark/>
          </w:tcPr>
          <w:p w14:paraId="03138B3C" w14:textId="77777777" w:rsidR="00A54846" w:rsidRDefault="008A2731">
            <w:pPr>
              <w:widowControl w:val="0"/>
              <w:shd w:val="clear" w:color="auto" w:fill="auto"/>
              <w:spacing w:after="0" w:line="240" w:lineRule="auto"/>
              <w:ind w:left="200"/>
              <w:jc w:val="left"/>
              <w:rPr>
                <w:rFonts w:ascii="Helvetica" w:eastAsia="Arial Unicode MS" w:hAnsi="Helvetica" w:cs="Arial Unicode MS"/>
                <w:color w:val="000000"/>
                <w:sz w:val="14"/>
                <w:szCs w:val="14"/>
              </w:rPr>
            </w:pPr>
            <w:r>
              <w:rPr>
                <w:rFonts w:ascii="Helvetica" w:hAnsi="Helvetica"/>
                <w:color w:val="000000"/>
                <w:sz w:val="14"/>
              </w:rPr>
              <w:t>Hvorav: på egne vegne</w:t>
            </w:r>
          </w:p>
        </w:tc>
        <w:tc>
          <w:tcPr>
            <w:tcW w:w="1043"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1FD1236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86"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35476C5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94"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101446E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323"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74F205E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502"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03DA63C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150"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6C3203A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309"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55C4343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323"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6314856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502"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254E0B8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157"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3E1CBE0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301"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6FB26AF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44"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2ABEFC9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517" w:type="dxa"/>
            <w:tcBorders>
              <w:top w:val="single" w:sz="4" w:space="0" w:color="auto"/>
              <w:left w:val="single" w:sz="4" w:space="0" w:color="auto"/>
              <w:bottom w:val="nil"/>
              <w:right w:val="nil"/>
            </w:tcBorders>
            <w:shd w:val="clear" w:color="auto" w:fill="FFFFFF"/>
            <w:tcMar>
              <w:top w:w="40" w:type="dxa"/>
              <w:left w:w="40" w:type="dxa"/>
              <w:bottom w:w="40" w:type="dxa"/>
              <w:right w:w="40" w:type="dxa"/>
            </w:tcMar>
          </w:tcPr>
          <w:p w14:paraId="7BEE26B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172" w:type="dxa"/>
            <w:tcBorders>
              <w:top w:val="single" w:sz="4" w:space="0" w:color="auto"/>
              <w:left w:val="single" w:sz="4" w:space="0" w:color="auto"/>
              <w:bottom w:val="nil"/>
              <w:right w:val="single" w:sz="4" w:space="0" w:color="auto"/>
            </w:tcBorders>
            <w:shd w:val="clear" w:color="auto" w:fill="FFFFFF"/>
            <w:tcMar>
              <w:top w:w="40" w:type="dxa"/>
              <w:left w:w="40" w:type="dxa"/>
              <w:bottom w:w="40" w:type="dxa"/>
              <w:right w:w="40" w:type="dxa"/>
            </w:tcMar>
          </w:tcPr>
          <w:p w14:paraId="7A503B3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r>
      <w:tr w:rsidR="00A54846" w14:paraId="50C52A65" w14:textId="77777777">
        <w:trPr>
          <w:gridAfter w:val="1"/>
          <w:wAfter w:w="7" w:type="dxa"/>
          <w:trHeight w:val="323"/>
        </w:trPr>
        <w:tc>
          <w:tcPr>
            <w:tcW w:w="323"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vAlign w:val="center"/>
            <w:hideMark/>
          </w:tcPr>
          <w:p w14:paraId="51A97854"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3</w:t>
            </w:r>
          </w:p>
        </w:tc>
        <w:tc>
          <w:tcPr>
            <w:tcW w:w="1784"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hideMark/>
          </w:tcPr>
          <w:p w14:paraId="6D79FE29" w14:textId="77777777" w:rsidR="00A54846" w:rsidRDefault="008A2731">
            <w:pPr>
              <w:widowControl w:val="0"/>
              <w:shd w:val="clear" w:color="auto" w:fill="auto"/>
              <w:spacing w:after="0" w:line="240" w:lineRule="auto"/>
              <w:ind w:left="200"/>
              <w:jc w:val="left"/>
              <w:rPr>
                <w:rFonts w:ascii="Helvetica" w:eastAsia="Arial Unicode MS" w:hAnsi="Helvetica" w:cs="Arial Unicode MS"/>
                <w:color w:val="000000"/>
                <w:sz w:val="14"/>
                <w:szCs w:val="14"/>
              </w:rPr>
            </w:pPr>
            <w:r>
              <w:rPr>
                <w:rFonts w:ascii="Helvetica" w:hAnsi="Helvetica"/>
                <w:color w:val="000000"/>
                <w:sz w:val="14"/>
              </w:rPr>
              <w:t>Hvorav: på vegne av kunder</w:t>
            </w:r>
          </w:p>
        </w:tc>
        <w:tc>
          <w:tcPr>
            <w:tcW w:w="1043"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
          <w:p w14:paraId="7C186E5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86"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
          <w:p w14:paraId="504D0A5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94"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
          <w:p w14:paraId="3692A19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23"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
          <w:p w14:paraId="324F077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502"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
          <w:p w14:paraId="1CDE044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150"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
          <w:p w14:paraId="0C56B31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09"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
          <w:p w14:paraId="7520718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23"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
          <w:p w14:paraId="78AF7C5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502"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
          <w:p w14:paraId="7F42EA9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157"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
          <w:p w14:paraId="452F08A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01"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
          <w:p w14:paraId="386C18D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44"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
          <w:p w14:paraId="26016A4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517" w:type="dxa"/>
            <w:tcBorders>
              <w:top w:val="single" w:sz="4" w:space="0" w:color="auto"/>
              <w:left w:val="single" w:sz="4" w:space="0" w:color="auto"/>
              <w:bottom w:val="single" w:sz="4" w:space="0" w:color="auto"/>
              <w:right w:val="nil"/>
            </w:tcBorders>
            <w:shd w:val="clear" w:color="auto" w:fill="FFFFFF"/>
            <w:tcMar>
              <w:top w:w="40" w:type="dxa"/>
              <w:left w:w="40" w:type="dxa"/>
              <w:bottom w:w="40" w:type="dxa"/>
              <w:right w:w="40" w:type="dxa"/>
            </w:tcMar>
          </w:tcPr>
          <w:p w14:paraId="1F565FB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Mar>
              <w:top w:w="40" w:type="dxa"/>
              <w:left w:w="40" w:type="dxa"/>
              <w:bottom w:w="40" w:type="dxa"/>
              <w:right w:w="40" w:type="dxa"/>
            </w:tcMar>
          </w:tcPr>
          <w:p w14:paraId="4FA38F8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r>
    </w:tbl>
    <w:p w14:paraId="36F83910" w14:textId="77777777" w:rsidR="00A54846" w:rsidRDefault="00A54846">
      <w:pPr>
        <w:pStyle w:val="Para"/>
        <w:spacing w:line="240" w:lineRule="auto"/>
        <w:jc w:val="left"/>
      </w:pPr>
    </w:p>
    <w:p w14:paraId="6BB1E284" w14:textId="77777777" w:rsidR="00A54846" w:rsidRDefault="008A2731">
      <w:pPr>
        <w:pStyle w:val="Para"/>
        <w:spacing w:line="240" w:lineRule="auto"/>
        <w:jc w:val="left"/>
      </w:pPr>
      <w:r>
        <w:br w:type="page"/>
      </w:r>
    </w:p>
    <w:p w14:paraId="224BDBA4" w14:textId="77777777" w:rsidR="00A54846" w:rsidRDefault="008A2731">
      <w:pPr>
        <w:pStyle w:val="AnnexNumberedText"/>
        <w:ind w:left="279" w:hanging="279"/>
      </w:pPr>
      <w:r>
        <w:lastRenderedPageBreak/>
        <w:t>2.</w:t>
      </w:r>
      <w:r>
        <w:rPr>
          <w:b/>
        </w:rPr>
        <w:tab/>
        <w:t>KPI for verdipapirforetak – Andre tjenester</w:t>
      </w:r>
    </w:p>
    <w:tbl>
      <w:tblPr>
        <w:tblOverlap w:val="never"/>
        <w:tblW w:w="0" w:type="auto"/>
        <w:tblInd w:w="316" w:type="dxa"/>
        <w:tblLayout w:type="fixed"/>
        <w:tblCellMar>
          <w:left w:w="10" w:type="dxa"/>
          <w:right w:w="10" w:type="dxa"/>
        </w:tblCellMar>
        <w:tblLook w:val="04A0" w:firstRow="1" w:lastRow="0" w:firstColumn="1" w:lastColumn="0" w:noHBand="0" w:noVBand="1"/>
      </w:tblPr>
      <w:tblGrid>
        <w:gridCol w:w="316"/>
        <w:gridCol w:w="2588"/>
        <w:gridCol w:w="965"/>
        <w:gridCol w:w="1010"/>
        <w:gridCol w:w="309"/>
        <w:gridCol w:w="281"/>
        <w:gridCol w:w="1413"/>
        <w:gridCol w:w="1074"/>
        <w:gridCol w:w="7"/>
        <w:gridCol w:w="252"/>
        <w:gridCol w:w="302"/>
        <w:gridCol w:w="1413"/>
        <w:gridCol w:w="1068"/>
        <w:gridCol w:w="245"/>
        <w:gridCol w:w="295"/>
        <w:gridCol w:w="1413"/>
        <w:gridCol w:w="1085"/>
      </w:tblGrid>
      <w:tr w:rsidR="00A54846" w14:paraId="34C6E591" w14:textId="77777777">
        <w:trPr>
          <w:trHeight w:val="158"/>
          <w:tblHeader/>
        </w:trPr>
        <w:tc>
          <w:tcPr>
            <w:tcW w:w="2904" w:type="dxa"/>
            <w:gridSpan w:val="2"/>
            <w:shd w:val="clear" w:color="auto" w:fill="FFFFFF"/>
            <w:tcMar>
              <w:top w:w="20" w:type="dxa"/>
              <w:left w:w="40" w:type="dxa"/>
              <w:bottom w:w="80" w:type="dxa"/>
              <w:right w:w="40" w:type="dxa"/>
            </w:tcMar>
          </w:tcPr>
          <w:p w14:paraId="5335D574"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96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534AA9C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a</w:t>
            </w:r>
          </w:p>
        </w:tc>
        <w:tc>
          <w:tcPr>
            <w:tcW w:w="10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7260A4BD"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3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009CD84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b</w:t>
            </w:r>
          </w:p>
        </w:tc>
        <w:tc>
          <w:tcPr>
            <w:tcW w:w="281"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1C20F72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c</w:t>
            </w: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37B750B7"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d</w:t>
            </w:r>
          </w:p>
        </w:tc>
        <w:tc>
          <w:tcPr>
            <w:tcW w:w="107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0EA059E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e</w:t>
            </w:r>
          </w:p>
        </w:tc>
        <w:tc>
          <w:tcPr>
            <w:tcW w:w="259" w:type="dxa"/>
            <w:gridSpan w:val="2"/>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38A4E35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f</w:t>
            </w:r>
          </w:p>
        </w:tc>
        <w:tc>
          <w:tcPr>
            <w:tcW w:w="302"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28B2F30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g</w:t>
            </w: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742111C7"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h</w:t>
            </w:r>
          </w:p>
        </w:tc>
        <w:tc>
          <w:tcPr>
            <w:tcW w:w="106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33B3E3C6"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i</w:t>
            </w:r>
          </w:p>
        </w:tc>
        <w:tc>
          <w:tcPr>
            <w:tcW w:w="24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1735ECB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j</w:t>
            </w:r>
          </w:p>
        </w:tc>
        <w:tc>
          <w:tcPr>
            <w:tcW w:w="29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0AC7BEE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k</w:t>
            </w: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2BF3EFF3"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l</w:t>
            </w:r>
          </w:p>
        </w:tc>
        <w:tc>
          <w:tcPr>
            <w:tcW w:w="1084" w:type="dxa"/>
            <w:tcBorders>
              <w:top w:val="single" w:sz="4" w:space="0" w:color="auto"/>
              <w:left w:val="single" w:sz="4" w:space="0" w:color="auto"/>
              <w:bottom w:val="nil"/>
              <w:right w:val="single" w:sz="4" w:space="0" w:color="auto"/>
            </w:tcBorders>
            <w:shd w:val="clear" w:color="auto" w:fill="FFFFFF"/>
            <w:tcMar>
              <w:top w:w="20" w:type="dxa"/>
              <w:left w:w="40" w:type="dxa"/>
              <w:bottom w:w="80" w:type="dxa"/>
              <w:right w:w="40" w:type="dxa"/>
            </w:tcMar>
            <w:vAlign w:val="center"/>
            <w:hideMark/>
          </w:tcPr>
          <w:p w14:paraId="4849080E"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m</w:t>
            </w:r>
          </w:p>
        </w:tc>
      </w:tr>
      <w:tr w:rsidR="00A54846" w14:paraId="7829EAB7" w14:textId="77777777">
        <w:trPr>
          <w:trHeight w:val="430"/>
          <w:tblHeader/>
        </w:trPr>
        <w:tc>
          <w:tcPr>
            <w:tcW w:w="31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4D61B568"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2587" w:type="dxa"/>
            <w:tcBorders>
              <w:top w:val="single" w:sz="4" w:space="0" w:color="auto"/>
              <w:left w:val="nil"/>
              <w:bottom w:val="nil"/>
              <w:right w:val="nil"/>
            </w:tcBorders>
            <w:shd w:val="clear" w:color="auto" w:fill="FFFFFF"/>
            <w:tcMar>
              <w:top w:w="20" w:type="dxa"/>
              <w:left w:w="40" w:type="dxa"/>
              <w:bottom w:w="80" w:type="dxa"/>
              <w:right w:w="40" w:type="dxa"/>
            </w:tcMar>
          </w:tcPr>
          <w:p w14:paraId="3879266E"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975" w:type="dxa"/>
            <w:gridSpan w:val="2"/>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1AC42706"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309" w:type="dxa"/>
            <w:tcBorders>
              <w:top w:val="single" w:sz="4" w:space="0" w:color="auto"/>
              <w:left w:val="nil"/>
              <w:bottom w:val="nil"/>
              <w:right w:val="nil"/>
            </w:tcBorders>
            <w:shd w:val="clear" w:color="auto" w:fill="FFFFFF"/>
            <w:tcMar>
              <w:top w:w="20" w:type="dxa"/>
              <w:left w:w="40" w:type="dxa"/>
              <w:bottom w:w="80" w:type="dxa"/>
              <w:right w:w="40" w:type="dxa"/>
            </w:tcMar>
          </w:tcPr>
          <w:p w14:paraId="7219DB95"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281" w:type="dxa"/>
            <w:tcBorders>
              <w:top w:val="single" w:sz="4" w:space="0" w:color="auto"/>
              <w:left w:val="nil"/>
              <w:bottom w:val="nil"/>
              <w:right w:val="nil"/>
            </w:tcBorders>
            <w:shd w:val="clear" w:color="auto" w:fill="FFFFFF"/>
            <w:tcMar>
              <w:top w:w="20" w:type="dxa"/>
              <w:left w:w="40" w:type="dxa"/>
              <w:bottom w:w="80" w:type="dxa"/>
              <w:right w:w="40" w:type="dxa"/>
            </w:tcMar>
          </w:tcPr>
          <w:p w14:paraId="6509CB21"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413" w:type="dxa"/>
            <w:tcBorders>
              <w:top w:val="single" w:sz="4" w:space="0" w:color="auto"/>
              <w:left w:val="nil"/>
              <w:bottom w:val="nil"/>
              <w:right w:val="nil"/>
            </w:tcBorders>
            <w:shd w:val="clear" w:color="auto" w:fill="FFFFFF"/>
            <w:tcMar>
              <w:top w:w="20" w:type="dxa"/>
              <w:left w:w="40" w:type="dxa"/>
              <w:bottom w:w="80" w:type="dxa"/>
              <w:right w:w="40" w:type="dxa"/>
            </w:tcMar>
          </w:tcPr>
          <w:p w14:paraId="43C28F53"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073" w:type="dxa"/>
            <w:tcBorders>
              <w:top w:val="single" w:sz="4" w:space="0" w:color="auto"/>
              <w:left w:val="nil"/>
              <w:bottom w:val="nil"/>
              <w:right w:val="nil"/>
            </w:tcBorders>
            <w:shd w:val="clear" w:color="auto" w:fill="FFFFFF"/>
            <w:tcMar>
              <w:top w:w="20" w:type="dxa"/>
              <w:left w:w="40" w:type="dxa"/>
              <w:bottom w:w="80" w:type="dxa"/>
              <w:right w:w="40" w:type="dxa"/>
            </w:tcMar>
          </w:tcPr>
          <w:p w14:paraId="1A0130EE"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259" w:type="dxa"/>
            <w:gridSpan w:val="2"/>
            <w:tcBorders>
              <w:top w:val="single" w:sz="4" w:space="0" w:color="auto"/>
              <w:left w:val="nil"/>
              <w:bottom w:val="nil"/>
              <w:right w:val="nil"/>
            </w:tcBorders>
            <w:shd w:val="clear" w:color="auto" w:fill="FFFFFF"/>
            <w:tcMar>
              <w:top w:w="20" w:type="dxa"/>
              <w:left w:w="40" w:type="dxa"/>
              <w:bottom w:w="80" w:type="dxa"/>
              <w:right w:w="40" w:type="dxa"/>
            </w:tcMar>
          </w:tcPr>
          <w:p w14:paraId="3ABEE2C4"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302" w:type="dxa"/>
            <w:tcBorders>
              <w:top w:val="single" w:sz="4" w:space="0" w:color="auto"/>
              <w:left w:val="nil"/>
              <w:bottom w:val="nil"/>
              <w:right w:val="nil"/>
            </w:tcBorders>
            <w:shd w:val="clear" w:color="auto" w:fill="FFFFFF"/>
            <w:tcMar>
              <w:top w:w="20" w:type="dxa"/>
              <w:left w:w="40" w:type="dxa"/>
              <w:bottom w:w="80" w:type="dxa"/>
              <w:right w:w="40" w:type="dxa"/>
            </w:tcMar>
          </w:tcPr>
          <w:p w14:paraId="480E5DE8"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413" w:type="dxa"/>
            <w:tcBorders>
              <w:top w:val="single" w:sz="4" w:space="0" w:color="auto"/>
              <w:left w:val="nil"/>
              <w:bottom w:val="nil"/>
              <w:right w:val="nil"/>
            </w:tcBorders>
            <w:shd w:val="clear" w:color="auto" w:fill="FFFFFF"/>
            <w:tcMar>
              <w:top w:w="20" w:type="dxa"/>
              <w:left w:w="40" w:type="dxa"/>
              <w:bottom w:w="80" w:type="dxa"/>
              <w:right w:w="40" w:type="dxa"/>
            </w:tcMar>
          </w:tcPr>
          <w:p w14:paraId="6A356BEA"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312" w:type="dxa"/>
            <w:gridSpan w:val="2"/>
            <w:tcBorders>
              <w:top w:val="single" w:sz="4" w:space="0" w:color="auto"/>
              <w:left w:val="nil"/>
              <w:bottom w:val="nil"/>
              <w:right w:val="nil"/>
            </w:tcBorders>
            <w:shd w:val="clear" w:color="auto" w:fill="FFFFFF"/>
            <w:tcMar>
              <w:top w:w="20" w:type="dxa"/>
              <w:left w:w="40" w:type="dxa"/>
              <w:bottom w:w="80" w:type="dxa"/>
              <w:right w:w="40" w:type="dxa"/>
            </w:tcMar>
          </w:tcPr>
          <w:p w14:paraId="1E79D9A9"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295" w:type="dxa"/>
            <w:tcBorders>
              <w:top w:val="single" w:sz="4" w:space="0" w:color="auto"/>
              <w:left w:val="nil"/>
              <w:bottom w:val="nil"/>
              <w:right w:val="nil"/>
            </w:tcBorders>
            <w:shd w:val="clear" w:color="auto" w:fill="FFFFFF"/>
            <w:tcMar>
              <w:top w:w="20" w:type="dxa"/>
              <w:left w:w="40" w:type="dxa"/>
              <w:bottom w:w="80" w:type="dxa"/>
              <w:right w:w="40" w:type="dxa"/>
            </w:tcMar>
          </w:tcPr>
          <w:p w14:paraId="439FE037"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413" w:type="dxa"/>
            <w:tcBorders>
              <w:top w:val="single" w:sz="4" w:space="0" w:color="auto"/>
              <w:left w:val="nil"/>
              <w:bottom w:val="nil"/>
              <w:right w:val="nil"/>
            </w:tcBorders>
            <w:shd w:val="clear" w:color="auto" w:fill="FFFFFF"/>
            <w:tcMar>
              <w:top w:w="20" w:type="dxa"/>
              <w:left w:w="40" w:type="dxa"/>
              <w:bottom w:w="80" w:type="dxa"/>
              <w:right w:w="40" w:type="dxa"/>
            </w:tcMar>
          </w:tcPr>
          <w:p w14:paraId="6769842E"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084" w:type="dxa"/>
            <w:tcBorders>
              <w:top w:val="single" w:sz="4" w:space="0" w:color="auto"/>
              <w:left w:val="nil"/>
              <w:bottom w:val="nil"/>
              <w:right w:val="single" w:sz="4" w:space="0" w:color="auto"/>
            </w:tcBorders>
            <w:shd w:val="clear" w:color="auto" w:fill="FFFFFF"/>
            <w:tcMar>
              <w:top w:w="20" w:type="dxa"/>
              <w:left w:w="40" w:type="dxa"/>
              <w:bottom w:w="80" w:type="dxa"/>
              <w:right w:w="40" w:type="dxa"/>
            </w:tcMar>
          </w:tcPr>
          <w:p w14:paraId="5600CF9F"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r>
      <w:tr w:rsidR="00A54846" w14:paraId="2DE5270C" w14:textId="77777777">
        <w:trPr>
          <w:trHeight w:val="168"/>
          <w:tblHeader/>
        </w:trPr>
        <w:tc>
          <w:tcPr>
            <w:tcW w:w="316" w:type="dxa"/>
            <w:tcBorders>
              <w:top w:val="nil"/>
              <w:left w:val="single" w:sz="4" w:space="0" w:color="auto"/>
              <w:bottom w:val="nil"/>
              <w:right w:val="nil"/>
            </w:tcBorders>
            <w:shd w:val="clear" w:color="auto" w:fill="FFFFFF"/>
            <w:tcMar>
              <w:top w:w="20" w:type="dxa"/>
              <w:left w:w="40" w:type="dxa"/>
              <w:bottom w:w="80" w:type="dxa"/>
              <w:right w:w="40" w:type="dxa"/>
            </w:tcMar>
          </w:tcPr>
          <w:p w14:paraId="7B1E5428"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2587" w:type="dxa"/>
            <w:shd w:val="clear" w:color="auto" w:fill="FFFFFF"/>
            <w:tcMar>
              <w:top w:w="20" w:type="dxa"/>
              <w:left w:w="40" w:type="dxa"/>
              <w:bottom w:w="80" w:type="dxa"/>
              <w:right w:w="40" w:type="dxa"/>
            </w:tcMar>
          </w:tcPr>
          <w:p w14:paraId="558F6F1A"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965" w:type="dxa"/>
            <w:tcBorders>
              <w:top w:val="nil"/>
              <w:left w:val="single" w:sz="4" w:space="0" w:color="auto"/>
              <w:bottom w:val="nil"/>
              <w:right w:val="nil"/>
            </w:tcBorders>
            <w:shd w:val="clear" w:color="auto" w:fill="FFFFFF"/>
            <w:tcMar>
              <w:top w:w="20" w:type="dxa"/>
              <w:left w:w="40" w:type="dxa"/>
              <w:bottom w:w="80" w:type="dxa"/>
              <w:right w:w="40" w:type="dxa"/>
            </w:tcMar>
          </w:tcPr>
          <w:p w14:paraId="7AA619EC"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009" w:type="dxa"/>
            <w:tcBorders>
              <w:top w:val="nil"/>
              <w:left w:val="single" w:sz="4" w:space="0" w:color="auto"/>
              <w:bottom w:val="nil"/>
              <w:right w:val="nil"/>
            </w:tcBorders>
            <w:shd w:val="clear" w:color="auto" w:fill="FFFFFF"/>
            <w:tcMar>
              <w:top w:w="20" w:type="dxa"/>
              <w:left w:w="40" w:type="dxa"/>
              <w:bottom w:w="80" w:type="dxa"/>
              <w:right w:w="40" w:type="dxa"/>
            </w:tcMar>
          </w:tcPr>
          <w:p w14:paraId="513D7F00"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3077" w:type="dxa"/>
            <w:gridSpan w:val="4"/>
            <w:tcBorders>
              <w:top w:val="single" w:sz="4" w:space="0" w:color="auto"/>
              <w:left w:val="single" w:sz="4" w:space="0" w:color="auto"/>
              <w:bottom w:val="nil"/>
              <w:right w:val="nil"/>
            </w:tcBorders>
            <w:shd w:val="clear" w:color="auto" w:fill="B5B5B5"/>
            <w:tcMar>
              <w:top w:w="20" w:type="dxa"/>
              <w:left w:w="40" w:type="dxa"/>
              <w:bottom w:w="80" w:type="dxa"/>
              <w:right w:w="40" w:type="dxa"/>
            </w:tcMar>
            <w:hideMark/>
          </w:tcPr>
          <w:p w14:paraId="3F3DFE0A"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14"/>
                <w:szCs w:val="14"/>
              </w:rPr>
            </w:pPr>
            <w:r>
              <w:rPr>
                <w:rFonts w:ascii="Helvetica" w:hAnsi="Helvetica"/>
                <w:b/>
                <w:color w:val="000000"/>
                <w:sz w:val="14"/>
              </w:rPr>
              <w:t>Begrensning av klimaendringer</w:t>
            </w:r>
          </w:p>
        </w:tc>
        <w:tc>
          <w:tcPr>
            <w:tcW w:w="3042" w:type="dxa"/>
            <w:gridSpan w:val="5"/>
            <w:tcBorders>
              <w:top w:val="single" w:sz="4" w:space="0" w:color="auto"/>
              <w:left w:val="single" w:sz="4" w:space="0" w:color="auto"/>
              <w:bottom w:val="nil"/>
              <w:right w:val="nil"/>
            </w:tcBorders>
            <w:shd w:val="clear" w:color="auto" w:fill="B5B5B5"/>
            <w:tcMar>
              <w:top w:w="20" w:type="dxa"/>
              <w:left w:w="40" w:type="dxa"/>
              <w:bottom w:w="80" w:type="dxa"/>
              <w:right w:w="40" w:type="dxa"/>
            </w:tcMar>
            <w:hideMark/>
          </w:tcPr>
          <w:p w14:paraId="484793B5"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14"/>
                <w:szCs w:val="14"/>
              </w:rPr>
            </w:pPr>
            <w:r>
              <w:rPr>
                <w:rFonts w:ascii="Helvetica" w:hAnsi="Helvetica"/>
                <w:b/>
                <w:color w:val="000000"/>
                <w:sz w:val="14"/>
              </w:rPr>
              <w:t>Tilpasning til klimaendringer</w:t>
            </w:r>
          </w:p>
        </w:tc>
        <w:tc>
          <w:tcPr>
            <w:tcW w:w="3038" w:type="dxa"/>
            <w:gridSpan w:val="4"/>
            <w:tcBorders>
              <w:top w:val="single" w:sz="4" w:space="0" w:color="auto"/>
              <w:left w:val="single" w:sz="4" w:space="0" w:color="auto"/>
              <w:bottom w:val="nil"/>
              <w:right w:val="single" w:sz="4" w:space="0" w:color="auto"/>
            </w:tcBorders>
            <w:shd w:val="clear" w:color="auto" w:fill="B5B5B5"/>
            <w:tcMar>
              <w:top w:w="20" w:type="dxa"/>
              <w:left w:w="40" w:type="dxa"/>
              <w:bottom w:w="80" w:type="dxa"/>
              <w:right w:w="40" w:type="dxa"/>
            </w:tcMar>
            <w:hideMark/>
          </w:tcPr>
          <w:p w14:paraId="7CFA6AEE" w14:textId="77777777" w:rsidR="00A54846" w:rsidRDefault="008A2731">
            <w:pPr>
              <w:widowControl w:val="0"/>
              <w:shd w:val="clear" w:color="auto" w:fill="auto"/>
              <w:spacing w:after="0" w:line="240" w:lineRule="auto"/>
              <w:jc w:val="center"/>
              <w:rPr>
                <w:rFonts w:ascii="Helvetica" w:eastAsia="Arial Unicode MS" w:hAnsi="Helvetica" w:cs="Arial Unicode MS"/>
                <w:b/>
                <w:color w:val="000000"/>
                <w:sz w:val="14"/>
                <w:szCs w:val="14"/>
              </w:rPr>
            </w:pPr>
            <w:r>
              <w:rPr>
                <w:rFonts w:ascii="Helvetica" w:hAnsi="Helvetica"/>
                <w:b/>
                <w:color w:val="000000"/>
                <w:sz w:val="14"/>
              </w:rPr>
              <w:t>SUM (begrensning + tilpasning)</w:t>
            </w:r>
          </w:p>
        </w:tc>
      </w:tr>
      <w:tr w:rsidR="00A54846" w14:paraId="22C3B852" w14:textId="77777777">
        <w:trPr>
          <w:trHeight w:val="635"/>
          <w:tblHeader/>
        </w:trPr>
        <w:tc>
          <w:tcPr>
            <w:tcW w:w="316" w:type="dxa"/>
            <w:tcBorders>
              <w:top w:val="nil"/>
              <w:left w:val="single" w:sz="4" w:space="0" w:color="auto"/>
              <w:bottom w:val="nil"/>
              <w:right w:val="nil"/>
            </w:tcBorders>
            <w:shd w:val="clear" w:color="auto" w:fill="FFFFFF"/>
            <w:tcMar>
              <w:top w:w="20" w:type="dxa"/>
              <w:left w:w="40" w:type="dxa"/>
              <w:bottom w:w="80" w:type="dxa"/>
              <w:right w:w="40" w:type="dxa"/>
            </w:tcMar>
          </w:tcPr>
          <w:p w14:paraId="4B17B121"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2587" w:type="dxa"/>
            <w:shd w:val="clear" w:color="auto" w:fill="FFFFFF"/>
            <w:tcMar>
              <w:top w:w="20" w:type="dxa"/>
              <w:left w:w="40" w:type="dxa"/>
              <w:bottom w:w="80" w:type="dxa"/>
              <w:right w:w="40" w:type="dxa"/>
            </w:tcMar>
          </w:tcPr>
          <w:p w14:paraId="66F31A8C" w14:textId="77777777" w:rsidR="00A54846" w:rsidRDefault="00A54846">
            <w:pPr>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965" w:type="dxa"/>
            <w:tcBorders>
              <w:top w:val="nil"/>
              <w:left w:val="single" w:sz="4" w:space="0" w:color="auto"/>
              <w:bottom w:val="nil"/>
              <w:right w:val="nil"/>
            </w:tcBorders>
            <w:shd w:val="clear" w:color="auto" w:fill="FFFFFF"/>
            <w:tcMar>
              <w:top w:w="20" w:type="dxa"/>
              <w:left w:w="40" w:type="dxa"/>
              <w:bottom w:w="80" w:type="dxa"/>
              <w:right w:w="40" w:type="dxa"/>
            </w:tcMar>
            <w:vAlign w:val="bottom"/>
            <w:hideMark/>
          </w:tcPr>
          <w:p w14:paraId="174E6BB7"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Sum (millioner euro)</w:t>
            </w:r>
          </w:p>
        </w:tc>
        <w:tc>
          <w:tcPr>
            <w:tcW w:w="1009" w:type="dxa"/>
            <w:tcBorders>
              <w:top w:val="nil"/>
              <w:left w:val="single" w:sz="4" w:space="0" w:color="auto"/>
              <w:bottom w:val="nil"/>
              <w:right w:val="nil"/>
            </w:tcBorders>
            <w:shd w:val="clear" w:color="auto" w:fill="FFFFFF"/>
            <w:tcMar>
              <w:top w:w="20" w:type="dxa"/>
              <w:left w:w="40" w:type="dxa"/>
              <w:bottom w:w="80" w:type="dxa"/>
              <w:right w:w="40" w:type="dxa"/>
            </w:tcMar>
            <w:hideMark/>
          </w:tcPr>
          <w:p w14:paraId="368712D0"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Hvorav dekket av KPI-en (millioner euro)</w:t>
            </w:r>
          </w:p>
        </w:tc>
        <w:tc>
          <w:tcPr>
            <w:tcW w:w="3077" w:type="dxa"/>
            <w:gridSpan w:val="4"/>
            <w:tcBorders>
              <w:top w:val="single" w:sz="4" w:space="0" w:color="auto"/>
              <w:left w:val="single" w:sz="4" w:space="0" w:color="auto"/>
              <w:bottom w:val="nil"/>
              <w:right w:val="nil"/>
            </w:tcBorders>
            <w:shd w:val="clear" w:color="auto" w:fill="FFFFFF"/>
            <w:tcMar>
              <w:top w:w="20" w:type="dxa"/>
              <w:left w:w="40" w:type="dxa"/>
              <w:bottom w:w="80" w:type="dxa"/>
              <w:right w:w="40" w:type="dxa"/>
            </w:tcMar>
            <w:hideMark/>
          </w:tcPr>
          <w:p w14:paraId="76E98C67"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Hvorav inntekter (gebyrer, provisjoner og andre pengeytelser) fra tjenester og aktiviteter mot sektorer EU-taksonomien gjelder (%) (omfattet av taksonomien)</w:t>
            </w:r>
          </w:p>
        </w:tc>
        <w:tc>
          <w:tcPr>
            <w:tcW w:w="3042" w:type="dxa"/>
            <w:gridSpan w:val="5"/>
            <w:tcBorders>
              <w:top w:val="single" w:sz="4" w:space="0" w:color="auto"/>
              <w:left w:val="single" w:sz="4" w:space="0" w:color="auto"/>
              <w:bottom w:val="nil"/>
              <w:right w:val="nil"/>
            </w:tcBorders>
            <w:shd w:val="clear" w:color="auto" w:fill="FFFFFF"/>
            <w:tcMar>
              <w:top w:w="20" w:type="dxa"/>
              <w:left w:w="40" w:type="dxa"/>
              <w:bottom w:w="80" w:type="dxa"/>
              <w:right w:w="40" w:type="dxa"/>
            </w:tcMar>
            <w:hideMark/>
          </w:tcPr>
          <w:p w14:paraId="78BC3942"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Hvorav inntekter (gebyrer, provisjoner og andre pengeytelser) fra tjenester og aktiviteter mot sektorer EU-taksonomien gjelder (%) (omfattet av taksonomien)</w:t>
            </w:r>
          </w:p>
        </w:tc>
        <w:tc>
          <w:tcPr>
            <w:tcW w:w="3038" w:type="dxa"/>
            <w:gridSpan w:val="4"/>
            <w:tcBorders>
              <w:top w:val="single" w:sz="4" w:space="0" w:color="auto"/>
              <w:left w:val="single" w:sz="4" w:space="0" w:color="auto"/>
              <w:bottom w:val="nil"/>
              <w:right w:val="nil"/>
            </w:tcBorders>
            <w:shd w:val="clear" w:color="auto" w:fill="FFFFFF"/>
            <w:tcMar>
              <w:top w:w="20" w:type="dxa"/>
              <w:left w:w="40" w:type="dxa"/>
              <w:bottom w:w="80" w:type="dxa"/>
              <w:right w:w="40" w:type="dxa"/>
            </w:tcMar>
            <w:hideMark/>
          </w:tcPr>
          <w:p w14:paraId="67EDA444"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Hvorav inntekter (gebyrer, provisjoner og andre pengeytelser) fra tjenester og aktiviteter mot sektorer EU-taksonomien gjelder (%) (omfattet av taksonomien)</w:t>
            </w:r>
          </w:p>
        </w:tc>
      </w:tr>
      <w:tr w:rsidR="00A54846" w14:paraId="341263BD" w14:textId="77777777">
        <w:trPr>
          <w:trHeight w:val="476"/>
          <w:tblHeader/>
        </w:trPr>
        <w:tc>
          <w:tcPr>
            <w:tcW w:w="316" w:type="dxa"/>
            <w:tcBorders>
              <w:top w:val="nil"/>
              <w:left w:val="single" w:sz="4" w:space="0" w:color="auto"/>
              <w:bottom w:val="nil"/>
              <w:right w:val="nil"/>
            </w:tcBorders>
            <w:shd w:val="clear" w:color="auto" w:fill="FFFFFF"/>
            <w:tcMar>
              <w:top w:w="20" w:type="dxa"/>
              <w:left w:w="40" w:type="dxa"/>
              <w:bottom w:w="80" w:type="dxa"/>
              <w:right w:w="40" w:type="dxa"/>
            </w:tcMar>
          </w:tcPr>
          <w:p w14:paraId="4982DFAE"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2587" w:type="dxa"/>
            <w:shd w:val="clear" w:color="auto" w:fill="FFFFFF"/>
            <w:tcMar>
              <w:top w:w="20" w:type="dxa"/>
              <w:left w:w="40" w:type="dxa"/>
              <w:bottom w:w="80" w:type="dxa"/>
              <w:right w:w="40" w:type="dxa"/>
            </w:tcMar>
          </w:tcPr>
          <w:p w14:paraId="3CCBF166"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965" w:type="dxa"/>
            <w:tcBorders>
              <w:top w:val="nil"/>
              <w:left w:val="single" w:sz="4" w:space="0" w:color="auto"/>
              <w:bottom w:val="nil"/>
              <w:right w:val="nil"/>
            </w:tcBorders>
            <w:shd w:val="clear" w:color="auto" w:fill="FFFFFF"/>
            <w:tcMar>
              <w:top w:w="20" w:type="dxa"/>
              <w:left w:w="40" w:type="dxa"/>
              <w:bottom w:w="80" w:type="dxa"/>
              <w:right w:w="40" w:type="dxa"/>
            </w:tcMar>
          </w:tcPr>
          <w:p w14:paraId="76F8B210"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1009" w:type="dxa"/>
            <w:tcBorders>
              <w:top w:val="nil"/>
              <w:left w:val="single" w:sz="4" w:space="0" w:color="auto"/>
              <w:bottom w:val="nil"/>
              <w:right w:val="nil"/>
            </w:tcBorders>
            <w:shd w:val="clear" w:color="auto" w:fill="FFFFFF"/>
            <w:tcMar>
              <w:top w:w="20" w:type="dxa"/>
              <w:left w:w="40" w:type="dxa"/>
              <w:bottom w:w="80" w:type="dxa"/>
              <w:right w:w="40" w:type="dxa"/>
            </w:tcMar>
          </w:tcPr>
          <w:p w14:paraId="3DD4121D"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309" w:type="dxa"/>
            <w:tcBorders>
              <w:top w:val="nil"/>
              <w:left w:val="single" w:sz="4" w:space="0" w:color="auto"/>
              <w:bottom w:val="nil"/>
              <w:right w:val="nil"/>
            </w:tcBorders>
            <w:shd w:val="clear" w:color="auto" w:fill="FFFFFF"/>
            <w:tcMar>
              <w:top w:w="20" w:type="dxa"/>
              <w:left w:w="40" w:type="dxa"/>
              <w:bottom w:w="80" w:type="dxa"/>
              <w:right w:w="40" w:type="dxa"/>
            </w:tcMar>
          </w:tcPr>
          <w:p w14:paraId="0BC7B795"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2768" w:type="dxa"/>
            <w:gridSpan w:val="3"/>
            <w:tcBorders>
              <w:top w:val="single" w:sz="4" w:space="0" w:color="auto"/>
              <w:left w:val="single" w:sz="4" w:space="0" w:color="auto"/>
              <w:bottom w:val="nil"/>
              <w:right w:val="nil"/>
            </w:tcBorders>
            <w:shd w:val="clear" w:color="auto" w:fill="FFFFFF"/>
            <w:tcMar>
              <w:top w:w="20" w:type="dxa"/>
              <w:left w:w="40" w:type="dxa"/>
              <w:bottom w:w="80" w:type="dxa"/>
              <w:right w:w="40" w:type="dxa"/>
            </w:tcMar>
            <w:hideMark/>
          </w:tcPr>
          <w:p w14:paraId="07DA88D4" w14:textId="77777777" w:rsidR="00A54846" w:rsidRDefault="008A2731">
            <w:pPr>
              <w:widowControl w:val="0"/>
              <w:shd w:val="clear" w:color="auto" w:fill="auto"/>
              <w:spacing w:after="0" w:line="240" w:lineRule="auto"/>
              <w:ind w:left="360" w:hanging="360"/>
              <w:jc w:val="center"/>
              <w:rPr>
                <w:rFonts w:ascii="Helvetica" w:eastAsia="Arial Unicode MS" w:hAnsi="Helvetica" w:cs="Arial Unicode MS"/>
                <w:color w:val="000000"/>
                <w:sz w:val="14"/>
                <w:szCs w:val="14"/>
              </w:rPr>
            </w:pPr>
            <w:r>
              <w:rPr>
                <w:rFonts w:ascii="Helvetica" w:hAnsi="Helvetica"/>
                <w:color w:val="000000"/>
                <w:sz w:val="14"/>
              </w:rPr>
              <w:t>Hvorav tjenester og aktiviteter knyttet til aktiviteter som er forenlige med EU-taksonomien (%) (taksonomiforenlige)</w:t>
            </w:r>
          </w:p>
        </w:tc>
        <w:tc>
          <w:tcPr>
            <w:tcW w:w="259" w:type="dxa"/>
            <w:gridSpan w:val="2"/>
            <w:tcBorders>
              <w:top w:val="nil"/>
              <w:left w:val="single" w:sz="4" w:space="0" w:color="auto"/>
              <w:bottom w:val="nil"/>
              <w:right w:val="nil"/>
            </w:tcBorders>
            <w:shd w:val="clear" w:color="auto" w:fill="FFFFFF"/>
            <w:tcMar>
              <w:top w:w="20" w:type="dxa"/>
              <w:left w:w="40" w:type="dxa"/>
              <w:bottom w:w="80" w:type="dxa"/>
              <w:right w:w="40" w:type="dxa"/>
            </w:tcMar>
          </w:tcPr>
          <w:p w14:paraId="65BFDB3F"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2782" w:type="dxa"/>
            <w:gridSpan w:val="3"/>
            <w:tcBorders>
              <w:top w:val="single" w:sz="4" w:space="0" w:color="auto"/>
              <w:left w:val="single" w:sz="4" w:space="0" w:color="auto"/>
              <w:bottom w:val="nil"/>
              <w:right w:val="nil"/>
            </w:tcBorders>
            <w:shd w:val="clear" w:color="auto" w:fill="FFFFFF"/>
            <w:tcMar>
              <w:top w:w="20" w:type="dxa"/>
              <w:left w:w="40" w:type="dxa"/>
              <w:bottom w:w="80" w:type="dxa"/>
              <w:right w:w="40" w:type="dxa"/>
            </w:tcMar>
            <w:hideMark/>
          </w:tcPr>
          <w:p w14:paraId="0C4ADC80" w14:textId="77777777" w:rsidR="00A54846" w:rsidRDefault="008A2731">
            <w:pPr>
              <w:widowControl w:val="0"/>
              <w:shd w:val="clear" w:color="auto" w:fill="auto"/>
              <w:spacing w:after="0" w:line="240" w:lineRule="auto"/>
              <w:ind w:left="360" w:hanging="360"/>
              <w:jc w:val="center"/>
              <w:rPr>
                <w:rFonts w:ascii="Helvetica" w:eastAsia="Arial Unicode MS" w:hAnsi="Helvetica" w:cs="Arial Unicode MS"/>
                <w:color w:val="000000"/>
                <w:sz w:val="14"/>
                <w:szCs w:val="14"/>
              </w:rPr>
            </w:pPr>
            <w:r>
              <w:rPr>
                <w:rFonts w:ascii="Helvetica" w:hAnsi="Helvetica"/>
                <w:color w:val="000000"/>
                <w:sz w:val="14"/>
              </w:rPr>
              <w:t>Hvorav tjenester og aktiviteter knyttet til aktiviteter som er forenlige med EU-taksonomien (%) (taksonomiforenlige)</w:t>
            </w:r>
          </w:p>
        </w:tc>
        <w:tc>
          <w:tcPr>
            <w:tcW w:w="245" w:type="dxa"/>
            <w:tcBorders>
              <w:top w:val="nil"/>
              <w:left w:val="single" w:sz="4" w:space="0" w:color="auto"/>
              <w:bottom w:val="nil"/>
              <w:right w:val="nil"/>
            </w:tcBorders>
            <w:shd w:val="clear" w:color="auto" w:fill="FFFFFF"/>
            <w:tcMar>
              <w:top w:w="20" w:type="dxa"/>
              <w:left w:w="40" w:type="dxa"/>
              <w:bottom w:w="80" w:type="dxa"/>
              <w:right w:w="40" w:type="dxa"/>
            </w:tcMar>
          </w:tcPr>
          <w:p w14:paraId="2EF9E175"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2792" w:type="dxa"/>
            <w:gridSpan w:val="3"/>
            <w:tcBorders>
              <w:top w:val="single" w:sz="4" w:space="0" w:color="auto"/>
              <w:left w:val="single" w:sz="4" w:space="0" w:color="auto"/>
              <w:bottom w:val="nil"/>
              <w:right w:val="nil"/>
            </w:tcBorders>
            <w:shd w:val="clear" w:color="auto" w:fill="FFFFFF"/>
            <w:tcMar>
              <w:top w:w="20" w:type="dxa"/>
              <w:left w:w="40" w:type="dxa"/>
              <w:bottom w:w="80" w:type="dxa"/>
              <w:right w:w="40" w:type="dxa"/>
            </w:tcMar>
            <w:hideMark/>
          </w:tcPr>
          <w:p w14:paraId="434B1FDE" w14:textId="77777777" w:rsidR="00A54846" w:rsidRDefault="008A2731">
            <w:pPr>
              <w:widowControl w:val="0"/>
              <w:shd w:val="clear" w:color="auto" w:fill="auto"/>
              <w:spacing w:after="0" w:line="240" w:lineRule="auto"/>
              <w:ind w:left="360" w:hanging="360"/>
              <w:jc w:val="center"/>
              <w:rPr>
                <w:rFonts w:ascii="Helvetica" w:eastAsia="Arial Unicode MS" w:hAnsi="Helvetica" w:cs="Arial Unicode MS"/>
                <w:color w:val="000000"/>
                <w:sz w:val="14"/>
                <w:szCs w:val="14"/>
              </w:rPr>
            </w:pPr>
            <w:r>
              <w:rPr>
                <w:rFonts w:ascii="Helvetica" w:hAnsi="Helvetica"/>
                <w:color w:val="000000"/>
                <w:sz w:val="14"/>
              </w:rPr>
              <w:t>Hvorav tjenester og aktiviteter knyttet til aktiviteter som er forenlige med EU-taksonomien (%) (taksonomiforenlige)</w:t>
            </w:r>
          </w:p>
        </w:tc>
      </w:tr>
      <w:tr w:rsidR="00A54846" w14:paraId="483A454D" w14:textId="77777777">
        <w:trPr>
          <w:trHeight w:val="317"/>
          <w:tblHeader/>
        </w:trPr>
        <w:tc>
          <w:tcPr>
            <w:tcW w:w="316" w:type="dxa"/>
            <w:tcBorders>
              <w:top w:val="nil"/>
              <w:left w:val="single" w:sz="4" w:space="0" w:color="auto"/>
              <w:bottom w:val="nil"/>
              <w:right w:val="nil"/>
            </w:tcBorders>
            <w:shd w:val="clear" w:color="auto" w:fill="FFFFFF"/>
            <w:tcMar>
              <w:top w:w="20" w:type="dxa"/>
              <w:left w:w="40" w:type="dxa"/>
              <w:bottom w:w="80" w:type="dxa"/>
              <w:right w:w="40" w:type="dxa"/>
            </w:tcMar>
          </w:tcPr>
          <w:p w14:paraId="40890634"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2587" w:type="dxa"/>
            <w:shd w:val="clear" w:color="auto" w:fill="FFFFFF"/>
            <w:tcMar>
              <w:top w:w="20" w:type="dxa"/>
              <w:left w:w="40" w:type="dxa"/>
              <w:bottom w:w="80" w:type="dxa"/>
              <w:right w:w="40" w:type="dxa"/>
            </w:tcMar>
          </w:tcPr>
          <w:p w14:paraId="63BFC9BD"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965" w:type="dxa"/>
            <w:tcBorders>
              <w:top w:val="nil"/>
              <w:left w:val="single" w:sz="4" w:space="0" w:color="auto"/>
              <w:bottom w:val="nil"/>
              <w:right w:val="nil"/>
            </w:tcBorders>
            <w:shd w:val="clear" w:color="auto" w:fill="FFFFFF"/>
            <w:tcMar>
              <w:top w:w="20" w:type="dxa"/>
              <w:left w:w="40" w:type="dxa"/>
              <w:bottom w:w="80" w:type="dxa"/>
              <w:right w:w="40" w:type="dxa"/>
            </w:tcMar>
          </w:tcPr>
          <w:p w14:paraId="4FAB3120"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1009" w:type="dxa"/>
            <w:tcBorders>
              <w:top w:val="nil"/>
              <w:left w:val="single" w:sz="4" w:space="0" w:color="auto"/>
              <w:bottom w:val="nil"/>
              <w:right w:val="nil"/>
            </w:tcBorders>
            <w:shd w:val="clear" w:color="auto" w:fill="FFFFFF"/>
            <w:tcMar>
              <w:top w:w="20" w:type="dxa"/>
              <w:left w:w="40" w:type="dxa"/>
              <w:bottom w:w="80" w:type="dxa"/>
              <w:right w:w="40" w:type="dxa"/>
            </w:tcMar>
          </w:tcPr>
          <w:p w14:paraId="75886DD1"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309" w:type="dxa"/>
            <w:tcBorders>
              <w:top w:val="nil"/>
              <w:left w:val="single" w:sz="4" w:space="0" w:color="auto"/>
              <w:bottom w:val="nil"/>
              <w:right w:val="nil"/>
            </w:tcBorders>
            <w:shd w:val="clear" w:color="auto" w:fill="FFFFFF"/>
            <w:tcMar>
              <w:top w:w="20" w:type="dxa"/>
              <w:left w:w="40" w:type="dxa"/>
              <w:bottom w:w="80" w:type="dxa"/>
              <w:right w:w="40" w:type="dxa"/>
            </w:tcMar>
          </w:tcPr>
          <w:p w14:paraId="0DE9D8ED"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281" w:type="dxa"/>
            <w:tcBorders>
              <w:top w:val="nil"/>
              <w:left w:val="single" w:sz="4" w:space="0" w:color="auto"/>
              <w:bottom w:val="nil"/>
              <w:right w:val="nil"/>
            </w:tcBorders>
            <w:shd w:val="clear" w:color="auto" w:fill="FFFFFF"/>
            <w:tcMar>
              <w:top w:w="20" w:type="dxa"/>
              <w:left w:w="40" w:type="dxa"/>
              <w:bottom w:w="80" w:type="dxa"/>
              <w:right w:w="40" w:type="dxa"/>
            </w:tcMar>
          </w:tcPr>
          <w:p w14:paraId="5F33A216" w14:textId="77777777" w:rsidR="00A54846" w:rsidRPr="006A792F" w:rsidRDefault="00A54846">
            <w:pPr>
              <w:widowControl w:val="0"/>
              <w:shd w:val="clear" w:color="auto" w:fill="auto"/>
              <w:spacing w:after="0" w:line="240" w:lineRule="auto"/>
              <w:jc w:val="center"/>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5ADE035A"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4"/>
                <w:szCs w:val="14"/>
              </w:rPr>
            </w:pPr>
            <w:r>
              <w:rPr>
                <w:rFonts w:ascii="Helvetica" w:hAnsi="Helvetica"/>
                <w:color w:val="000000"/>
                <w:sz w:val="14"/>
              </w:rPr>
              <w:t>Hvorav omstilling (%)</w:t>
            </w:r>
          </w:p>
        </w:tc>
        <w:tc>
          <w:tcPr>
            <w:tcW w:w="107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123379FA"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4"/>
                <w:szCs w:val="14"/>
              </w:rPr>
            </w:pPr>
            <w:r>
              <w:rPr>
                <w:rFonts w:ascii="Helvetica" w:hAnsi="Helvetica"/>
                <w:color w:val="000000"/>
                <w:sz w:val="14"/>
              </w:rPr>
              <w:t>Hvorav muliggjørende (%)</w:t>
            </w:r>
          </w:p>
        </w:tc>
        <w:tc>
          <w:tcPr>
            <w:tcW w:w="259" w:type="dxa"/>
            <w:gridSpan w:val="2"/>
            <w:tcBorders>
              <w:top w:val="nil"/>
              <w:left w:val="single" w:sz="4" w:space="0" w:color="auto"/>
              <w:bottom w:val="nil"/>
              <w:right w:val="nil"/>
            </w:tcBorders>
            <w:shd w:val="clear" w:color="auto" w:fill="FFFFFF"/>
            <w:tcMar>
              <w:top w:w="20" w:type="dxa"/>
              <w:left w:w="40" w:type="dxa"/>
              <w:bottom w:w="80" w:type="dxa"/>
              <w:right w:w="40" w:type="dxa"/>
            </w:tcMar>
            <w:vAlign w:val="center"/>
          </w:tcPr>
          <w:p w14:paraId="5BDB1CF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302" w:type="dxa"/>
            <w:tcBorders>
              <w:top w:val="nil"/>
              <w:left w:val="single" w:sz="4" w:space="0" w:color="auto"/>
              <w:bottom w:val="nil"/>
              <w:right w:val="nil"/>
            </w:tcBorders>
            <w:shd w:val="clear" w:color="auto" w:fill="FFFFFF"/>
            <w:tcMar>
              <w:top w:w="20" w:type="dxa"/>
              <w:left w:w="40" w:type="dxa"/>
              <w:bottom w:w="80" w:type="dxa"/>
              <w:right w:w="40" w:type="dxa"/>
            </w:tcMar>
            <w:vAlign w:val="center"/>
          </w:tcPr>
          <w:p w14:paraId="7FF35C4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362868F0"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4"/>
                <w:szCs w:val="14"/>
              </w:rPr>
            </w:pPr>
            <w:r>
              <w:rPr>
                <w:rFonts w:ascii="Helvetica" w:hAnsi="Helvetica"/>
                <w:color w:val="000000"/>
                <w:sz w:val="14"/>
              </w:rPr>
              <w:t>Hvorav omstilling (%)</w:t>
            </w:r>
          </w:p>
        </w:tc>
        <w:tc>
          <w:tcPr>
            <w:tcW w:w="106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474E81F3"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4"/>
                <w:szCs w:val="14"/>
              </w:rPr>
            </w:pPr>
            <w:r>
              <w:rPr>
                <w:rFonts w:ascii="Helvetica" w:hAnsi="Helvetica"/>
                <w:color w:val="000000"/>
                <w:sz w:val="14"/>
              </w:rPr>
              <w:t>Hvorav muliggjørende (%)</w:t>
            </w:r>
          </w:p>
        </w:tc>
        <w:tc>
          <w:tcPr>
            <w:tcW w:w="245" w:type="dxa"/>
            <w:tcBorders>
              <w:top w:val="nil"/>
              <w:left w:val="single" w:sz="4" w:space="0" w:color="auto"/>
              <w:bottom w:val="nil"/>
              <w:right w:val="nil"/>
            </w:tcBorders>
            <w:shd w:val="clear" w:color="auto" w:fill="FFFFFF"/>
            <w:tcMar>
              <w:top w:w="20" w:type="dxa"/>
              <w:left w:w="40" w:type="dxa"/>
              <w:bottom w:w="80" w:type="dxa"/>
              <w:right w:w="40" w:type="dxa"/>
            </w:tcMar>
            <w:vAlign w:val="center"/>
          </w:tcPr>
          <w:p w14:paraId="29DC1B0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95" w:type="dxa"/>
            <w:tcBorders>
              <w:top w:val="nil"/>
              <w:left w:val="single" w:sz="4" w:space="0" w:color="auto"/>
              <w:bottom w:val="nil"/>
              <w:right w:val="nil"/>
            </w:tcBorders>
            <w:shd w:val="clear" w:color="auto" w:fill="FFFFFF"/>
            <w:tcMar>
              <w:top w:w="20" w:type="dxa"/>
              <w:left w:w="40" w:type="dxa"/>
              <w:bottom w:w="80" w:type="dxa"/>
              <w:right w:w="40" w:type="dxa"/>
            </w:tcMar>
            <w:vAlign w:val="center"/>
          </w:tcPr>
          <w:p w14:paraId="7C06780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1F38324A"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4"/>
                <w:szCs w:val="14"/>
              </w:rPr>
            </w:pPr>
            <w:r>
              <w:rPr>
                <w:rFonts w:ascii="Helvetica" w:hAnsi="Helvetica"/>
                <w:color w:val="000000"/>
                <w:sz w:val="14"/>
              </w:rPr>
              <w:t>Hvorav omstilling (%)</w:t>
            </w:r>
          </w:p>
        </w:tc>
        <w:tc>
          <w:tcPr>
            <w:tcW w:w="1084" w:type="dxa"/>
            <w:tcBorders>
              <w:top w:val="single" w:sz="4" w:space="0" w:color="auto"/>
              <w:left w:val="single" w:sz="4" w:space="0" w:color="auto"/>
              <w:bottom w:val="nil"/>
              <w:right w:val="single" w:sz="4" w:space="0" w:color="auto"/>
            </w:tcBorders>
            <w:shd w:val="clear" w:color="auto" w:fill="FFFFFF"/>
            <w:tcMar>
              <w:top w:w="20" w:type="dxa"/>
              <w:left w:w="40" w:type="dxa"/>
              <w:bottom w:w="80" w:type="dxa"/>
              <w:right w:w="40" w:type="dxa"/>
            </w:tcMar>
            <w:vAlign w:val="center"/>
            <w:hideMark/>
          </w:tcPr>
          <w:p w14:paraId="49EDF0C3" w14:textId="77777777" w:rsidR="00A54846" w:rsidRDefault="008A2731">
            <w:pPr>
              <w:widowControl w:val="0"/>
              <w:shd w:val="clear" w:color="auto" w:fill="auto"/>
              <w:spacing w:after="0" w:line="240" w:lineRule="auto"/>
              <w:jc w:val="left"/>
              <w:rPr>
                <w:rFonts w:ascii="Helvetica" w:eastAsia="Arial Unicode MS" w:hAnsi="Helvetica" w:cs="Arial Unicode MS"/>
                <w:color w:val="000000"/>
                <w:sz w:val="14"/>
                <w:szCs w:val="14"/>
              </w:rPr>
            </w:pPr>
            <w:r>
              <w:rPr>
                <w:rFonts w:ascii="Helvetica" w:hAnsi="Helvetica"/>
                <w:color w:val="000000"/>
                <w:sz w:val="14"/>
              </w:rPr>
              <w:t>Hvorav muliggjørende (%)</w:t>
            </w:r>
          </w:p>
        </w:tc>
      </w:tr>
      <w:tr w:rsidR="00A54846" w14:paraId="54338270" w14:textId="77777777">
        <w:trPr>
          <w:trHeight w:val="963"/>
        </w:trPr>
        <w:tc>
          <w:tcPr>
            <w:tcW w:w="31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7E817A5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1</w:t>
            </w:r>
          </w:p>
        </w:tc>
        <w:tc>
          <w:tcPr>
            <w:tcW w:w="2587" w:type="dxa"/>
            <w:tcBorders>
              <w:top w:val="single" w:sz="4" w:space="0" w:color="auto"/>
              <w:left w:val="single" w:sz="4" w:space="0" w:color="auto"/>
              <w:bottom w:val="nil"/>
              <w:right w:val="nil"/>
            </w:tcBorders>
            <w:shd w:val="clear" w:color="auto" w:fill="FFFFFF"/>
            <w:tcMar>
              <w:top w:w="20" w:type="dxa"/>
              <w:left w:w="40" w:type="dxa"/>
              <w:bottom w:w="80" w:type="dxa"/>
              <w:right w:w="40" w:type="dxa"/>
            </w:tcMar>
            <w:hideMark/>
          </w:tcPr>
          <w:p w14:paraId="483FD7AA" w14:textId="77777777" w:rsidR="00A54846" w:rsidRDefault="008A2731">
            <w:pPr>
              <w:widowControl w:val="0"/>
              <w:shd w:val="clear" w:color="auto" w:fill="auto"/>
              <w:spacing w:after="0" w:line="240" w:lineRule="auto"/>
              <w:jc w:val="left"/>
              <w:rPr>
                <w:rFonts w:ascii="Helvetica" w:eastAsia="Arial Unicode MS" w:hAnsi="Helvetica" w:cs="Arial Unicode MS"/>
                <w:b/>
                <w:color w:val="000000"/>
                <w:sz w:val="14"/>
                <w:szCs w:val="14"/>
              </w:rPr>
            </w:pPr>
            <w:r>
              <w:rPr>
                <w:rFonts w:ascii="Helvetica" w:hAnsi="Helvetica"/>
                <w:b/>
                <w:color w:val="000000"/>
                <w:sz w:val="14"/>
              </w:rPr>
              <w:t>Inntekter (dvs. gebyrer, provisjoner og andre pengeytelser) fra investeringer og andre tjenester og aktiviteter enn handel for egen regning (iht. avsnitt A i vedlegg I til direktiv 2014/65/EU)</w:t>
            </w:r>
          </w:p>
        </w:tc>
        <w:tc>
          <w:tcPr>
            <w:tcW w:w="96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5441701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6D7632A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6A829DD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81"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2FED30B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3972DBD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7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066958A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59" w:type="dxa"/>
            <w:gridSpan w:val="2"/>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127B787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02"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25C9D0C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4A5BA18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6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384FE70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4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6C5F83A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9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2749DA9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575456C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84" w:type="dxa"/>
            <w:tcBorders>
              <w:top w:val="single" w:sz="4" w:space="0" w:color="auto"/>
              <w:left w:val="single" w:sz="4" w:space="0" w:color="auto"/>
              <w:bottom w:val="nil"/>
              <w:right w:val="single" w:sz="4" w:space="0" w:color="auto"/>
            </w:tcBorders>
            <w:shd w:val="clear" w:color="auto" w:fill="FFFFFF"/>
            <w:tcMar>
              <w:top w:w="20" w:type="dxa"/>
              <w:left w:w="40" w:type="dxa"/>
              <w:bottom w:w="80" w:type="dxa"/>
              <w:right w:w="40" w:type="dxa"/>
            </w:tcMar>
          </w:tcPr>
          <w:p w14:paraId="599214C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r>
      <w:tr w:rsidR="00A54846" w14:paraId="70AFAB9D" w14:textId="77777777">
        <w:trPr>
          <w:trHeight w:val="476"/>
        </w:trPr>
        <w:tc>
          <w:tcPr>
            <w:tcW w:w="31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571FD75B"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2</w:t>
            </w:r>
          </w:p>
        </w:tc>
        <w:tc>
          <w:tcPr>
            <w:tcW w:w="2587" w:type="dxa"/>
            <w:tcBorders>
              <w:top w:val="single" w:sz="4" w:space="0" w:color="auto"/>
              <w:left w:val="single" w:sz="4" w:space="0" w:color="auto"/>
              <w:bottom w:val="nil"/>
              <w:right w:val="nil"/>
            </w:tcBorders>
            <w:shd w:val="clear" w:color="auto" w:fill="FFFFFF"/>
            <w:tcMar>
              <w:top w:w="20" w:type="dxa"/>
              <w:left w:w="40" w:type="dxa"/>
              <w:bottom w:w="80" w:type="dxa"/>
              <w:right w:w="40" w:type="dxa"/>
            </w:tcMar>
            <w:hideMark/>
          </w:tcPr>
          <w:p w14:paraId="7B95A1A3" w14:textId="77777777" w:rsidR="00A54846" w:rsidRDefault="008A2731">
            <w:pPr>
              <w:widowControl w:val="0"/>
              <w:shd w:val="clear" w:color="auto" w:fill="auto"/>
              <w:spacing w:after="0" w:line="240" w:lineRule="auto"/>
              <w:ind w:left="200"/>
              <w:jc w:val="left"/>
              <w:rPr>
                <w:rFonts w:ascii="Helvetica" w:eastAsia="Arial Unicode MS" w:hAnsi="Helvetica" w:cs="Arial Unicode MS"/>
                <w:color w:val="000000"/>
                <w:sz w:val="14"/>
                <w:szCs w:val="14"/>
              </w:rPr>
            </w:pPr>
            <w:r>
              <w:rPr>
                <w:rFonts w:ascii="Helvetica" w:hAnsi="Helvetica"/>
                <w:color w:val="000000"/>
                <w:sz w:val="14"/>
              </w:rPr>
              <w:t>Mottak og formidling av ordrer i forbindelse med et eller flere finansielle instrumenter</w:t>
            </w:r>
          </w:p>
        </w:tc>
        <w:tc>
          <w:tcPr>
            <w:tcW w:w="96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3666D36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21C9644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46179D7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81"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1300397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0AA876C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7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7BE151C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59" w:type="dxa"/>
            <w:gridSpan w:val="2"/>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0E0B6D4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02"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676C0DF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375FA58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6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6B5DF0C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4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0DE9E53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9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610C602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32D18FD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84" w:type="dxa"/>
            <w:tcBorders>
              <w:top w:val="single" w:sz="4" w:space="0" w:color="auto"/>
              <w:left w:val="single" w:sz="4" w:space="0" w:color="auto"/>
              <w:bottom w:val="nil"/>
              <w:right w:val="single" w:sz="4" w:space="0" w:color="auto"/>
            </w:tcBorders>
            <w:shd w:val="clear" w:color="auto" w:fill="FFFFFF"/>
            <w:tcMar>
              <w:top w:w="20" w:type="dxa"/>
              <w:left w:w="40" w:type="dxa"/>
              <w:bottom w:w="80" w:type="dxa"/>
              <w:right w:w="40" w:type="dxa"/>
            </w:tcMar>
          </w:tcPr>
          <w:p w14:paraId="2C87CC2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r>
      <w:tr w:rsidR="00A54846" w14:paraId="65EDEDF4" w14:textId="77777777">
        <w:trPr>
          <w:trHeight w:val="327"/>
        </w:trPr>
        <w:tc>
          <w:tcPr>
            <w:tcW w:w="31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1E578FC3"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3</w:t>
            </w:r>
          </w:p>
        </w:tc>
        <w:tc>
          <w:tcPr>
            <w:tcW w:w="2587" w:type="dxa"/>
            <w:tcBorders>
              <w:top w:val="single" w:sz="4" w:space="0" w:color="auto"/>
              <w:left w:val="single" w:sz="4" w:space="0" w:color="auto"/>
              <w:bottom w:val="nil"/>
              <w:right w:val="nil"/>
            </w:tcBorders>
            <w:shd w:val="clear" w:color="auto" w:fill="FFFFFF"/>
            <w:tcMar>
              <w:top w:w="20" w:type="dxa"/>
              <w:left w:w="40" w:type="dxa"/>
              <w:bottom w:w="80" w:type="dxa"/>
              <w:right w:w="40" w:type="dxa"/>
            </w:tcMar>
            <w:hideMark/>
          </w:tcPr>
          <w:p w14:paraId="2032EAB5" w14:textId="77777777" w:rsidR="00A54846" w:rsidRDefault="008A2731">
            <w:pPr>
              <w:widowControl w:val="0"/>
              <w:shd w:val="clear" w:color="auto" w:fill="auto"/>
              <w:spacing w:after="0" w:line="240" w:lineRule="auto"/>
              <w:ind w:left="200"/>
              <w:jc w:val="left"/>
              <w:rPr>
                <w:rFonts w:ascii="Helvetica" w:eastAsia="Arial Unicode MS" w:hAnsi="Helvetica" w:cs="Arial Unicode MS"/>
                <w:color w:val="000000"/>
                <w:sz w:val="14"/>
                <w:szCs w:val="14"/>
              </w:rPr>
            </w:pPr>
            <w:r>
              <w:rPr>
                <w:rFonts w:ascii="Helvetica" w:hAnsi="Helvetica"/>
                <w:color w:val="000000"/>
                <w:sz w:val="14"/>
              </w:rPr>
              <w:t>Utførelse av ordrer på vegne av kunder</w:t>
            </w:r>
          </w:p>
        </w:tc>
        <w:tc>
          <w:tcPr>
            <w:tcW w:w="96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5C62E47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58E28FD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06B57F0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81"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7BD616E9"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5F39E8C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7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4BA3BEC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59" w:type="dxa"/>
            <w:gridSpan w:val="2"/>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63DAEA1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02"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6053D36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0AE27FE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6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2E514DB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4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001FDB1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9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6125119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6620C0F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84" w:type="dxa"/>
            <w:tcBorders>
              <w:top w:val="single" w:sz="4" w:space="0" w:color="auto"/>
              <w:left w:val="single" w:sz="4" w:space="0" w:color="auto"/>
              <w:bottom w:val="nil"/>
              <w:right w:val="single" w:sz="4" w:space="0" w:color="auto"/>
            </w:tcBorders>
            <w:shd w:val="clear" w:color="auto" w:fill="FFFFFF"/>
            <w:tcMar>
              <w:top w:w="20" w:type="dxa"/>
              <w:left w:w="40" w:type="dxa"/>
              <w:bottom w:w="80" w:type="dxa"/>
              <w:right w:w="40" w:type="dxa"/>
            </w:tcMar>
          </w:tcPr>
          <w:p w14:paraId="1196EC2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r>
      <w:tr w:rsidR="00A54846" w14:paraId="69B5FF3F" w14:textId="77777777">
        <w:trPr>
          <w:trHeight w:val="158"/>
        </w:trPr>
        <w:tc>
          <w:tcPr>
            <w:tcW w:w="316"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hideMark/>
          </w:tcPr>
          <w:p w14:paraId="73CE916A"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4</w:t>
            </w:r>
          </w:p>
        </w:tc>
        <w:tc>
          <w:tcPr>
            <w:tcW w:w="2587"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hideMark/>
          </w:tcPr>
          <w:p w14:paraId="56AD7F4D" w14:textId="77777777" w:rsidR="00A54846" w:rsidRDefault="008A2731">
            <w:pPr>
              <w:widowControl w:val="0"/>
              <w:shd w:val="clear" w:color="auto" w:fill="auto"/>
              <w:spacing w:after="0" w:line="240" w:lineRule="auto"/>
              <w:ind w:left="200"/>
              <w:jc w:val="left"/>
              <w:rPr>
                <w:rFonts w:ascii="Helvetica" w:eastAsia="Arial Unicode MS" w:hAnsi="Helvetica" w:cs="Arial Unicode MS"/>
                <w:color w:val="000000"/>
                <w:sz w:val="14"/>
                <w:szCs w:val="14"/>
              </w:rPr>
            </w:pPr>
            <w:r>
              <w:rPr>
                <w:rFonts w:ascii="Helvetica" w:hAnsi="Helvetica"/>
                <w:color w:val="000000"/>
                <w:sz w:val="14"/>
              </w:rPr>
              <w:t>Porteføljeforvaltning</w:t>
            </w:r>
          </w:p>
        </w:tc>
        <w:tc>
          <w:tcPr>
            <w:tcW w:w="965"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58F9871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09"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77C12AB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309"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48909DC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81"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6F009E8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413"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05CF4BD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73"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7C9DF91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59"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5369836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302"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11E1F7A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413"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24E7A71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66"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66016E1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45"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5FE8B78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95"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7DD4993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413"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6006CC8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84"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80" w:type="dxa"/>
              <w:right w:w="40" w:type="dxa"/>
            </w:tcMar>
          </w:tcPr>
          <w:p w14:paraId="7FE0AF6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r>
      <w:tr w:rsidR="00A54846" w14:paraId="7374124A" w14:textId="77777777">
        <w:trPr>
          <w:trHeight w:val="158"/>
        </w:trPr>
        <w:tc>
          <w:tcPr>
            <w:tcW w:w="31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bottom"/>
            <w:hideMark/>
          </w:tcPr>
          <w:p w14:paraId="060E0568" w14:textId="77777777" w:rsidR="00A54846" w:rsidRDefault="008A2731">
            <w:pPr>
              <w:pageBreakBefore/>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lastRenderedPageBreak/>
              <w:t>5</w:t>
            </w:r>
          </w:p>
        </w:tc>
        <w:tc>
          <w:tcPr>
            <w:tcW w:w="2587"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bottom"/>
            <w:hideMark/>
          </w:tcPr>
          <w:p w14:paraId="62F22160" w14:textId="77777777" w:rsidR="00A54846" w:rsidRDefault="008A2731">
            <w:pPr>
              <w:pageBreakBefore/>
              <w:widowControl w:val="0"/>
              <w:shd w:val="clear" w:color="auto" w:fill="auto"/>
              <w:spacing w:after="0" w:line="240" w:lineRule="auto"/>
              <w:ind w:left="200"/>
              <w:jc w:val="left"/>
              <w:rPr>
                <w:rFonts w:ascii="Helvetica" w:eastAsia="Arial Unicode MS" w:hAnsi="Helvetica" w:cs="Arial Unicode MS"/>
                <w:color w:val="000000"/>
                <w:sz w:val="14"/>
                <w:szCs w:val="14"/>
              </w:rPr>
            </w:pPr>
            <w:r>
              <w:rPr>
                <w:rFonts w:ascii="Helvetica" w:hAnsi="Helvetica"/>
                <w:color w:val="000000"/>
                <w:sz w:val="14"/>
              </w:rPr>
              <w:t>Investeringsrådgivning</w:t>
            </w:r>
          </w:p>
        </w:tc>
        <w:tc>
          <w:tcPr>
            <w:tcW w:w="96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7DF73B5C" w14:textId="77777777" w:rsidR="00A54846" w:rsidRDefault="00A54846">
            <w:pPr>
              <w:pageBreakBefore/>
              <w:widowControl w:val="0"/>
              <w:shd w:val="clear" w:color="auto" w:fill="auto"/>
              <w:spacing w:after="0" w:line="240" w:lineRule="auto"/>
              <w:jc w:val="center"/>
              <w:rPr>
                <w:rFonts w:ascii="Helvetica" w:eastAsia="Arial Unicode MS" w:hAnsi="Helvetica" w:cs="Arial Unicode MS"/>
                <w:color w:val="000000"/>
                <w:sz w:val="14"/>
                <w:szCs w:val="14"/>
                <w:lang w:val="en-US" w:bidi="en-US"/>
              </w:rPr>
            </w:pPr>
          </w:p>
        </w:tc>
        <w:tc>
          <w:tcPr>
            <w:tcW w:w="10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10AD304F" w14:textId="77777777" w:rsidR="00A54846" w:rsidRDefault="00A54846">
            <w:pPr>
              <w:pageBreakBefore/>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3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5F231227" w14:textId="77777777" w:rsidR="00A54846" w:rsidRDefault="00A54846">
            <w:pPr>
              <w:pageBreakBefore/>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81"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5F7C38A2" w14:textId="77777777" w:rsidR="00A54846" w:rsidRDefault="00A54846">
            <w:pPr>
              <w:pageBreakBefore/>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3B959038" w14:textId="77777777" w:rsidR="00A54846" w:rsidRDefault="00A54846">
            <w:pPr>
              <w:pageBreakBefore/>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81" w:type="dxa"/>
            <w:gridSpan w:val="2"/>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73CA875D" w14:textId="77777777" w:rsidR="00A54846" w:rsidRDefault="00A54846">
            <w:pPr>
              <w:pageBreakBefore/>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52"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3BB7DE84" w14:textId="77777777" w:rsidR="00A54846" w:rsidRDefault="00A54846">
            <w:pPr>
              <w:pageBreakBefore/>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302" w:type="dxa"/>
            <w:tcBorders>
              <w:top w:val="nil"/>
              <w:left w:val="single" w:sz="4" w:space="0" w:color="auto"/>
              <w:bottom w:val="nil"/>
              <w:right w:val="nil"/>
            </w:tcBorders>
            <w:shd w:val="clear" w:color="auto" w:fill="FFFFFF"/>
            <w:tcMar>
              <w:top w:w="20" w:type="dxa"/>
              <w:left w:w="40" w:type="dxa"/>
              <w:bottom w:w="80" w:type="dxa"/>
              <w:right w:w="40" w:type="dxa"/>
            </w:tcMar>
          </w:tcPr>
          <w:p w14:paraId="17E03ECE" w14:textId="77777777" w:rsidR="00A54846" w:rsidRDefault="00A54846">
            <w:pPr>
              <w:pageBreakBefore/>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10D617F1" w14:textId="77777777" w:rsidR="00A54846" w:rsidRDefault="00A54846">
            <w:pPr>
              <w:pageBreakBefore/>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6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00612763" w14:textId="77777777" w:rsidR="00A54846" w:rsidRDefault="00A54846">
            <w:pPr>
              <w:pageBreakBefore/>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4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2A30A23C" w14:textId="77777777" w:rsidR="00A54846" w:rsidRDefault="00A54846">
            <w:pPr>
              <w:pageBreakBefore/>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95" w:type="dxa"/>
            <w:tcBorders>
              <w:top w:val="nil"/>
              <w:left w:val="single" w:sz="4" w:space="0" w:color="auto"/>
              <w:bottom w:val="nil"/>
              <w:right w:val="nil"/>
            </w:tcBorders>
            <w:shd w:val="clear" w:color="auto" w:fill="FFFFFF"/>
            <w:tcMar>
              <w:top w:w="20" w:type="dxa"/>
              <w:left w:w="40" w:type="dxa"/>
              <w:bottom w:w="80" w:type="dxa"/>
              <w:right w:w="40" w:type="dxa"/>
            </w:tcMar>
          </w:tcPr>
          <w:p w14:paraId="26CCA427" w14:textId="77777777" w:rsidR="00A54846" w:rsidRDefault="00A54846">
            <w:pPr>
              <w:pageBreakBefore/>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13C2318E" w14:textId="77777777" w:rsidR="00A54846" w:rsidRDefault="00A54846">
            <w:pPr>
              <w:pageBreakBefore/>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84" w:type="dxa"/>
            <w:tcBorders>
              <w:top w:val="single" w:sz="4" w:space="0" w:color="auto"/>
              <w:left w:val="single" w:sz="4" w:space="0" w:color="auto"/>
              <w:bottom w:val="nil"/>
              <w:right w:val="single" w:sz="4" w:space="0" w:color="auto"/>
            </w:tcBorders>
            <w:shd w:val="clear" w:color="auto" w:fill="FFFFFF"/>
            <w:tcMar>
              <w:top w:w="20" w:type="dxa"/>
              <w:left w:w="40" w:type="dxa"/>
              <w:bottom w:w="80" w:type="dxa"/>
              <w:right w:w="40" w:type="dxa"/>
            </w:tcMar>
          </w:tcPr>
          <w:p w14:paraId="1BF3CFB5" w14:textId="77777777" w:rsidR="00A54846" w:rsidRDefault="00A54846">
            <w:pPr>
              <w:pageBreakBefore/>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r>
      <w:tr w:rsidR="00A54846" w14:paraId="6EE0D181" w14:textId="77777777">
        <w:trPr>
          <w:trHeight w:val="476"/>
        </w:trPr>
        <w:tc>
          <w:tcPr>
            <w:tcW w:w="31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46EEA249"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6</w:t>
            </w:r>
          </w:p>
        </w:tc>
        <w:tc>
          <w:tcPr>
            <w:tcW w:w="2587"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bottom"/>
            <w:hideMark/>
          </w:tcPr>
          <w:p w14:paraId="4BD498AB" w14:textId="77777777" w:rsidR="00A54846" w:rsidRDefault="008A2731">
            <w:pPr>
              <w:widowControl w:val="0"/>
              <w:shd w:val="clear" w:color="auto" w:fill="auto"/>
              <w:spacing w:after="0" w:line="240" w:lineRule="auto"/>
              <w:ind w:left="200"/>
              <w:jc w:val="left"/>
              <w:rPr>
                <w:rFonts w:ascii="Helvetica" w:eastAsia="Arial Unicode MS" w:hAnsi="Helvetica" w:cs="Arial Unicode MS"/>
                <w:color w:val="000000"/>
                <w:sz w:val="14"/>
                <w:szCs w:val="14"/>
              </w:rPr>
            </w:pPr>
            <w:r>
              <w:rPr>
                <w:rFonts w:ascii="Helvetica" w:hAnsi="Helvetica"/>
                <w:color w:val="000000"/>
                <w:sz w:val="14"/>
              </w:rPr>
              <w:t>Fulltegningsgaranti for finansielle instrumenter og/eller plassering av finansielle instrumenter på grunnlag av bindende tilsagn</w:t>
            </w:r>
          </w:p>
        </w:tc>
        <w:tc>
          <w:tcPr>
            <w:tcW w:w="96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35F1C34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16DCFE2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370F71C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81"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668C443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2E22E8C6"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81" w:type="dxa"/>
            <w:gridSpan w:val="2"/>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0C48BD2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52"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5D8CACF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02"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78D3B9D2"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6D8C9B6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6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4633CBC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4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4C1CDAF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9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0A0941DA"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202FEEEF"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84" w:type="dxa"/>
            <w:tcBorders>
              <w:top w:val="single" w:sz="4" w:space="0" w:color="auto"/>
              <w:left w:val="single" w:sz="4" w:space="0" w:color="auto"/>
              <w:bottom w:val="nil"/>
              <w:right w:val="single" w:sz="4" w:space="0" w:color="auto"/>
            </w:tcBorders>
            <w:shd w:val="clear" w:color="auto" w:fill="FFFFFF"/>
            <w:tcMar>
              <w:top w:w="20" w:type="dxa"/>
              <w:left w:w="40" w:type="dxa"/>
              <w:bottom w:w="80" w:type="dxa"/>
              <w:right w:w="40" w:type="dxa"/>
            </w:tcMar>
          </w:tcPr>
          <w:p w14:paraId="69EE1D2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r>
      <w:tr w:rsidR="00A54846" w14:paraId="64EED04F" w14:textId="77777777">
        <w:trPr>
          <w:trHeight w:val="317"/>
        </w:trPr>
        <w:tc>
          <w:tcPr>
            <w:tcW w:w="31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41D2437D"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7</w:t>
            </w:r>
          </w:p>
        </w:tc>
        <w:tc>
          <w:tcPr>
            <w:tcW w:w="2587"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center"/>
            <w:hideMark/>
          </w:tcPr>
          <w:p w14:paraId="3A73F58A" w14:textId="77777777" w:rsidR="00A54846" w:rsidRDefault="008A2731">
            <w:pPr>
              <w:widowControl w:val="0"/>
              <w:shd w:val="clear" w:color="auto" w:fill="auto"/>
              <w:spacing w:after="0" w:line="240" w:lineRule="auto"/>
              <w:ind w:left="200"/>
              <w:jc w:val="left"/>
              <w:rPr>
                <w:rFonts w:ascii="Helvetica" w:eastAsia="Arial Unicode MS" w:hAnsi="Helvetica" w:cs="Arial Unicode MS"/>
                <w:color w:val="000000"/>
                <w:sz w:val="14"/>
                <w:szCs w:val="14"/>
              </w:rPr>
            </w:pPr>
            <w:r>
              <w:rPr>
                <w:rFonts w:ascii="Helvetica" w:hAnsi="Helvetica"/>
                <w:color w:val="000000"/>
                <w:sz w:val="14"/>
              </w:rPr>
              <w:t>Plassering av finansielle instrumenter uten bindende tilsagn</w:t>
            </w:r>
          </w:p>
        </w:tc>
        <w:tc>
          <w:tcPr>
            <w:tcW w:w="96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0D9F94E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3E1F9591"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5CB9B1FE"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81"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5AEE40B4"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013514A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81" w:type="dxa"/>
            <w:gridSpan w:val="2"/>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6C662DA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52"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26F21120"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302"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2F87B325"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03F066F7"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6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38AAC103"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4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09BB5B2C"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29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73A55A9B"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2991F248"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c>
          <w:tcPr>
            <w:tcW w:w="1084" w:type="dxa"/>
            <w:tcBorders>
              <w:top w:val="single" w:sz="4" w:space="0" w:color="auto"/>
              <w:left w:val="single" w:sz="4" w:space="0" w:color="auto"/>
              <w:bottom w:val="nil"/>
              <w:right w:val="single" w:sz="4" w:space="0" w:color="auto"/>
            </w:tcBorders>
            <w:shd w:val="clear" w:color="auto" w:fill="FFFFFF"/>
            <w:tcMar>
              <w:top w:w="20" w:type="dxa"/>
              <w:left w:w="40" w:type="dxa"/>
              <w:bottom w:w="80" w:type="dxa"/>
              <w:right w:w="40" w:type="dxa"/>
            </w:tcMar>
          </w:tcPr>
          <w:p w14:paraId="5F08854D" w14:textId="77777777" w:rsidR="00A54846" w:rsidRPr="006A792F" w:rsidRDefault="00A54846">
            <w:pPr>
              <w:widowControl w:val="0"/>
              <w:shd w:val="clear" w:color="auto" w:fill="auto"/>
              <w:spacing w:after="0" w:line="240" w:lineRule="auto"/>
              <w:jc w:val="left"/>
              <w:rPr>
                <w:rFonts w:ascii="Helvetica" w:eastAsia="Arial Unicode MS" w:hAnsi="Helvetica" w:cs="Arial Unicode MS"/>
                <w:color w:val="000000"/>
                <w:sz w:val="14"/>
                <w:szCs w:val="14"/>
                <w:lang w:bidi="en-US"/>
              </w:rPr>
            </w:pPr>
          </w:p>
        </w:tc>
      </w:tr>
      <w:tr w:rsidR="00A54846" w14:paraId="4524FE3B" w14:textId="77777777">
        <w:trPr>
          <w:trHeight w:val="158"/>
        </w:trPr>
        <w:tc>
          <w:tcPr>
            <w:tcW w:w="31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bottom"/>
            <w:hideMark/>
          </w:tcPr>
          <w:p w14:paraId="38BA51C6"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8</w:t>
            </w:r>
          </w:p>
        </w:tc>
        <w:tc>
          <w:tcPr>
            <w:tcW w:w="2587" w:type="dxa"/>
            <w:tcBorders>
              <w:top w:val="single" w:sz="4" w:space="0" w:color="auto"/>
              <w:left w:val="single" w:sz="4" w:space="0" w:color="auto"/>
              <w:bottom w:val="nil"/>
              <w:right w:val="nil"/>
            </w:tcBorders>
            <w:shd w:val="clear" w:color="auto" w:fill="FFFFFF"/>
            <w:tcMar>
              <w:top w:w="20" w:type="dxa"/>
              <w:left w:w="40" w:type="dxa"/>
              <w:bottom w:w="80" w:type="dxa"/>
              <w:right w:w="40" w:type="dxa"/>
            </w:tcMar>
            <w:vAlign w:val="bottom"/>
            <w:hideMark/>
          </w:tcPr>
          <w:p w14:paraId="5EDFE20F" w14:textId="77777777" w:rsidR="00A54846" w:rsidRDefault="008A2731">
            <w:pPr>
              <w:widowControl w:val="0"/>
              <w:shd w:val="clear" w:color="auto" w:fill="auto"/>
              <w:spacing w:after="0" w:line="240" w:lineRule="auto"/>
              <w:ind w:left="200"/>
              <w:jc w:val="left"/>
              <w:rPr>
                <w:rFonts w:ascii="Helvetica" w:eastAsia="Arial Unicode MS" w:hAnsi="Helvetica" w:cs="Arial Unicode MS"/>
                <w:color w:val="000000"/>
                <w:sz w:val="14"/>
                <w:szCs w:val="14"/>
              </w:rPr>
            </w:pPr>
            <w:r>
              <w:rPr>
                <w:rFonts w:ascii="Helvetica" w:hAnsi="Helvetica"/>
                <w:color w:val="000000"/>
                <w:sz w:val="14"/>
              </w:rPr>
              <w:t>Drift av en MHF</w:t>
            </w:r>
          </w:p>
        </w:tc>
        <w:tc>
          <w:tcPr>
            <w:tcW w:w="96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4DF03E1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148A5CE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309"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1B1C043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81"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1CDB293F"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1ECA1940"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81" w:type="dxa"/>
            <w:gridSpan w:val="2"/>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4A376B0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52"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4B1240B7"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302"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16497D68"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1C5CB8D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66"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2C2C544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4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3BA9A31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95"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75E1D8BB"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413" w:type="dxa"/>
            <w:tcBorders>
              <w:top w:val="single" w:sz="4" w:space="0" w:color="auto"/>
              <w:left w:val="single" w:sz="4" w:space="0" w:color="auto"/>
              <w:bottom w:val="nil"/>
              <w:right w:val="nil"/>
            </w:tcBorders>
            <w:shd w:val="clear" w:color="auto" w:fill="FFFFFF"/>
            <w:tcMar>
              <w:top w:w="20" w:type="dxa"/>
              <w:left w:w="40" w:type="dxa"/>
              <w:bottom w:w="80" w:type="dxa"/>
              <w:right w:w="40" w:type="dxa"/>
            </w:tcMar>
          </w:tcPr>
          <w:p w14:paraId="74446D0D"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84" w:type="dxa"/>
            <w:tcBorders>
              <w:top w:val="single" w:sz="4" w:space="0" w:color="auto"/>
              <w:left w:val="single" w:sz="4" w:space="0" w:color="auto"/>
              <w:bottom w:val="nil"/>
              <w:right w:val="single" w:sz="4" w:space="0" w:color="auto"/>
            </w:tcBorders>
            <w:shd w:val="clear" w:color="auto" w:fill="FFFFFF"/>
            <w:tcMar>
              <w:top w:w="20" w:type="dxa"/>
              <w:left w:w="40" w:type="dxa"/>
              <w:bottom w:w="80" w:type="dxa"/>
              <w:right w:w="40" w:type="dxa"/>
            </w:tcMar>
          </w:tcPr>
          <w:p w14:paraId="001873F4"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r>
      <w:tr w:rsidR="00A54846" w14:paraId="22E1DD69" w14:textId="77777777">
        <w:trPr>
          <w:trHeight w:val="158"/>
        </w:trPr>
        <w:tc>
          <w:tcPr>
            <w:tcW w:w="316"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vAlign w:val="bottom"/>
            <w:hideMark/>
          </w:tcPr>
          <w:p w14:paraId="3739E5D1" w14:textId="77777777" w:rsidR="00A54846" w:rsidRDefault="008A2731">
            <w:pPr>
              <w:widowControl w:val="0"/>
              <w:shd w:val="clear" w:color="auto" w:fill="auto"/>
              <w:spacing w:after="0" w:line="240" w:lineRule="auto"/>
              <w:jc w:val="center"/>
              <w:rPr>
                <w:rFonts w:ascii="Helvetica" w:eastAsia="Arial Unicode MS" w:hAnsi="Helvetica" w:cs="Arial Unicode MS"/>
                <w:color w:val="000000"/>
                <w:sz w:val="14"/>
                <w:szCs w:val="14"/>
              </w:rPr>
            </w:pPr>
            <w:r>
              <w:rPr>
                <w:rFonts w:ascii="Helvetica" w:hAnsi="Helvetica"/>
                <w:color w:val="000000"/>
                <w:sz w:val="14"/>
              </w:rPr>
              <w:t>9</w:t>
            </w:r>
          </w:p>
        </w:tc>
        <w:tc>
          <w:tcPr>
            <w:tcW w:w="2587"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vAlign w:val="bottom"/>
            <w:hideMark/>
          </w:tcPr>
          <w:p w14:paraId="433255DF" w14:textId="77777777" w:rsidR="00A54846" w:rsidRDefault="008A2731">
            <w:pPr>
              <w:widowControl w:val="0"/>
              <w:shd w:val="clear" w:color="auto" w:fill="auto"/>
              <w:spacing w:after="0" w:line="240" w:lineRule="auto"/>
              <w:ind w:left="200"/>
              <w:jc w:val="left"/>
              <w:rPr>
                <w:rFonts w:ascii="Helvetica" w:eastAsia="Arial Unicode MS" w:hAnsi="Helvetica" w:cs="Arial Unicode MS"/>
                <w:color w:val="000000"/>
                <w:sz w:val="14"/>
                <w:szCs w:val="14"/>
              </w:rPr>
            </w:pPr>
            <w:r>
              <w:rPr>
                <w:rFonts w:ascii="Helvetica" w:hAnsi="Helvetica"/>
                <w:color w:val="000000"/>
                <w:sz w:val="14"/>
              </w:rPr>
              <w:t>Drift av en OHF</w:t>
            </w:r>
          </w:p>
        </w:tc>
        <w:tc>
          <w:tcPr>
            <w:tcW w:w="965"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7D1528C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09"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2FCA08D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309"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74C158D9"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81"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387A60A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413"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49DA24F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81" w:type="dxa"/>
            <w:gridSpan w:val="2"/>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50C89961"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52"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3AB0F7EE"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302"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3224293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413"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304D44CC"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66"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1F551396"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45"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1DDD344A"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295"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4A2BC9B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413" w:type="dxa"/>
            <w:tcBorders>
              <w:top w:val="single" w:sz="4" w:space="0" w:color="auto"/>
              <w:left w:val="single" w:sz="4" w:space="0" w:color="auto"/>
              <w:bottom w:val="single" w:sz="4" w:space="0" w:color="auto"/>
              <w:right w:val="nil"/>
            </w:tcBorders>
            <w:shd w:val="clear" w:color="auto" w:fill="FFFFFF"/>
            <w:tcMar>
              <w:top w:w="20" w:type="dxa"/>
              <w:left w:w="40" w:type="dxa"/>
              <w:bottom w:w="80" w:type="dxa"/>
              <w:right w:w="40" w:type="dxa"/>
            </w:tcMar>
          </w:tcPr>
          <w:p w14:paraId="0CE601E5"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c>
          <w:tcPr>
            <w:tcW w:w="1084"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80" w:type="dxa"/>
              <w:right w:w="40" w:type="dxa"/>
            </w:tcMar>
          </w:tcPr>
          <w:p w14:paraId="6EE35933" w14:textId="77777777" w:rsidR="00A54846" w:rsidRDefault="00A54846">
            <w:pPr>
              <w:widowControl w:val="0"/>
              <w:shd w:val="clear" w:color="auto" w:fill="auto"/>
              <w:spacing w:after="0" w:line="240" w:lineRule="auto"/>
              <w:jc w:val="left"/>
              <w:rPr>
                <w:rFonts w:ascii="Helvetica" w:eastAsia="Arial Unicode MS" w:hAnsi="Helvetica" w:cs="Arial Unicode MS"/>
                <w:color w:val="000000"/>
                <w:sz w:val="14"/>
                <w:szCs w:val="14"/>
                <w:lang w:val="en-US" w:bidi="en-US"/>
              </w:rPr>
            </w:pPr>
          </w:p>
        </w:tc>
      </w:tr>
    </w:tbl>
    <w:p w14:paraId="4DF7BD91" w14:textId="77777777" w:rsidR="00A54846" w:rsidRDefault="00A54846">
      <w:pPr>
        <w:pStyle w:val="line2"/>
        <w:pBdr>
          <w:bottom w:val="none" w:sz="0" w:space="0" w:color="auto"/>
        </w:pBdr>
        <w:ind w:left="0" w:right="0"/>
        <w:jc w:val="both"/>
      </w:pPr>
    </w:p>
    <w:p w14:paraId="343034E6" w14:textId="77777777" w:rsidR="00A54846" w:rsidRDefault="00A54846">
      <w:pPr>
        <w:pStyle w:val="AnnexTI"/>
        <w:sectPr w:rsidR="00A54846">
          <w:pgSz w:w="16838" w:h="11906" w:orient="landscape" w:code="9"/>
          <w:pgMar w:top="1120" w:right="1680" w:bottom="1120" w:left="840" w:header="920" w:footer="280" w:gutter="0"/>
          <w:cols w:space="708"/>
          <w:docGrid w:linePitch="360"/>
        </w:sectPr>
      </w:pPr>
    </w:p>
    <w:p w14:paraId="386A3180" w14:textId="77777777" w:rsidR="00A54846" w:rsidRDefault="008A2731">
      <w:pPr>
        <w:pStyle w:val="AnnexTI"/>
        <w:spacing w:after="360"/>
      </w:pPr>
      <w:r>
        <w:lastRenderedPageBreak/>
        <w:t>VEDLEGG IX</w:t>
      </w:r>
    </w:p>
    <w:p w14:paraId="5CF9BC16" w14:textId="77777777" w:rsidR="00A54846" w:rsidRDefault="008A2731">
      <w:pPr>
        <w:pStyle w:val="AnnexSTI"/>
        <w:spacing w:line="200" w:lineRule="exact"/>
        <w:rPr>
          <w:sz w:val="16"/>
        </w:rPr>
      </w:pPr>
      <w:r>
        <w:rPr>
          <w:sz w:val="16"/>
        </w:rPr>
        <w:t>KPI-er FOR FORSIKRINGS- OG GJENFORSIKRINGSFORETAK</w:t>
      </w:r>
    </w:p>
    <w:p w14:paraId="73B187DB" w14:textId="77777777" w:rsidR="00A54846" w:rsidRDefault="008A2731">
      <w:pPr>
        <w:pStyle w:val="AnnexNumberedText"/>
        <w:ind w:left="279" w:hanging="279"/>
      </w:pPr>
      <w:r>
        <w:t>1.</w:t>
      </w:r>
      <w:r>
        <w:rPr>
          <w:b/>
        </w:rPr>
        <w:tab/>
        <w:t>KPI for investeringer</w:t>
      </w:r>
    </w:p>
    <w:p w14:paraId="7CB5E407" w14:textId="77777777" w:rsidR="00A54846" w:rsidRDefault="008A2731">
      <w:pPr>
        <w:pStyle w:val="AnnexNormal"/>
      </w:pPr>
      <w:r>
        <w:t>KPI-ene for investeringer fra forsikrings- og gjenforsikringsforetak skal bestå av det vektede gjennomsnittet av de investeringene som er rettet mot finansiering eller er forbundet med taksonomiforenlige økonomiske aktiviteter. KPI-en skal legges fram både i prosent av «samlede investeringer» og i absolutte monetære enheter.</w:t>
      </w:r>
    </w:p>
    <w:p w14:paraId="68F9C9F7" w14:textId="77777777" w:rsidR="00A54846" w:rsidRDefault="008A2731">
      <w:pPr>
        <w:pStyle w:val="AnnexNormal"/>
      </w:pPr>
      <w:r>
        <w:t>Med investeringer menes alle direkte og indirekte investeringer, herunder investeringer i innretninger for kollektiv investering og kapitalinteresser, lån og pantelån, eiendom, anlegg og utstyr samt i relevante tilfeller immaterielle eiendeler.</w:t>
      </w:r>
    </w:p>
    <w:p w14:paraId="51C5F873" w14:textId="77777777" w:rsidR="00A54846" w:rsidRDefault="008A2731">
      <w:pPr>
        <w:pStyle w:val="AnnexNormal"/>
      </w:pPr>
      <w:r>
        <w:t>Forsikrings- eller gjenforsikringsforetak skal i tilleggsopplysningene særskilt vise andelen investeringer som er knyttet til livsforsikringsavtaler der investeringsrisikoen bæres av forsikringstakerne, og andelen øvrige investeringer. Andelen som dekkes i forhold til balansesummen, skal ikke omfatte eksponeringene nevnt i artikkel 7 nr. 1 i denne forordningen.</w:t>
      </w:r>
    </w:p>
    <w:p w14:paraId="32D926F3" w14:textId="77777777" w:rsidR="00A54846" w:rsidRDefault="008A2731">
      <w:pPr>
        <w:pStyle w:val="AnnexNormal"/>
      </w:pPr>
      <w:r>
        <w:t>Opplysningene skal spesifiseres etter miljømål i prosent og i monetære enheter, der slike opplysninger foreligger.</w:t>
      </w:r>
    </w:p>
    <w:p w14:paraId="4FB80394" w14:textId="77777777" w:rsidR="00A54846" w:rsidRDefault="008A2731">
      <w:pPr>
        <w:pStyle w:val="AnnexNormal"/>
      </w:pPr>
      <w:r>
        <w:t>Det vektede gjennomsnittet av verdien av investeringene skal baseres på investeringsobjektenes andel av taksonomiforenlige økonomiske aktiviteter, målt ved følgende:</w:t>
      </w:r>
    </w:p>
    <w:p w14:paraId="616E33A8" w14:textId="77777777" w:rsidR="00A54846" w:rsidRDefault="008A2731">
      <w:pPr>
        <w:pStyle w:val="AnnexNumberedText"/>
        <w:ind w:left="293" w:hanging="293"/>
      </w:pPr>
      <w:r>
        <w:t>a)</w:t>
      </w:r>
      <w:r>
        <w:tab/>
        <w:t>For investeringsobjekter som er ikke-finansielle foretak: KPI-ene for omsetning og investeringsutgifter som framkommer ved beregning av investeringsobjektets KPI-er i samsvar med vedlegg I og II.</w:t>
      </w:r>
    </w:p>
    <w:p w14:paraId="5BC0ADA3" w14:textId="77777777" w:rsidR="00A54846" w:rsidRDefault="008A2731">
      <w:pPr>
        <w:pStyle w:val="AnnexNumberedText"/>
        <w:ind w:left="293" w:hanging="293"/>
      </w:pPr>
      <w:r>
        <w:t>b)</w:t>
      </w:r>
      <w:r>
        <w:tab/>
        <w:t>For investeringsobjekter som er kapitalforvaltere: KPI-er basert på omsetning og på investeringsutgifter som framkommer ved beregning av investeringsobjektets KPI-er i samsvar med vedlegg III og IV.</w:t>
      </w:r>
    </w:p>
    <w:p w14:paraId="09D23EDA" w14:textId="77777777" w:rsidR="00A54846" w:rsidRDefault="008A2731">
      <w:pPr>
        <w:pStyle w:val="AnnexNumberedText"/>
        <w:ind w:left="293" w:hanging="293"/>
      </w:pPr>
      <w:r>
        <w:t>c)</w:t>
      </w:r>
      <w:r>
        <w:tab/>
        <w:t>For investeringsobjekter som er kredittinstitusjoner: grønn brøk (GAR) basert på omsetning og investeringsutgifter som framkommer ved beregning av investeringsobjektets grønne brøk i samsvar med vedlegg V og VI.</w:t>
      </w:r>
    </w:p>
    <w:p w14:paraId="61C1F59A" w14:textId="77777777" w:rsidR="00A54846" w:rsidRDefault="008A2731">
      <w:pPr>
        <w:pStyle w:val="AnnexNumberedText"/>
        <w:ind w:left="293" w:hanging="293"/>
      </w:pPr>
      <w:r>
        <w:t>d)</w:t>
      </w:r>
      <w:r>
        <w:tab/>
        <w:t>For investeringsobjekter som er verdipapirforetak: investeringer og inntekter som framkommer ved beregning av investeringsobjektets KPI-er basert på omsetning og på investeringsutgifter i samsvar med vedlegg VII og VIII, ut fra den andelen av verdipapirforetakets inntekter fra tjenester og aktiviteter som er knyttet til handel for egen regning og ikke knyttet til handel for egen regning.</w:t>
      </w:r>
    </w:p>
    <w:p w14:paraId="68F80EED" w14:textId="77777777" w:rsidR="00A54846" w:rsidRDefault="008A2731">
      <w:pPr>
        <w:pStyle w:val="AnnexNumberedText"/>
        <w:ind w:left="293" w:hanging="293"/>
      </w:pPr>
      <w:r>
        <w:t>e)</w:t>
      </w:r>
      <w:r>
        <w:tab/>
        <w:t>For investeringsobjekter som er forsikrings- eller gjenforsikringsforetak: investeringer, tegnede bruttopremier eller eventuelt samlede forsikringsinntekter slik de framkommer ved beregning av KPI-en for investeringer basert på enten omsetning eller på investeringsutgifter (dvs. den andelen av forsikrings- eller gjenforsikringsforetakets investeringer som ikke er knyttet til livsforsikringsavtaler der investeringsrisikoen bæres av forsikringstakerne, som er rettet mot finansiering eller er forbundet med taksonomiforenlige økonomiske aktiviteter), i relevante tilfeller kombinert med KPI-en for forsikringsvirksomheten for investeringsobjekter som er forsikrings- og gjenforsikringsforetak i samsvar med vedlegg IX og X.</w:t>
      </w:r>
    </w:p>
    <w:p w14:paraId="0F618F37" w14:textId="77777777" w:rsidR="00A54846" w:rsidRDefault="008A2731">
      <w:pPr>
        <w:pStyle w:val="AnnexNormal"/>
      </w:pPr>
      <w:r>
        <w:t>Som unntak fra første og fjerde ledd i dette punkt 1 skal gjeldsinstrumenter som har som formål å finansiere konkrete, identifiserte aktiviteter eller prosjekter, eller miljømessig bærekraftige obligasjoner som er utstedt av et investeringsobjekt, tas med i telleren opp til verdien av de taksonomiforenlige økonomiske aktivitetene som provenyet fra disse obligasjonene og gjeldsinstrumentene finansierer, på grunnlag av opplysninger framlagt av investeringsobjektet.</w:t>
      </w:r>
    </w:p>
    <w:p w14:paraId="2CBFE0C9" w14:textId="77777777" w:rsidR="00A54846" w:rsidRDefault="008A2731">
      <w:pPr>
        <w:pStyle w:val="AnnexNumberedText"/>
        <w:ind w:left="279" w:hanging="279"/>
      </w:pPr>
      <w:r>
        <w:t>2.</w:t>
      </w:r>
      <w:r>
        <w:rPr>
          <w:b/>
        </w:rPr>
        <w:tab/>
        <w:t>KPI for forsikringsvirksomhet</w:t>
      </w:r>
    </w:p>
    <w:p w14:paraId="581F5483" w14:textId="77777777" w:rsidR="00A54846" w:rsidRDefault="008A2731">
      <w:pPr>
        <w:pStyle w:val="AnnexNormal"/>
      </w:pPr>
      <w:r>
        <w:t>Forsikrings- og gjenforsikringsforetak som ikke er livsforsikringsforetak, skal beregne KPI-en for forsikringsvirksomheten og legge fram skadeforsikringsinntektene som «tegnede bruttopremier», eventuelt gjenforsikringsinntektene, knyttet til taksonomiforenlige forsikrings- eller gjenforsikringsaktiviteter i samsvar med punkt 10.1 og 10.2 i vedlegg II til den delegerte klimarettsakten. KPI-en skal oppgis i prosent i forhold til et av følgende, alt etter hva som er relevant:</w:t>
      </w:r>
    </w:p>
    <w:p w14:paraId="44FA0918" w14:textId="77777777" w:rsidR="00A54846" w:rsidRDefault="008A2731">
      <w:pPr>
        <w:pStyle w:val="AnnexNumberedText"/>
        <w:ind w:left="293" w:hanging="293"/>
      </w:pPr>
      <w:r>
        <w:t>a)</w:t>
      </w:r>
      <w:r>
        <w:tab/>
        <w:t>Samlede tegnede bruttopremier for skadeforsikring.</w:t>
      </w:r>
    </w:p>
    <w:p w14:paraId="473BBFF3" w14:textId="77777777" w:rsidR="00A54846" w:rsidRDefault="008A2731">
      <w:pPr>
        <w:pStyle w:val="AnnexNumberedText"/>
        <w:spacing w:after="0"/>
        <w:ind w:left="293" w:hanging="293"/>
      </w:pPr>
      <w:r>
        <w:t>b)</w:t>
      </w:r>
      <w:r>
        <w:tab/>
        <w:t>Samlede tegnede bruttopremier for gjenforsikring.</w:t>
      </w:r>
    </w:p>
    <w:p w14:paraId="5A3FAC23" w14:textId="77777777" w:rsidR="00A54846" w:rsidRDefault="00A54846">
      <w:pPr>
        <w:pStyle w:val="AnnexNumberedText"/>
        <w:ind w:left="293" w:hanging="293"/>
        <w:sectPr w:rsidR="00A54846">
          <w:footnotePr>
            <w:pos w:val="beneathText"/>
          </w:footnotePr>
          <w:pgSz w:w="11906" w:h="16838" w:code="9"/>
          <w:pgMar w:top="1680" w:right="1333" w:bottom="840" w:left="1333" w:header="920" w:footer="280" w:gutter="0"/>
          <w:cols w:space="708"/>
          <w:vAlign w:val="both"/>
          <w:docGrid w:linePitch="360"/>
        </w:sectPr>
      </w:pPr>
    </w:p>
    <w:p w14:paraId="57BB92E8" w14:textId="77777777" w:rsidR="00A54846" w:rsidRDefault="008A2731">
      <w:pPr>
        <w:pStyle w:val="AnnexNumberedText"/>
        <w:ind w:left="293" w:hanging="293"/>
      </w:pPr>
      <w:r>
        <w:lastRenderedPageBreak/>
        <w:t>c)</w:t>
      </w:r>
      <w:r>
        <w:tab/>
        <w:t>Samlede skadeforsikringsinntekter.</w:t>
      </w:r>
    </w:p>
    <w:p w14:paraId="51FFA01A" w14:textId="77777777" w:rsidR="00A54846" w:rsidRDefault="008A2731">
      <w:pPr>
        <w:pStyle w:val="AnnexNumberedText"/>
        <w:ind w:left="293" w:hanging="293"/>
      </w:pPr>
      <w:r>
        <w:t>d)</w:t>
      </w:r>
      <w:r>
        <w:tab/>
        <w:t>Samlede gjenforsikringsinntekter.</w:t>
      </w:r>
    </w:p>
    <w:p w14:paraId="56ADECC5" w14:textId="77777777" w:rsidR="00A54846" w:rsidRDefault="008A2731">
      <w:pPr>
        <w:pStyle w:val="AnnexNormal"/>
        <w:spacing w:after="120"/>
      </w:pPr>
      <w:r>
        <w:t>Opplysningene skal spesifiseres etter miljømål i prosent og i monetære enheter, der slike opplysninger foreligger.</w:t>
      </w:r>
    </w:p>
    <w:p w14:paraId="69612DE9" w14:textId="77777777" w:rsidR="00A54846" w:rsidRDefault="008A2731">
      <w:pPr>
        <w:pStyle w:val="AnnexNormal"/>
        <w:spacing w:after="400"/>
      </w:pPr>
      <w:r>
        <w:t>Det skal i supplerende opplysninger redegjøres for i hvilken grad miljømessig bærekraftige forsikringsaktiviteter er overdratt til gjenforsikringsforetak, og i hvilken grad bærekraftige forsikringsaktiviteter representerer gjenforsikringsaktiviteter som godtas av andre forsikrings- eller gjenforsikringsforetak.</w:t>
      </w:r>
    </w:p>
    <w:p w14:paraId="502B3682" w14:textId="77777777" w:rsidR="00A54846" w:rsidRDefault="008A2731">
      <w:pPr>
        <w:pStyle w:val="line2"/>
        <w:pBdr>
          <w:bottom w:val="none" w:sz="0" w:space="0" w:color="auto"/>
        </w:pBdr>
        <w:tabs>
          <w:tab w:val="left" w:leader="underscore" w:pos="522"/>
        </w:tabs>
        <w:ind w:left="0" w:right="0"/>
      </w:pPr>
      <w:r>
        <w:tab/>
      </w:r>
    </w:p>
    <w:p w14:paraId="24D70487" w14:textId="77777777" w:rsidR="00A54846" w:rsidRDefault="00A54846">
      <w:pPr>
        <w:pStyle w:val="AnnexTI"/>
        <w:sectPr w:rsidR="00A54846">
          <w:pgSz w:w="11906" w:h="16838" w:code="9"/>
          <w:pgMar w:top="1680" w:right="1333" w:bottom="840" w:left="1333" w:header="920" w:footer="280" w:gutter="0"/>
          <w:cols w:space="708"/>
          <w:docGrid w:linePitch="360"/>
        </w:sectPr>
      </w:pPr>
    </w:p>
    <w:p w14:paraId="67D566B6" w14:textId="77777777" w:rsidR="00A54846" w:rsidRDefault="008A2731">
      <w:pPr>
        <w:pStyle w:val="AnnexTI"/>
        <w:spacing w:after="360"/>
      </w:pPr>
      <w:r>
        <w:lastRenderedPageBreak/>
        <w:t>VEDLEGG X</w:t>
      </w:r>
    </w:p>
    <w:p w14:paraId="00D252C0" w14:textId="77777777" w:rsidR="00A54846" w:rsidRDefault="008A2731">
      <w:pPr>
        <w:pStyle w:val="AnnexSTI"/>
        <w:spacing w:line="200" w:lineRule="exact"/>
        <w:rPr>
          <w:sz w:val="16"/>
        </w:rPr>
      </w:pPr>
      <w:r>
        <w:rPr>
          <w:sz w:val="16"/>
        </w:rPr>
        <w:t>MAL FOR KPI-er FOR FORSIKRINGS- OG GJENFORSIKRINGSFORETAK</w:t>
      </w:r>
    </w:p>
    <w:p w14:paraId="1FBD422E" w14:textId="77777777" w:rsidR="00A54846" w:rsidRDefault="008A2731">
      <w:pPr>
        <w:pStyle w:val="AnnexGrSeq1"/>
        <w:spacing w:line="240" w:lineRule="exact"/>
        <w:jc w:val="both"/>
        <w:rPr>
          <w:sz w:val="18"/>
        </w:rPr>
      </w:pPr>
      <w:r>
        <w:rPr>
          <w:i/>
          <w:sz w:val="18"/>
        </w:rPr>
        <w:t>Mal: KPI for forsikringsvirksomheten for skadeforsikrings- og gjenforsikringsforetak</w:t>
      </w:r>
    </w:p>
    <w:tbl>
      <w:tblPr>
        <w:tblOverlap w:val="never"/>
        <w:tblW w:w="0" w:type="auto"/>
        <w:tblInd w:w="52" w:type="dxa"/>
        <w:tblLayout w:type="fixed"/>
        <w:tblCellMar>
          <w:left w:w="10" w:type="dxa"/>
          <w:right w:w="10" w:type="dxa"/>
        </w:tblCellMar>
        <w:tblLook w:val="04A0" w:firstRow="1" w:lastRow="0" w:firstColumn="1" w:lastColumn="0" w:noHBand="0" w:noVBand="1"/>
      </w:tblPr>
      <w:tblGrid>
        <w:gridCol w:w="4099"/>
        <w:gridCol w:w="1221"/>
        <w:gridCol w:w="977"/>
        <w:gridCol w:w="869"/>
        <w:gridCol w:w="869"/>
        <w:gridCol w:w="711"/>
        <w:gridCol w:w="704"/>
        <w:gridCol w:w="661"/>
        <w:gridCol w:w="661"/>
        <w:gridCol w:w="654"/>
        <w:gridCol w:w="948"/>
        <w:gridCol w:w="1020"/>
        <w:gridCol w:w="908"/>
      </w:tblGrid>
      <w:tr w:rsidR="00A54846" w14:paraId="6692AE09" w14:textId="77777777">
        <w:trPr>
          <w:trHeight w:val="1214"/>
        </w:trPr>
        <w:tc>
          <w:tcPr>
            <w:tcW w:w="8035" w:type="dxa"/>
            <w:gridSpan w:val="5"/>
            <w:shd w:val="clear" w:color="auto" w:fill="FFFFFF"/>
            <w:tcMar>
              <w:top w:w="20" w:type="dxa"/>
              <w:left w:w="40" w:type="dxa"/>
              <w:bottom w:w="40" w:type="dxa"/>
              <w:right w:w="40" w:type="dxa"/>
            </w:tcMar>
            <w:vAlign w:val="center"/>
          </w:tcPr>
          <w:p w14:paraId="3AA09B8E" w14:textId="77777777" w:rsidR="00A54846" w:rsidRPr="006A792F" w:rsidRDefault="00A54846">
            <w:pPr>
              <w:widowControl w:val="0"/>
              <w:shd w:val="clear" w:color="auto" w:fill="auto"/>
              <w:spacing w:after="0" w:line="240" w:lineRule="auto"/>
              <w:jc w:val="center"/>
              <w:rPr>
                <w:rFonts w:eastAsia="Arial Unicode MS" w:cs="Times New Roman"/>
                <w:b/>
                <w:color w:val="000000"/>
                <w:sz w:val="14"/>
                <w:szCs w:val="14"/>
                <w:lang w:bidi="en-US"/>
              </w:rPr>
            </w:pPr>
          </w:p>
        </w:tc>
        <w:tc>
          <w:tcPr>
            <w:tcW w:w="4339" w:type="dxa"/>
            <w:gridSpan w:val="6"/>
            <w:tcBorders>
              <w:top w:val="single" w:sz="4" w:space="0" w:color="auto"/>
              <w:left w:val="single" w:sz="4" w:space="0" w:color="auto"/>
              <w:bottom w:val="nil"/>
              <w:right w:val="nil"/>
            </w:tcBorders>
            <w:shd w:val="clear" w:color="auto" w:fill="FFFFFF"/>
            <w:tcMar>
              <w:top w:w="20" w:type="dxa"/>
              <w:left w:w="40" w:type="dxa"/>
              <w:bottom w:w="40" w:type="dxa"/>
              <w:right w:w="40" w:type="dxa"/>
            </w:tcMar>
            <w:textDirection w:val="tbRl"/>
            <w:vAlign w:val="center"/>
            <w:hideMark/>
          </w:tcPr>
          <w:p w14:paraId="3E7C6872" w14:textId="77777777"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Er ikke til betydelig skade («Do No Significant Harm», DNSH)</w:t>
            </w:r>
          </w:p>
        </w:tc>
        <w:tc>
          <w:tcPr>
            <w:tcW w:w="1928" w:type="dxa"/>
            <w:gridSpan w:val="2"/>
            <w:tcBorders>
              <w:top w:val="nil"/>
              <w:left w:val="single" w:sz="4" w:space="0" w:color="auto"/>
              <w:bottom w:val="nil"/>
              <w:right w:val="nil"/>
            </w:tcBorders>
            <w:shd w:val="clear" w:color="auto" w:fill="FFFFFF"/>
            <w:tcMar>
              <w:top w:w="20" w:type="dxa"/>
              <w:left w:w="40" w:type="dxa"/>
              <w:bottom w:w="40" w:type="dxa"/>
              <w:right w:w="40" w:type="dxa"/>
            </w:tcMar>
            <w:vAlign w:val="center"/>
          </w:tcPr>
          <w:p w14:paraId="45BFB515" w14:textId="77777777" w:rsidR="00A54846" w:rsidRPr="006A792F" w:rsidRDefault="00A54846">
            <w:pPr>
              <w:widowControl w:val="0"/>
              <w:shd w:val="clear" w:color="auto" w:fill="auto"/>
              <w:spacing w:after="0" w:line="240" w:lineRule="auto"/>
              <w:jc w:val="center"/>
              <w:rPr>
                <w:rFonts w:eastAsia="Arial Unicode MS" w:cs="Times New Roman"/>
                <w:b/>
                <w:color w:val="000000"/>
                <w:sz w:val="14"/>
                <w:szCs w:val="14"/>
                <w:lang w:bidi="en-US"/>
              </w:rPr>
            </w:pPr>
          </w:p>
        </w:tc>
      </w:tr>
      <w:tr w:rsidR="00A54846" w14:paraId="15F5C248" w14:textId="77777777">
        <w:trPr>
          <w:trHeight w:val="1466"/>
        </w:trPr>
        <w:tc>
          <w:tcPr>
            <w:tcW w:w="4099" w:type="dxa"/>
            <w:tcBorders>
              <w:top w:val="single" w:sz="4" w:space="0" w:color="auto"/>
              <w:left w:val="single" w:sz="4" w:space="0" w:color="auto"/>
              <w:bottom w:val="nil"/>
              <w:right w:val="nil"/>
            </w:tcBorders>
            <w:shd w:val="clear" w:color="auto" w:fill="FFFFFF"/>
            <w:tcMar>
              <w:top w:w="20" w:type="dxa"/>
              <w:left w:w="40" w:type="dxa"/>
              <w:bottom w:w="40" w:type="dxa"/>
              <w:right w:w="40" w:type="dxa"/>
            </w:tcMar>
            <w:vAlign w:val="center"/>
            <w:hideMark/>
          </w:tcPr>
          <w:p w14:paraId="242B6D15" w14:textId="77777777"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Økonomiske aktiviteter (1)</w:t>
            </w:r>
          </w:p>
        </w:tc>
        <w:tc>
          <w:tcPr>
            <w:tcW w:w="1221" w:type="dxa"/>
            <w:tcBorders>
              <w:top w:val="single" w:sz="4" w:space="0" w:color="auto"/>
              <w:left w:val="single" w:sz="4" w:space="0" w:color="auto"/>
              <w:bottom w:val="nil"/>
              <w:right w:val="nil"/>
            </w:tcBorders>
            <w:shd w:val="clear" w:color="auto" w:fill="FFFFFF"/>
            <w:tcMar>
              <w:top w:w="20" w:type="dxa"/>
              <w:left w:w="40" w:type="dxa"/>
              <w:bottom w:w="40" w:type="dxa"/>
              <w:right w:w="40" w:type="dxa"/>
            </w:tcMar>
            <w:textDirection w:val="tbRl"/>
            <w:vAlign w:val="center"/>
            <w:hideMark/>
          </w:tcPr>
          <w:p w14:paraId="310481FE" w14:textId="77777777"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Absolutte premier, år t (3)</w:t>
            </w:r>
          </w:p>
        </w:tc>
        <w:tc>
          <w:tcPr>
            <w:tcW w:w="977" w:type="dxa"/>
            <w:tcBorders>
              <w:top w:val="single" w:sz="4" w:space="0" w:color="auto"/>
              <w:left w:val="single" w:sz="4" w:space="0" w:color="auto"/>
              <w:bottom w:val="nil"/>
              <w:right w:val="nil"/>
            </w:tcBorders>
            <w:shd w:val="clear" w:color="auto" w:fill="FFFFFF"/>
            <w:tcMar>
              <w:top w:w="20" w:type="dxa"/>
              <w:left w:w="40" w:type="dxa"/>
              <w:bottom w:w="40" w:type="dxa"/>
              <w:right w:w="40" w:type="dxa"/>
            </w:tcMar>
            <w:textDirection w:val="tbRl"/>
            <w:vAlign w:val="center"/>
            <w:hideMark/>
          </w:tcPr>
          <w:p w14:paraId="14FBAC11" w14:textId="77777777"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Premieandel, år t (4)</w:t>
            </w:r>
          </w:p>
        </w:tc>
        <w:tc>
          <w:tcPr>
            <w:tcW w:w="869" w:type="dxa"/>
            <w:tcBorders>
              <w:top w:val="single" w:sz="4" w:space="0" w:color="auto"/>
              <w:left w:val="single" w:sz="4" w:space="0" w:color="auto"/>
              <w:bottom w:val="nil"/>
              <w:right w:val="nil"/>
            </w:tcBorders>
            <w:shd w:val="clear" w:color="auto" w:fill="FFFFFF"/>
            <w:tcMar>
              <w:top w:w="20" w:type="dxa"/>
              <w:left w:w="40" w:type="dxa"/>
              <w:bottom w:w="40" w:type="dxa"/>
              <w:right w:w="40" w:type="dxa"/>
            </w:tcMar>
            <w:textDirection w:val="tbRl"/>
            <w:vAlign w:val="center"/>
            <w:hideMark/>
          </w:tcPr>
          <w:p w14:paraId="1604C3E6" w14:textId="77777777"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Premieandel, år t-1</w:t>
            </w:r>
          </w:p>
          <w:p w14:paraId="4FDBF91D" w14:textId="77777777"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(5)</w:t>
            </w:r>
          </w:p>
        </w:tc>
        <w:tc>
          <w:tcPr>
            <w:tcW w:w="869" w:type="dxa"/>
            <w:tcBorders>
              <w:top w:val="single" w:sz="4" w:space="0" w:color="auto"/>
              <w:left w:val="single" w:sz="4" w:space="0" w:color="auto"/>
              <w:bottom w:val="nil"/>
              <w:right w:val="nil"/>
            </w:tcBorders>
            <w:shd w:val="clear" w:color="auto" w:fill="FFFFFF"/>
            <w:tcMar>
              <w:top w:w="20" w:type="dxa"/>
              <w:left w:w="40" w:type="dxa"/>
              <w:bottom w:w="40" w:type="dxa"/>
              <w:right w:w="40" w:type="dxa"/>
            </w:tcMar>
            <w:textDirection w:val="tbRl"/>
            <w:vAlign w:val="center"/>
            <w:hideMark/>
          </w:tcPr>
          <w:p w14:paraId="44F0ADF8" w14:textId="77777777"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Tilpasning til klimaendringer (6)</w:t>
            </w:r>
          </w:p>
        </w:tc>
        <w:tc>
          <w:tcPr>
            <w:tcW w:w="711" w:type="dxa"/>
            <w:tcBorders>
              <w:top w:val="single" w:sz="4" w:space="0" w:color="auto"/>
              <w:left w:val="single" w:sz="4" w:space="0" w:color="auto"/>
              <w:bottom w:val="nil"/>
              <w:right w:val="nil"/>
            </w:tcBorders>
            <w:shd w:val="clear" w:color="auto" w:fill="FFFFFF"/>
            <w:tcMar>
              <w:top w:w="20" w:type="dxa"/>
              <w:left w:w="40" w:type="dxa"/>
              <w:bottom w:w="40" w:type="dxa"/>
              <w:right w:w="40" w:type="dxa"/>
            </w:tcMar>
            <w:textDirection w:val="tbRl"/>
            <w:vAlign w:val="center"/>
            <w:hideMark/>
          </w:tcPr>
          <w:p w14:paraId="604ED42A" w14:textId="77777777"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Begrensning av klimaendringer (7)</w:t>
            </w:r>
          </w:p>
        </w:tc>
        <w:tc>
          <w:tcPr>
            <w:tcW w:w="704" w:type="dxa"/>
            <w:tcBorders>
              <w:top w:val="single" w:sz="4" w:space="0" w:color="auto"/>
              <w:left w:val="single" w:sz="4" w:space="0" w:color="auto"/>
              <w:bottom w:val="nil"/>
              <w:right w:val="nil"/>
            </w:tcBorders>
            <w:shd w:val="clear" w:color="auto" w:fill="FFFFFF"/>
            <w:tcMar>
              <w:top w:w="20" w:type="dxa"/>
              <w:left w:w="40" w:type="dxa"/>
              <w:bottom w:w="40" w:type="dxa"/>
              <w:right w:w="40" w:type="dxa"/>
            </w:tcMar>
            <w:textDirection w:val="tbRl"/>
            <w:vAlign w:val="center"/>
            <w:hideMark/>
          </w:tcPr>
          <w:p w14:paraId="4B2E3DA0" w14:textId="77777777"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Vann- og havressurser (8)</w:t>
            </w:r>
          </w:p>
        </w:tc>
        <w:tc>
          <w:tcPr>
            <w:tcW w:w="661" w:type="dxa"/>
            <w:tcBorders>
              <w:top w:val="single" w:sz="4" w:space="0" w:color="auto"/>
              <w:left w:val="single" w:sz="4" w:space="0" w:color="auto"/>
              <w:bottom w:val="nil"/>
              <w:right w:val="nil"/>
            </w:tcBorders>
            <w:shd w:val="clear" w:color="auto" w:fill="FFFFFF"/>
            <w:tcMar>
              <w:top w:w="20" w:type="dxa"/>
              <w:left w:w="40" w:type="dxa"/>
              <w:bottom w:w="40" w:type="dxa"/>
              <w:right w:w="40" w:type="dxa"/>
            </w:tcMar>
            <w:textDirection w:val="tbRl"/>
            <w:vAlign w:val="center"/>
            <w:hideMark/>
          </w:tcPr>
          <w:p w14:paraId="47FF1252" w14:textId="77777777"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Sirkulær økonomi (9)</w:t>
            </w:r>
          </w:p>
        </w:tc>
        <w:tc>
          <w:tcPr>
            <w:tcW w:w="661" w:type="dxa"/>
            <w:tcBorders>
              <w:top w:val="single" w:sz="4" w:space="0" w:color="auto"/>
              <w:left w:val="single" w:sz="4" w:space="0" w:color="auto"/>
              <w:bottom w:val="nil"/>
              <w:right w:val="nil"/>
            </w:tcBorders>
            <w:shd w:val="clear" w:color="auto" w:fill="FFFFFF"/>
            <w:tcMar>
              <w:top w:w="20" w:type="dxa"/>
              <w:left w:w="40" w:type="dxa"/>
              <w:bottom w:w="40" w:type="dxa"/>
              <w:right w:w="40" w:type="dxa"/>
            </w:tcMar>
            <w:textDirection w:val="tbRl"/>
            <w:vAlign w:val="center"/>
            <w:hideMark/>
          </w:tcPr>
          <w:p w14:paraId="1F6E9C8C" w14:textId="77777777"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Forurensning (10)</w:t>
            </w:r>
          </w:p>
        </w:tc>
        <w:tc>
          <w:tcPr>
            <w:tcW w:w="654" w:type="dxa"/>
            <w:tcBorders>
              <w:top w:val="single" w:sz="4" w:space="0" w:color="auto"/>
              <w:left w:val="single" w:sz="4" w:space="0" w:color="auto"/>
              <w:bottom w:val="nil"/>
              <w:right w:val="nil"/>
            </w:tcBorders>
            <w:shd w:val="clear" w:color="auto" w:fill="FFFFFF"/>
            <w:tcMar>
              <w:top w:w="20" w:type="dxa"/>
              <w:left w:w="40" w:type="dxa"/>
              <w:bottom w:w="40" w:type="dxa"/>
              <w:right w:w="40" w:type="dxa"/>
            </w:tcMar>
            <w:textDirection w:val="tbRl"/>
            <w:vAlign w:val="center"/>
            <w:hideMark/>
          </w:tcPr>
          <w:p w14:paraId="717868A5" w14:textId="77777777"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Biologisk mangfold og økosystemer (11)</w:t>
            </w:r>
          </w:p>
        </w:tc>
        <w:tc>
          <w:tcPr>
            <w:tcW w:w="948" w:type="dxa"/>
            <w:tcBorders>
              <w:top w:val="single" w:sz="4" w:space="0" w:color="auto"/>
              <w:left w:val="single" w:sz="4" w:space="0" w:color="auto"/>
              <w:bottom w:val="nil"/>
              <w:right w:val="nil"/>
            </w:tcBorders>
            <w:shd w:val="clear" w:color="auto" w:fill="FFFFFF"/>
            <w:tcMar>
              <w:top w:w="20" w:type="dxa"/>
              <w:left w:w="40" w:type="dxa"/>
              <w:bottom w:w="40" w:type="dxa"/>
              <w:right w:w="40" w:type="dxa"/>
            </w:tcMar>
            <w:textDirection w:val="tbRl"/>
            <w:vAlign w:val="center"/>
            <w:hideMark/>
          </w:tcPr>
          <w:p w14:paraId="33536E37" w14:textId="77777777"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Minstegarantier (12)</w:t>
            </w:r>
          </w:p>
        </w:tc>
        <w:tc>
          <w:tcPr>
            <w:tcW w:w="1020" w:type="dxa"/>
            <w:tcBorders>
              <w:top w:val="single" w:sz="4" w:space="0" w:color="auto"/>
              <w:left w:val="single" w:sz="4" w:space="0" w:color="auto"/>
              <w:bottom w:val="nil"/>
              <w:right w:val="nil"/>
            </w:tcBorders>
            <w:shd w:val="clear" w:color="auto" w:fill="FFFFFF"/>
            <w:tcMar>
              <w:top w:w="20" w:type="dxa"/>
              <w:left w:w="40" w:type="dxa"/>
              <w:bottom w:w="40" w:type="dxa"/>
              <w:right w:w="40" w:type="dxa"/>
            </w:tcMar>
            <w:vAlign w:val="center"/>
            <w:hideMark/>
          </w:tcPr>
          <w:p w14:paraId="22B7F997" w14:textId="50033606"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Kategori (omstillings</w:t>
            </w:r>
            <w:r w:rsidR="003929D8">
              <w:rPr>
                <w:b/>
                <w:color w:val="000000"/>
                <w:sz w:val="14"/>
              </w:rPr>
              <w:softHyphen/>
            </w:r>
            <w:r>
              <w:rPr>
                <w:b/>
                <w:color w:val="000000"/>
                <w:sz w:val="14"/>
              </w:rPr>
              <w:t>aktivitet (T)) (13)</w:t>
            </w:r>
          </w:p>
        </w:tc>
        <w:tc>
          <w:tcPr>
            <w:tcW w:w="908" w:type="dxa"/>
            <w:tcBorders>
              <w:top w:val="single" w:sz="4" w:space="0" w:color="auto"/>
              <w:left w:val="single" w:sz="4" w:space="0" w:color="auto"/>
              <w:bottom w:val="nil"/>
              <w:right w:val="single" w:sz="4" w:space="0" w:color="auto"/>
            </w:tcBorders>
            <w:shd w:val="clear" w:color="auto" w:fill="FFFFFF"/>
            <w:tcMar>
              <w:top w:w="20" w:type="dxa"/>
              <w:left w:w="40" w:type="dxa"/>
              <w:bottom w:w="40" w:type="dxa"/>
              <w:right w:w="40" w:type="dxa"/>
            </w:tcMar>
            <w:vAlign w:val="center"/>
            <w:hideMark/>
          </w:tcPr>
          <w:p w14:paraId="06EEE5E2" w14:textId="521A24D1"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Kategori (omstillings</w:t>
            </w:r>
            <w:r w:rsidR="003929D8">
              <w:rPr>
                <w:b/>
                <w:color w:val="000000"/>
                <w:sz w:val="14"/>
              </w:rPr>
              <w:softHyphen/>
            </w:r>
            <w:r>
              <w:rPr>
                <w:b/>
                <w:color w:val="000000"/>
                <w:sz w:val="14"/>
              </w:rPr>
              <w:t>aktivitet (T)) (14)</w:t>
            </w:r>
          </w:p>
        </w:tc>
      </w:tr>
      <w:tr w:rsidR="00A54846" w14:paraId="2DF2BB9B" w14:textId="77777777">
        <w:trPr>
          <w:trHeight w:val="242"/>
        </w:trPr>
        <w:tc>
          <w:tcPr>
            <w:tcW w:w="4099" w:type="dxa"/>
            <w:tcBorders>
              <w:top w:val="single" w:sz="4" w:space="0" w:color="auto"/>
              <w:left w:val="single" w:sz="4" w:space="0" w:color="auto"/>
              <w:bottom w:val="nil"/>
              <w:right w:val="nil"/>
            </w:tcBorders>
            <w:shd w:val="clear" w:color="auto" w:fill="FFFFFF"/>
            <w:tcMar>
              <w:top w:w="20" w:type="dxa"/>
              <w:left w:w="40" w:type="dxa"/>
              <w:bottom w:w="40" w:type="dxa"/>
              <w:right w:w="40" w:type="dxa"/>
            </w:tcMar>
          </w:tcPr>
          <w:p w14:paraId="102AF9F5" w14:textId="77777777" w:rsidR="00A54846" w:rsidRDefault="00A54846">
            <w:pPr>
              <w:widowControl w:val="0"/>
              <w:shd w:val="clear" w:color="auto" w:fill="auto"/>
              <w:spacing w:after="0" w:line="240" w:lineRule="auto"/>
              <w:jc w:val="center"/>
              <w:rPr>
                <w:rFonts w:eastAsia="Arial Unicode MS" w:cs="Times New Roman"/>
                <w:b/>
                <w:color w:val="A6A6A6"/>
                <w:sz w:val="14"/>
                <w:szCs w:val="14"/>
                <w:lang w:val="en-US" w:bidi="en-US"/>
              </w:rPr>
            </w:pPr>
          </w:p>
        </w:tc>
        <w:tc>
          <w:tcPr>
            <w:tcW w:w="1221" w:type="dxa"/>
            <w:tcBorders>
              <w:top w:val="single" w:sz="4" w:space="0" w:color="auto"/>
              <w:left w:val="single" w:sz="4" w:space="0" w:color="auto"/>
              <w:bottom w:val="nil"/>
              <w:right w:val="nil"/>
            </w:tcBorders>
            <w:shd w:val="clear" w:color="auto" w:fill="FFFFFF"/>
            <w:tcMar>
              <w:top w:w="20" w:type="dxa"/>
              <w:left w:w="40" w:type="dxa"/>
              <w:bottom w:w="40" w:type="dxa"/>
              <w:right w:w="40" w:type="dxa"/>
            </w:tcMar>
            <w:hideMark/>
          </w:tcPr>
          <w:p w14:paraId="5BC3EF83" w14:textId="77777777" w:rsidR="00A54846" w:rsidRDefault="008A2731">
            <w:pPr>
              <w:widowControl w:val="0"/>
              <w:shd w:val="clear" w:color="auto" w:fill="auto"/>
              <w:spacing w:after="0" w:line="240" w:lineRule="auto"/>
              <w:jc w:val="center"/>
              <w:rPr>
                <w:rFonts w:eastAsia="Arial Unicode MS" w:cs="Times New Roman"/>
                <w:b/>
                <w:color w:val="A6A6A6"/>
                <w:sz w:val="14"/>
                <w:szCs w:val="14"/>
              </w:rPr>
            </w:pPr>
            <w:r>
              <w:rPr>
                <w:b/>
                <w:color w:val="A6A6A6"/>
                <w:sz w:val="14"/>
              </w:rPr>
              <w:t>Valuta</w:t>
            </w:r>
          </w:p>
        </w:tc>
        <w:tc>
          <w:tcPr>
            <w:tcW w:w="977" w:type="dxa"/>
            <w:tcBorders>
              <w:top w:val="single" w:sz="4" w:space="0" w:color="auto"/>
              <w:left w:val="single" w:sz="4" w:space="0" w:color="auto"/>
              <w:bottom w:val="nil"/>
              <w:right w:val="nil"/>
            </w:tcBorders>
            <w:shd w:val="clear" w:color="auto" w:fill="FFFFFF"/>
            <w:tcMar>
              <w:top w:w="20" w:type="dxa"/>
              <w:left w:w="40" w:type="dxa"/>
              <w:bottom w:w="40" w:type="dxa"/>
              <w:right w:w="40" w:type="dxa"/>
            </w:tcMar>
            <w:hideMark/>
          </w:tcPr>
          <w:p w14:paraId="06C867AF" w14:textId="77777777" w:rsidR="00A54846" w:rsidRDefault="008A2731">
            <w:pPr>
              <w:widowControl w:val="0"/>
              <w:shd w:val="clear" w:color="auto" w:fill="auto"/>
              <w:spacing w:after="0" w:line="240" w:lineRule="auto"/>
              <w:jc w:val="center"/>
              <w:rPr>
                <w:rFonts w:eastAsia="Arial Unicode MS" w:cs="Times New Roman"/>
                <w:b/>
                <w:color w:val="A6A6A6"/>
                <w:sz w:val="14"/>
                <w:szCs w:val="14"/>
              </w:rPr>
            </w:pPr>
            <w:r>
              <w:rPr>
                <w:b/>
                <w:color w:val="A6A6A6"/>
                <w:sz w:val="14"/>
              </w:rPr>
              <w:t>%</w:t>
            </w:r>
          </w:p>
        </w:tc>
        <w:tc>
          <w:tcPr>
            <w:tcW w:w="869" w:type="dxa"/>
            <w:tcBorders>
              <w:top w:val="single" w:sz="4" w:space="0" w:color="auto"/>
              <w:left w:val="single" w:sz="4" w:space="0" w:color="auto"/>
              <w:bottom w:val="nil"/>
              <w:right w:val="nil"/>
            </w:tcBorders>
            <w:shd w:val="clear" w:color="auto" w:fill="FFFFFF"/>
            <w:tcMar>
              <w:top w:w="20" w:type="dxa"/>
              <w:left w:w="40" w:type="dxa"/>
              <w:bottom w:w="40" w:type="dxa"/>
              <w:right w:w="40" w:type="dxa"/>
            </w:tcMar>
            <w:hideMark/>
          </w:tcPr>
          <w:p w14:paraId="513E580D" w14:textId="77777777" w:rsidR="00A54846" w:rsidRDefault="008A2731">
            <w:pPr>
              <w:widowControl w:val="0"/>
              <w:shd w:val="clear" w:color="auto" w:fill="auto"/>
              <w:spacing w:after="0" w:line="240" w:lineRule="auto"/>
              <w:jc w:val="center"/>
              <w:rPr>
                <w:rFonts w:eastAsia="Arial Unicode MS" w:cs="Times New Roman"/>
                <w:b/>
                <w:color w:val="A6A6A6"/>
                <w:sz w:val="14"/>
                <w:szCs w:val="14"/>
              </w:rPr>
            </w:pPr>
            <w:r>
              <w:rPr>
                <w:b/>
                <w:color w:val="A6A6A6"/>
                <w:sz w:val="14"/>
              </w:rPr>
              <w:t>%</w:t>
            </w:r>
          </w:p>
        </w:tc>
        <w:tc>
          <w:tcPr>
            <w:tcW w:w="869" w:type="dxa"/>
            <w:tcBorders>
              <w:top w:val="single" w:sz="4" w:space="0" w:color="auto"/>
              <w:left w:val="single" w:sz="4" w:space="0" w:color="auto"/>
              <w:bottom w:val="nil"/>
              <w:right w:val="nil"/>
            </w:tcBorders>
            <w:shd w:val="clear" w:color="auto" w:fill="FFFFFF"/>
            <w:tcMar>
              <w:top w:w="20" w:type="dxa"/>
              <w:left w:w="40" w:type="dxa"/>
              <w:bottom w:w="40" w:type="dxa"/>
              <w:right w:w="40" w:type="dxa"/>
            </w:tcMar>
            <w:hideMark/>
          </w:tcPr>
          <w:p w14:paraId="5FC4BC65" w14:textId="77777777" w:rsidR="00A54846" w:rsidRDefault="008A2731">
            <w:pPr>
              <w:widowControl w:val="0"/>
              <w:shd w:val="clear" w:color="auto" w:fill="auto"/>
              <w:spacing w:after="0" w:line="240" w:lineRule="auto"/>
              <w:jc w:val="center"/>
              <w:rPr>
                <w:rFonts w:eastAsia="Arial Unicode MS" w:cs="Times New Roman"/>
                <w:b/>
                <w:color w:val="A6A6A6"/>
                <w:sz w:val="14"/>
                <w:szCs w:val="14"/>
              </w:rPr>
            </w:pPr>
            <w:r>
              <w:rPr>
                <w:b/>
                <w:color w:val="A6A6A6"/>
                <w:sz w:val="14"/>
              </w:rPr>
              <w:t>%</w:t>
            </w:r>
          </w:p>
        </w:tc>
        <w:tc>
          <w:tcPr>
            <w:tcW w:w="711" w:type="dxa"/>
            <w:tcBorders>
              <w:top w:val="single" w:sz="4" w:space="0" w:color="auto"/>
              <w:left w:val="single" w:sz="4" w:space="0" w:color="auto"/>
              <w:bottom w:val="nil"/>
              <w:right w:val="nil"/>
            </w:tcBorders>
            <w:shd w:val="clear" w:color="auto" w:fill="FFFFFF"/>
            <w:tcMar>
              <w:top w:w="20" w:type="dxa"/>
              <w:left w:w="40" w:type="dxa"/>
              <w:bottom w:w="40" w:type="dxa"/>
              <w:right w:w="40" w:type="dxa"/>
            </w:tcMar>
            <w:hideMark/>
          </w:tcPr>
          <w:p w14:paraId="197C4815" w14:textId="77777777" w:rsidR="00A54846" w:rsidRDefault="008A2731">
            <w:pPr>
              <w:widowControl w:val="0"/>
              <w:shd w:val="clear" w:color="auto" w:fill="auto"/>
              <w:spacing w:after="0" w:line="240" w:lineRule="auto"/>
              <w:jc w:val="center"/>
              <w:rPr>
                <w:rFonts w:eastAsia="Arial Unicode MS" w:cs="Times New Roman"/>
                <w:b/>
                <w:color w:val="A6A6A6"/>
                <w:sz w:val="14"/>
                <w:szCs w:val="14"/>
              </w:rPr>
            </w:pPr>
            <w:r>
              <w:rPr>
                <w:b/>
                <w:color w:val="A6A6A6"/>
                <w:sz w:val="14"/>
              </w:rPr>
              <w:t>Ja/Nei</w:t>
            </w:r>
          </w:p>
        </w:tc>
        <w:tc>
          <w:tcPr>
            <w:tcW w:w="704" w:type="dxa"/>
            <w:tcBorders>
              <w:top w:val="single" w:sz="4" w:space="0" w:color="auto"/>
              <w:left w:val="single" w:sz="4" w:space="0" w:color="auto"/>
              <w:bottom w:val="nil"/>
              <w:right w:val="nil"/>
            </w:tcBorders>
            <w:shd w:val="clear" w:color="auto" w:fill="FFFFFF"/>
            <w:tcMar>
              <w:top w:w="20" w:type="dxa"/>
              <w:left w:w="40" w:type="dxa"/>
              <w:bottom w:w="40" w:type="dxa"/>
              <w:right w:w="40" w:type="dxa"/>
            </w:tcMar>
            <w:hideMark/>
          </w:tcPr>
          <w:p w14:paraId="4FE61BDA" w14:textId="77777777" w:rsidR="00A54846" w:rsidRDefault="008A2731">
            <w:pPr>
              <w:widowControl w:val="0"/>
              <w:shd w:val="clear" w:color="auto" w:fill="auto"/>
              <w:spacing w:after="0" w:line="240" w:lineRule="auto"/>
              <w:jc w:val="center"/>
              <w:rPr>
                <w:rFonts w:eastAsia="Arial Unicode MS" w:cs="Times New Roman"/>
                <w:b/>
                <w:color w:val="A6A6A6"/>
                <w:sz w:val="14"/>
                <w:szCs w:val="14"/>
              </w:rPr>
            </w:pPr>
            <w:r>
              <w:rPr>
                <w:b/>
                <w:color w:val="A6A6A6"/>
                <w:sz w:val="14"/>
              </w:rPr>
              <w:t>Ja/Nei</w:t>
            </w:r>
          </w:p>
        </w:tc>
        <w:tc>
          <w:tcPr>
            <w:tcW w:w="661" w:type="dxa"/>
            <w:tcBorders>
              <w:top w:val="single" w:sz="4" w:space="0" w:color="auto"/>
              <w:left w:val="single" w:sz="4" w:space="0" w:color="auto"/>
              <w:bottom w:val="nil"/>
              <w:right w:val="nil"/>
            </w:tcBorders>
            <w:shd w:val="clear" w:color="auto" w:fill="FFFFFF"/>
            <w:tcMar>
              <w:top w:w="20" w:type="dxa"/>
              <w:left w:w="40" w:type="dxa"/>
              <w:bottom w:w="40" w:type="dxa"/>
              <w:right w:w="40" w:type="dxa"/>
            </w:tcMar>
            <w:hideMark/>
          </w:tcPr>
          <w:p w14:paraId="49C76C50" w14:textId="77777777" w:rsidR="00A54846" w:rsidRDefault="008A2731">
            <w:pPr>
              <w:widowControl w:val="0"/>
              <w:shd w:val="clear" w:color="auto" w:fill="auto"/>
              <w:spacing w:after="0" w:line="240" w:lineRule="auto"/>
              <w:jc w:val="center"/>
              <w:rPr>
                <w:rFonts w:eastAsia="Arial Unicode MS" w:cs="Times New Roman"/>
                <w:b/>
                <w:color w:val="A6A6A6"/>
                <w:sz w:val="14"/>
                <w:szCs w:val="14"/>
              </w:rPr>
            </w:pPr>
            <w:r>
              <w:rPr>
                <w:b/>
                <w:color w:val="A6A6A6"/>
                <w:sz w:val="14"/>
              </w:rPr>
              <w:t>Ja/Nei</w:t>
            </w:r>
          </w:p>
        </w:tc>
        <w:tc>
          <w:tcPr>
            <w:tcW w:w="661" w:type="dxa"/>
            <w:tcBorders>
              <w:top w:val="single" w:sz="4" w:space="0" w:color="auto"/>
              <w:left w:val="single" w:sz="4" w:space="0" w:color="auto"/>
              <w:bottom w:val="nil"/>
              <w:right w:val="nil"/>
            </w:tcBorders>
            <w:shd w:val="clear" w:color="auto" w:fill="FFFFFF"/>
            <w:tcMar>
              <w:top w:w="20" w:type="dxa"/>
              <w:left w:w="40" w:type="dxa"/>
              <w:bottom w:w="40" w:type="dxa"/>
              <w:right w:w="40" w:type="dxa"/>
            </w:tcMar>
            <w:hideMark/>
          </w:tcPr>
          <w:p w14:paraId="0293050B" w14:textId="77777777" w:rsidR="00A54846" w:rsidRDefault="008A2731">
            <w:pPr>
              <w:widowControl w:val="0"/>
              <w:shd w:val="clear" w:color="auto" w:fill="auto"/>
              <w:spacing w:after="0" w:line="240" w:lineRule="auto"/>
              <w:jc w:val="center"/>
              <w:rPr>
                <w:rFonts w:eastAsia="Arial Unicode MS" w:cs="Times New Roman"/>
                <w:b/>
                <w:color w:val="A6A6A6"/>
                <w:sz w:val="14"/>
                <w:szCs w:val="14"/>
              </w:rPr>
            </w:pPr>
            <w:r>
              <w:rPr>
                <w:b/>
                <w:color w:val="A6A6A6"/>
                <w:sz w:val="14"/>
              </w:rPr>
              <w:t>Ja/Nei</w:t>
            </w:r>
          </w:p>
        </w:tc>
        <w:tc>
          <w:tcPr>
            <w:tcW w:w="654" w:type="dxa"/>
            <w:tcBorders>
              <w:top w:val="single" w:sz="4" w:space="0" w:color="auto"/>
              <w:left w:val="single" w:sz="4" w:space="0" w:color="auto"/>
              <w:bottom w:val="nil"/>
              <w:right w:val="nil"/>
            </w:tcBorders>
            <w:shd w:val="clear" w:color="auto" w:fill="FFFFFF"/>
            <w:tcMar>
              <w:top w:w="20" w:type="dxa"/>
              <w:left w:w="40" w:type="dxa"/>
              <w:bottom w:w="40" w:type="dxa"/>
              <w:right w:w="40" w:type="dxa"/>
            </w:tcMar>
            <w:hideMark/>
          </w:tcPr>
          <w:p w14:paraId="5D353183" w14:textId="77777777" w:rsidR="00A54846" w:rsidRDefault="008A2731">
            <w:pPr>
              <w:widowControl w:val="0"/>
              <w:shd w:val="clear" w:color="auto" w:fill="auto"/>
              <w:spacing w:after="0" w:line="240" w:lineRule="auto"/>
              <w:jc w:val="center"/>
              <w:rPr>
                <w:rFonts w:eastAsia="Arial Unicode MS" w:cs="Times New Roman"/>
                <w:b/>
                <w:color w:val="A6A6A6"/>
                <w:sz w:val="14"/>
                <w:szCs w:val="14"/>
              </w:rPr>
            </w:pPr>
            <w:r>
              <w:rPr>
                <w:b/>
                <w:color w:val="A6A6A6"/>
                <w:sz w:val="14"/>
              </w:rPr>
              <w:t>Ja/Nei</w:t>
            </w:r>
          </w:p>
        </w:tc>
        <w:tc>
          <w:tcPr>
            <w:tcW w:w="948" w:type="dxa"/>
            <w:tcBorders>
              <w:top w:val="single" w:sz="4" w:space="0" w:color="auto"/>
              <w:left w:val="single" w:sz="4" w:space="0" w:color="auto"/>
              <w:bottom w:val="nil"/>
              <w:right w:val="nil"/>
            </w:tcBorders>
            <w:shd w:val="clear" w:color="auto" w:fill="FFFFFF"/>
            <w:tcMar>
              <w:top w:w="20" w:type="dxa"/>
              <w:left w:w="40" w:type="dxa"/>
              <w:bottom w:w="40" w:type="dxa"/>
              <w:right w:w="40" w:type="dxa"/>
            </w:tcMar>
            <w:hideMark/>
          </w:tcPr>
          <w:p w14:paraId="5CB96979" w14:textId="77777777" w:rsidR="00A54846" w:rsidRDefault="008A2731">
            <w:pPr>
              <w:widowControl w:val="0"/>
              <w:shd w:val="clear" w:color="auto" w:fill="auto"/>
              <w:spacing w:after="0" w:line="240" w:lineRule="auto"/>
              <w:jc w:val="center"/>
              <w:rPr>
                <w:rFonts w:eastAsia="Arial Unicode MS" w:cs="Times New Roman"/>
                <w:b/>
                <w:color w:val="A6A6A6"/>
                <w:sz w:val="14"/>
                <w:szCs w:val="14"/>
              </w:rPr>
            </w:pPr>
            <w:r>
              <w:rPr>
                <w:b/>
                <w:color w:val="A6A6A6"/>
                <w:sz w:val="14"/>
              </w:rPr>
              <w:t>Ja/Nei</w:t>
            </w:r>
          </w:p>
        </w:tc>
        <w:tc>
          <w:tcPr>
            <w:tcW w:w="1020" w:type="dxa"/>
            <w:tcBorders>
              <w:top w:val="single" w:sz="4" w:space="0" w:color="auto"/>
              <w:left w:val="single" w:sz="4" w:space="0" w:color="auto"/>
              <w:bottom w:val="nil"/>
              <w:right w:val="nil"/>
            </w:tcBorders>
            <w:shd w:val="clear" w:color="auto" w:fill="FFFFFF"/>
            <w:tcMar>
              <w:top w:w="20" w:type="dxa"/>
              <w:left w:w="40" w:type="dxa"/>
              <w:bottom w:w="40" w:type="dxa"/>
              <w:right w:w="40" w:type="dxa"/>
            </w:tcMar>
            <w:hideMark/>
          </w:tcPr>
          <w:p w14:paraId="5010339A" w14:textId="77777777" w:rsidR="00A54846" w:rsidRDefault="008A2731">
            <w:pPr>
              <w:widowControl w:val="0"/>
              <w:shd w:val="clear" w:color="auto" w:fill="auto"/>
              <w:spacing w:after="0" w:line="240" w:lineRule="auto"/>
              <w:jc w:val="center"/>
              <w:rPr>
                <w:rFonts w:eastAsia="Arial Unicode MS" w:cs="Times New Roman"/>
                <w:b/>
                <w:color w:val="A6A6A6"/>
                <w:sz w:val="14"/>
                <w:szCs w:val="14"/>
              </w:rPr>
            </w:pPr>
            <w:r>
              <w:rPr>
                <w:b/>
                <w:color w:val="A6A6A6"/>
                <w:sz w:val="14"/>
              </w:rPr>
              <w:t>Muliggjørende</w:t>
            </w:r>
          </w:p>
        </w:tc>
        <w:tc>
          <w:tcPr>
            <w:tcW w:w="908" w:type="dxa"/>
            <w:tcBorders>
              <w:top w:val="single" w:sz="4" w:space="0" w:color="auto"/>
              <w:left w:val="single" w:sz="4" w:space="0" w:color="auto"/>
              <w:bottom w:val="nil"/>
              <w:right w:val="single" w:sz="4" w:space="0" w:color="auto"/>
            </w:tcBorders>
            <w:shd w:val="clear" w:color="auto" w:fill="FFFFFF"/>
            <w:tcMar>
              <w:top w:w="20" w:type="dxa"/>
              <w:left w:w="40" w:type="dxa"/>
              <w:bottom w:w="40" w:type="dxa"/>
              <w:right w:w="40" w:type="dxa"/>
            </w:tcMar>
            <w:hideMark/>
          </w:tcPr>
          <w:p w14:paraId="18988353" w14:textId="77777777" w:rsidR="00A54846" w:rsidRDefault="008A2731">
            <w:pPr>
              <w:widowControl w:val="0"/>
              <w:shd w:val="clear" w:color="auto" w:fill="auto"/>
              <w:spacing w:after="0" w:line="240" w:lineRule="auto"/>
              <w:jc w:val="center"/>
              <w:rPr>
                <w:rFonts w:eastAsia="Arial Unicode MS" w:cs="Times New Roman"/>
                <w:b/>
                <w:color w:val="A6A6A6"/>
                <w:sz w:val="14"/>
                <w:szCs w:val="14"/>
              </w:rPr>
            </w:pPr>
            <w:r>
              <w:rPr>
                <w:b/>
                <w:color w:val="A6A6A6"/>
                <w:sz w:val="14"/>
              </w:rPr>
              <w:t>Omstilling</w:t>
            </w:r>
          </w:p>
        </w:tc>
      </w:tr>
      <w:tr w:rsidR="00A54846" w14:paraId="66C86791" w14:textId="77777777">
        <w:tc>
          <w:tcPr>
            <w:tcW w:w="4099"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hideMark/>
          </w:tcPr>
          <w:p w14:paraId="5413E27A" w14:textId="77777777" w:rsidR="00A54846" w:rsidRDefault="008A2731">
            <w:pPr>
              <w:widowControl w:val="0"/>
              <w:shd w:val="clear" w:color="auto" w:fill="auto"/>
              <w:spacing w:after="0" w:line="240" w:lineRule="auto"/>
              <w:jc w:val="left"/>
              <w:rPr>
                <w:rFonts w:eastAsia="Arial Unicode MS" w:cs="Times New Roman"/>
                <w:b/>
                <w:color w:val="000000"/>
                <w:sz w:val="14"/>
                <w:szCs w:val="14"/>
              </w:rPr>
            </w:pPr>
            <w:r>
              <w:rPr>
                <w:b/>
                <w:color w:val="000000"/>
                <w:sz w:val="14"/>
              </w:rPr>
              <w:t>A.1. Skadeforsikrings- og gjenforsikringsvirksomhet knyttet til taksonomiforenlige aktiviteter (miljømessig bærekraftige)</w:t>
            </w:r>
          </w:p>
        </w:tc>
        <w:tc>
          <w:tcPr>
            <w:tcW w:w="122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19E452DE"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977"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674BBB61"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869"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5F6062EF"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869"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0FC05DD8"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71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61DCD3F9"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704"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6FBCF39C"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66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3EDAA70D"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66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65476F78"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654"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008C2EF5"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948"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1CF210BF"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1020"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vAlign w:val="center"/>
            <w:hideMark/>
          </w:tcPr>
          <w:p w14:paraId="0D793B85" w14:textId="77777777" w:rsidR="00A54846" w:rsidRDefault="008A2731">
            <w:pPr>
              <w:widowControl w:val="0"/>
              <w:shd w:val="clear" w:color="auto" w:fill="auto"/>
              <w:spacing w:after="0" w:line="240" w:lineRule="auto"/>
              <w:jc w:val="center"/>
              <w:rPr>
                <w:rFonts w:eastAsia="Arial Unicode MS" w:cs="Times New Roman"/>
                <w:b/>
                <w:color w:val="000000"/>
                <w:sz w:val="14"/>
                <w:szCs w:val="14"/>
              </w:rPr>
            </w:pPr>
            <w:r>
              <w:rPr>
                <w:b/>
                <w:color w:val="000000"/>
                <w:sz w:val="14"/>
              </w:rPr>
              <w:t>Muliggjørende</w:t>
            </w:r>
          </w:p>
        </w:tc>
        <w:tc>
          <w:tcPr>
            <w:tcW w:w="908" w:type="dxa"/>
            <w:tcBorders>
              <w:top w:val="single" w:sz="4" w:space="0" w:color="auto"/>
              <w:left w:val="single" w:sz="4" w:space="0" w:color="auto"/>
              <w:bottom w:val="nil"/>
              <w:right w:val="single" w:sz="4" w:space="0" w:color="auto"/>
            </w:tcBorders>
            <w:shd w:val="clear" w:color="auto" w:fill="FFFFFF"/>
            <w:tcMar>
              <w:top w:w="20" w:type="dxa"/>
              <w:left w:w="40" w:type="dxa"/>
              <w:bottom w:w="100" w:type="dxa"/>
              <w:right w:w="40" w:type="dxa"/>
            </w:tcMar>
          </w:tcPr>
          <w:p w14:paraId="7EED0AE8"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r>
      <w:tr w:rsidR="00A54846" w14:paraId="2A53D429" w14:textId="77777777">
        <w:tc>
          <w:tcPr>
            <w:tcW w:w="4099"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hideMark/>
          </w:tcPr>
          <w:p w14:paraId="313A22E2" w14:textId="77777777" w:rsidR="00A54846" w:rsidRDefault="008A2731">
            <w:pPr>
              <w:widowControl w:val="0"/>
              <w:shd w:val="clear" w:color="auto" w:fill="auto"/>
              <w:spacing w:after="0" w:line="240" w:lineRule="auto"/>
              <w:jc w:val="left"/>
              <w:rPr>
                <w:rFonts w:eastAsia="Arial Unicode MS" w:cs="Times New Roman"/>
                <w:color w:val="000000"/>
                <w:sz w:val="14"/>
                <w:szCs w:val="14"/>
              </w:rPr>
            </w:pPr>
            <w:r>
              <w:rPr>
                <w:color w:val="000000"/>
                <w:sz w:val="14"/>
              </w:rPr>
              <w:t>A.1.1 Hvorav gjenforsikret</w:t>
            </w:r>
          </w:p>
        </w:tc>
        <w:tc>
          <w:tcPr>
            <w:tcW w:w="122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1E58FF96"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977"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5751DBE8"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869"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7A6E38E1"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869"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71891BA0"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71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33F5CE20"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704"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77F164FC"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66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02BBFCB4"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66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00DA4143"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654"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50065FD6"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948"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1F9783EF"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1020"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hideMark/>
          </w:tcPr>
          <w:p w14:paraId="12AD1D7A" w14:textId="77777777" w:rsidR="00A54846" w:rsidRDefault="008A2731">
            <w:pPr>
              <w:widowControl w:val="0"/>
              <w:shd w:val="clear" w:color="auto" w:fill="auto"/>
              <w:spacing w:after="0" w:line="240" w:lineRule="auto"/>
              <w:jc w:val="center"/>
              <w:rPr>
                <w:rFonts w:eastAsia="Arial Unicode MS" w:cs="Times New Roman"/>
                <w:color w:val="000000"/>
                <w:sz w:val="14"/>
                <w:szCs w:val="14"/>
              </w:rPr>
            </w:pPr>
            <w:r>
              <w:rPr>
                <w:color w:val="000000"/>
                <w:sz w:val="14"/>
              </w:rPr>
              <w:t>Muliggjørende</w:t>
            </w:r>
          </w:p>
        </w:tc>
        <w:tc>
          <w:tcPr>
            <w:tcW w:w="908" w:type="dxa"/>
            <w:tcBorders>
              <w:top w:val="single" w:sz="4" w:space="0" w:color="auto"/>
              <w:left w:val="single" w:sz="4" w:space="0" w:color="auto"/>
              <w:bottom w:val="nil"/>
              <w:right w:val="single" w:sz="4" w:space="0" w:color="auto"/>
            </w:tcBorders>
            <w:shd w:val="clear" w:color="auto" w:fill="FFFFFF"/>
            <w:tcMar>
              <w:top w:w="20" w:type="dxa"/>
              <w:left w:w="40" w:type="dxa"/>
              <w:bottom w:w="100" w:type="dxa"/>
              <w:right w:w="40" w:type="dxa"/>
            </w:tcMar>
          </w:tcPr>
          <w:p w14:paraId="165086E6"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r>
      <w:tr w:rsidR="00A54846" w14:paraId="77053ACC" w14:textId="77777777">
        <w:tc>
          <w:tcPr>
            <w:tcW w:w="4099"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hideMark/>
          </w:tcPr>
          <w:p w14:paraId="6CFF01FB" w14:textId="77777777" w:rsidR="00A54846" w:rsidRDefault="008A2731">
            <w:pPr>
              <w:widowControl w:val="0"/>
              <w:shd w:val="clear" w:color="auto" w:fill="auto"/>
              <w:spacing w:after="0" w:line="240" w:lineRule="auto"/>
              <w:jc w:val="left"/>
              <w:rPr>
                <w:rFonts w:eastAsia="Arial Unicode MS" w:cs="Times New Roman"/>
                <w:color w:val="000000"/>
                <w:sz w:val="14"/>
                <w:szCs w:val="14"/>
              </w:rPr>
            </w:pPr>
            <w:r>
              <w:rPr>
                <w:color w:val="000000"/>
                <w:sz w:val="14"/>
              </w:rPr>
              <w:t>A.1.2 Hvorav som stammer fra gjenforsikringsvirksomhet</w:t>
            </w:r>
          </w:p>
        </w:tc>
        <w:tc>
          <w:tcPr>
            <w:tcW w:w="122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0DFBF944"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977"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16965B94"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869"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2144073F"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869"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49D6C47E"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71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4F3CEFFD"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704"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6FCF8B0F"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66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0816A99A"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66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687522D4"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654"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70C60D75"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948"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78FF37AA"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1020"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hideMark/>
          </w:tcPr>
          <w:p w14:paraId="72075FD4" w14:textId="77777777" w:rsidR="00A54846" w:rsidRDefault="008A2731">
            <w:pPr>
              <w:widowControl w:val="0"/>
              <w:shd w:val="clear" w:color="auto" w:fill="auto"/>
              <w:spacing w:after="0" w:line="240" w:lineRule="auto"/>
              <w:jc w:val="center"/>
              <w:rPr>
                <w:rFonts w:eastAsia="Arial Unicode MS" w:cs="Times New Roman"/>
                <w:color w:val="000000"/>
                <w:sz w:val="14"/>
                <w:szCs w:val="14"/>
              </w:rPr>
            </w:pPr>
            <w:r>
              <w:rPr>
                <w:color w:val="000000"/>
                <w:sz w:val="14"/>
              </w:rPr>
              <w:t>Muliggjørende</w:t>
            </w:r>
          </w:p>
        </w:tc>
        <w:tc>
          <w:tcPr>
            <w:tcW w:w="908" w:type="dxa"/>
            <w:tcBorders>
              <w:top w:val="single" w:sz="4" w:space="0" w:color="auto"/>
              <w:left w:val="single" w:sz="4" w:space="0" w:color="auto"/>
              <w:bottom w:val="nil"/>
              <w:right w:val="single" w:sz="4" w:space="0" w:color="auto"/>
            </w:tcBorders>
            <w:shd w:val="clear" w:color="auto" w:fill="FFFFFF"/>
            <w:tcMar>
              <w:top w:w="20" w:type="dxa"/>
              <w:left w:w="40" w:type="dxa"/>
              <w:bottom w:w="100" w:type="dxa"/>
              <w:right w:w="40" w:type="dxa"/>
            </w:tcMar>
          </w:tcPr>
          <w:p w14:paraId="1FF43796"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r>
      <w:tr w:rsidR="00A54846" w14:paraId="082AD507" w14:textId="77777777">
        <w:tc>
          <w:tcPr>
            <w:tcW w:w="4099"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hideMark/>
          </w:tcPr>
          <w:p w14:paraId="1EADA4FD" w14:textId="77777777" w:rsidR="00A54846" w:rsidRDefault="008A2731">
            <w:pPr>
              <w:widowControl w:val="0"/>
              <w:shd w:val="clear" w:color="auto" w:fill="auto"/>
              <w:spacing w:after="0" w:line="240" w:lineRule="auto"/>
              <w:jc w:val="left"/>
              <w:rPr>
                <w:rFonts w:eastAsia="Arial Unicode MS" w:cs="Times New Roman"/>
                <w:color w:val="000000"/>
                <w:sz w:val="14"/>
                <w:szCs w:val="14"/>
              </w:rPr>
            </w:pPr>
            <w:r>
              <w:rPr>
                <w:color w:val="000000"/>
                <w:sz w:val="14"/>
              </w:rPr>
              <w:t>A.1.2.1 Hvorav gjenforsikret (retrocesjon)</w:t>
            </w:r>
          </w:p>
        </w:tc>
        <w:tc>
          <w:tcPr>
            <w:tcW w:w="122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069F4193"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977"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26A358B4"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869"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638EC2FC"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869"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76DB3654"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71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52C02D39"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704"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3193D586"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66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0F734C26"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661"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553D18CF"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654"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23ED9039"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948"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tcPr>
          <w:p w14:paraId="6BC29812"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1020" w:type="dxa"/>
            <w:tcBorders>
              <w:top w:val="single" w:sz="4" w:space="0" w:color="auto"/>
              <w:left w:val="single" w:sz="4" w:space="0" w:color="auto"/>
              <w:bottom w:val="nil"/>
              <w:right w:val="nil"/>
            </w:tcBorders>
            <w:shd w:val="clear" w:color="auto" w:fill="FFFFFF"/>
            <w:tcMar>
              <w:top w:w="20" w:type="dxa"/>
              <w:left w:w="40" w:type="dxa"/>
              <w:bottom w:w="100" w:type="dxa"/>
              <w:right w:w="40" w:type="dxa"/>
            </w:tcMar>
            <w:hideMark/>
          </w:tcPr>
          <w:p w14:paraId="2350E1AD" w14:textId="77777777" w:rsidR="00A54846" w:rsidRDefault="008A2731">
            <w:pPr>
              <w:widowControl w:val="0"/>
              <w:shd w:val="clear" w:color="auto" w:fill="auto"/>
              <w:spacing w:after="0" w:line="240" w:lineRule="auto"/>
              <w:jc w:val="center"/>
              <w:rPr>
                <w:rFonts w:eastAsia="Arial Unicode MS" w:cs="Times New Roman"/>
                <w:color w:val="000000"/>
                <w:sz w:val="14"/>
                <w:szCs w:val="14"/>
              </w:rPr>
            </w:pPr>
            <w:r>
              <w:rPr>
                <w:color w:val="000000"/>
                <w:sz w:val="14"/>
              </w:rPr>
              <w:t>Muliggjørende</w:t>
            </w:r>
          </w:p>
        </w:tc>
        <w:tc>
          <w:tcPr>
            <w:tcW w:w="908" w:type="dxa"/>
            <w:tcBorders>
              <w:top w:val="single" w:sz="4" w:space="0" w:color="auto"/>
              <w:left w:val="single" w:sz="4" w:space="0" w:color="auto"/>
              <w:bottom w:val="nil"/>
              <w:right w:val="single" w:sz="4" w:space="0" w:color="auto"/>
            </w:tcBorders>
            <w:shd w:val="clear" w:color="auto" w:fill="FFFFFF"/>
            <w:tcMar>
              <w:top w:w="20" w:type="dxa"/>
              <w:left w:w="40" w:type="dxa"/>
              <w:bottom w:w="100" w:type="dxa"/>
              <w:right w:w="40" w:type="dxa"/>
            </w:tcMar>
          </w:tcPr>
          <w:p w14:paraId="70EE7C7E"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r>
      <w:tr w:rsidR="00A54846" w14:paraId="0010354C" w14:textId="77777777">
        <w:tc>
          <w:tcPr>
            <w:tcW w:w="4099"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hideMark/>
          </w:tcPr>
          <w:p w14:paraId="6E3B2CB4" w14:textId="77777777" w:rsidR="00A54846" w:rsidRDefault="008A2731">
            <w:pPr>
              <w:widowControl w:val="0"/>
              <w:shd w:val="clear" w:color="auto" w:fill="auto"/>
              <w:spacing w:after="0" w:line="240" w:lineRule="auto"/>
              <w:jc w:val="left"/>
              <w:rPr>
                <w:rFonts w:eastAsia="Arial Unicode MS" w:cs="Times New Roman"/>
                <w:b/>
                <w:color w:val="000000"/>
                <w:sz w:val="14"/>
                <w:szCs w:val="14"/>
              </w:rPr>
            </w:pPr>
            <w:r>
              <w:rPr>
                <w:b/>
                <w:color w:val="000000"/>
                <w:sz w:val="14"/>
              </w:rPr>
              <w:t>A.2 Aktiviteter som ikke inngår i A.1</w:t>
            </w:r>
          </w:p>
        </w:tc>
        <w:tc>
          <w:tcPr>
            <w:tcW w:w="1221"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6F2EFA50"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977"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7845B1E4"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869"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24C66826"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869"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6A963811"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711"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1FF1E235"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704"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1D7FD2AA"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661"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4BC17B34"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661"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58A0639D"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654"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1C1A6331"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948"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3B5C0A85" w14:textId="77777777" w:rsidR="00A54846" w:rsidRPr="006A792F" w:rsidRDefault="00A54846">
            <w:pPr>
              <w:widowControl w:val="0"/>
              <w:shd w:val="clear" w:color="auto" w:fill="auto"/>
              <w:spacing w:after="0" w:line="240" w:lineRule="auto"/>
              <w:jc w:val="left"/>
              <w:rPr>
                <w:rFonts w:eastAsia="Arial Unicode MS" w:cs="Times New Roman"/>
                <w:color w:val="000000"/>
                <w:sz w:val="14"/>
                <w:szCs w:val="14"/>
                <w:lang w:bidi="en-US"/>
              </w:rPr>
            </w:pPr>
          </w:p>
        </w:tc>
        <w:tc>
          <w:tcPr>
            <w:tcW w:w="1020"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hideMark/>
          </w:tcPr>
          <w:p w14:paraId="550C613D" w14:textId="77777777" w:rsidR="00A54846" w:rsidRDefault="008A2731">
            <w:pPr>
              <w:widowControl w:val="0"/>
              <w:shd w:val="clear" w:color="auto" w:fill="auto"/>
              <w:spacing w:after="0" w:line="240" w:lineRule="auto"/>
              <w:jc w:val="center"/>
              <w:rPr>
                <w:rFonts w:eastAsia="Arial Unicode MS" w:cs="Times New Roman"/>
                <w:color w:val="000000"/>
                <w:sz w:val="14"/>
                <w:szCs w:val="14"/>
              </w:rPr>
            </w:pPr>
            <w:r>
              <w:rPr>
                <w:color w:val="000000"/>
                <w:sz w:val="14"/>
              </w:rPr>
              <w:t>-</w:t>
            </w:r>
          </w:p>
        </w:tc>
        <w:tc>
          <w:tcPr>
            <w:tcW w:w="908"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100" w:type="dxa"/>
              <w:right w:w="40" w:type="dxa"/>
            </w:tcMar>
          </w:tcPr>
          <w:p w14:paraId="56FB4197"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r>
      <w:tr w:rsidR="00A54846" w14:paraId="05409D68" w14:textId="77777777">
        <w:tc>
          <w:tcPr>
            <w:tcW w:w="4099"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hideMark/>
          </w:tcPr>
          <w:p w14:paraId="08D94642" w14:textId="77777777" w:rsidR="00A54846" w:rsidRDefault="008A2731">
            <w:pPr>
              <w:widowControl w:val="0"/>
              <w:shd w:val="clear" w:color="auto" w:fill="auto"/>
              <w:spacing w:after="0" w:line="240" w:lineRule="auto"/>
              <w:jc w:val="left"/>
              <w:rPr>
                <w:rFonts w:eastAsia="Arial Unicode MS" w:cs="Times New Roman"/>
                <w:b/>
                <w:color w:val="000000"/>
                <w:sz w:val="14"/>
                <w:szCs w:val="14"/>
              </w:rPr>
            </w:pPr>
            <w:r>
              <w:rPr>
                <w:b/>
                <w:color w:val="000000"/>
                <w:sz w:val="14"/>
              </w:rPr>
              <w:t>Sum (A.1 + A.2)</w:t>
            </w:r>
          </w:p>
        </w:tc>
        <w:tc>
          <w:tcPr>
            <w:tcW w:w="1221"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1268F473"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977"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5F768FD3"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869"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62787433"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869"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420EBB65"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711"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4A37D6A0"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704"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5B319629"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661"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185A7B2A"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661"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6233ACAF"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654"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737498C7"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948"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tcPr>
          <w:p w14:paraId="5B15F703"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c>
          <w:tcPr>
            <w:tcW w:w="1020" w:type="dxa"/>
            <w:tcBorders>
              <w:top w:val="single" w:sz="4" w:space="0" w:color="auto"/>
              <w:left w:val="single" w:sz="4" w:space="0" w:color="auto"/>
              <w:bottom w:val="single" w:sz="4" w:space="0" w:color="auto"/>
              <w:right w:val="nil"/>
            </w:tcBorders>
            <w:shd w:val="clear" w:color="auto" w:fill="FFFFFF"/>
            <w:tcMar>
              <w:top w:w="20" w:type="dxa"/>
              <w:left w:w="40" w:type="dxa"/>
              <w:bottom w:w="100" w:type="dxa"/>
              <w:right w:w="40" w:type="dxa"/>
            </w:tcMar>
            <w:hideMark/>
          </w:tcPr>
          <w:p w14:paraId="74B21D81" w14:textId="77777777" w:rsidR="00A54846" w:rsidRDefault="008A2731">
            <w:pPr>
              <w:widowControl w:val="0"/>
              <w:shd w:val="clear" w:color="auto" w:fill="auto"/>
              <w:spacing w:after="0" w:line="240" w:lineRule="auto"/>
              <w:jc w:val="center"/>
              <w:rPr>
                <w:rFonts w:eastAsia="Arial Unicode MS" w:cs="Times New Roman"/>
                <w:color w:val="000000"/>
                <w:sz w:val="14"/>
                <w:szCs w:val="14"/>
              </w:rPr>
            </w:pPr>
            <w:r>
              <w:rPr>
                <w:color w:val="000000"/>
                <w:sz w:val="14"/>
              </w:rPr>
              <w:t>-</w:t>
            </w:r>
          </w:p>
        </w:tc>
        <w:tc>
          <w:tcPr>
            <w:tcW w:w="908" w:type="dxa"/>
            <w:tcBorders>
              <w:top w:val="single" w:sz="4" w:space="0" w:color="auto"/>
              <w:left w:val="single" w:sz="4" w:space="0" w:color="auto"/>
              <w:bottom w:val="single" w:sz="4" w:space="0" w:color="auto"/>
              <w:right w:val="single" w:sz="4" w:space="0" w:color="auto"/>
            </w:tcBorders>
            <w:shd w:val="clear" w:color="auto" w:fill="FFFFFF"/>
            <w:tcMar>
              <w:top w:w="20" w:type="dxa"/>
              <w:left w:w="40" w:type="dxa"/>
              <w:bottom w:w="100" w:type="dxa"/>
              <w:right w:w="40" w:type="dxa"/>
            </w:tcMar>
          </w:tcPr>
          <w:p w14:paraId="7022E1E2" w14:textId="77777777" w:rsidR="00A54846" w:rsidRDefault="00A54846">
            <w:pPr>
              <w:widowControl w:val="0"/>
              <w:shd w:val="clear" w:color="auto" w:fill="auto"/>
              <w:spacing w:after="0" w:line="240" w:lineRule="auto"/>
              <w:jc w:val="left"/>
              <w:rPr>
                <w:rFonts w:eastAsia="Arial Unicode MS" w:cs="Times New Roman"/>
                <w:color w:val="000000"/>
                <w:sz w:val="14"/>
                <w:szCs w:val="14"/>
                <w:lang w:val="en-US" w:bidi="en-US"/>
              </w:rPr>
            </w:pPr>
          </w:p>
        </w:tc>
      </w:tr>
    </w:tbl>
    <w:p w14:paraId="1AE34D77" w14:textId="77777777" w:rsidR="00A54846" w:rsidRDefault="008A2731">
      <w:pPr>
        <w:pStyle w:val="AnnexNormal"/>
        <w:spacing w:before="200"/>
      </w:pPr>
      <w:r>
        <w:t>«Premier» i kolonne (3) og (4) skal rapporteres som tegnede bruttopremier eller eventuelt omsetning som knytter seg til skadeforsikrings- eller gjenforsikringsvirksomhet.</w:t>
      </w:r>
    </w:p>
    <w:p w14:paraId="1D1F87ED" w14:textId="77777777" w:rsidR="00A54846" w:rsidRDefault="008A2731">
      <w:pPr>
        <w:pStyle w:val="AnnexNormal"/>
      </w:pPr>
      <w:r>
        <w:t>Opplysningene i kolonne (5) skal rapporteres fra og med år 2024.</w:t>
      </w:r>
    </w:p>
    <w:p w14:paraId="5DAE63B1" w14:textId="77777777" w:rsidR="00A54846" w:rsidRDefault="008A2731">
      <w:pPr>
        <w:pStyle w:val="AnnexNormal"/>
        <w:spacing w:after="0"/>
      </w:pPr>
      <w:r>
        <w:t>Skadeforsikring og gjenforsikring kan bare oppfylle kravene i forordning (EU) 2020/852 dersom aktiviteten muliggjør tilpasning til klimaendringer. Opplysningene som rapporteres i kolonne (5) er derfor de samme for alle forsikrings- og gjenforsikringsforetak med skadeforsikrings- og/eller gjenforsikringsvirksomhet.</w:t>
      </w:r>
    </w:p>
    <w:p w14:paraId="063359EA" w14:textId="77777777" w:rsidR="00A54846" w:rsidRDefault="00A54846">
      <w:pPr>
        <w:pStyle w:val="AnnexNormal"/>
        <w:sectPr w:rsidR="00A54846">
          <w:pgSz w:w="16838" w:h="11906" w:orient="landscape" w:code="9"/>
          <w:pgMar w:top="1120" w:right="1680" w:bottom="1120" w:left="840" w:header="920" w:footer="280" w:gutter="0"/>
          <w:cols w:space="708"/>
          <w:docGrid w:linePitch="360"/>
        </w:sectPr>
      </w:pPr>
    </w:p>
    <w:p w14:paraId="7B0D2CF6" w14:textId="77777777" w:rsidR="00A54846" w:rsidRDefault="008A2731">
      <w:pPr>
        <w:pStyle w:val="AnnexNormal"/>
        <w:spacing w:after="1200"/>
      </w:pPr>
      <w:r>
        <w:lastRenderedPageBreak/>
        <w:t>Dersom gjenforsikringsvirksomheten til et foretak omfatter produkter som knytter seg til en portefølje av underliggende direkte forsikringsprodukter, og foretaket vurderer virksomhetens forenlighet med de tekniske screeningkriteriene og kriteriene om ikke å være til betydelig skade for en andel av gjenforsikringsvirksomhetens underliggende produkter i samsvar med punkt 10.2 nr. 2.3 («proratarisk metode») i vedlegg II til den delegerte klimarettsakten, bør det konsekvent anvendes en proratarisk metode for opplysningene som rapporteres i alle kolonner i rad A.1.2.</w:t>
      </w:r>
    </w:p>
    <w:p w14:paraId="4382DA18" w14:textId="77777777" w:rsidR="00A54846" w:rsidRDefault="008A2731">
      <w:pPr>
        <w:pStyle w:val="AnnexGrSeq1"/>
        <w:spacing w:line="240" w:lineRule="exact"/>
        <w:jc w:val="both"/>
        <w:rPr>
          <w:sz w:val="18"/>
        </w:rPr>
      </w:pPr>
      <w:r>
        <w:rPr>
          <w:i/>
          <w:sz w:val="18"/>
        </w:rPr>
        <w:t>Mal: Andelen av forsikrings- eller gjenforsikringsforetakets investeringer som er rettet mot finansiering eller er forbundet med taksonomiforenlige aktiviteter, i forhold til samlede investeringer</w:t>
      </w:r>
    </w:p>
    <w:tbl>
      <w:tblPr>
        <w:tblStyle w:val="EFTATable"/>
        <w:tblW w:w="9240" w:type="dxa"/>
        <w:tblLayout w:type="fixed"/>
        <w:tblLook w:val="04A0" w:firstRow="1" w:lastRow="0" w:firstColumn="1" w:lastColumn="0" w:noHBand="0" w:noVBand="1"/>
      </w:tblPr>
      <w:tblGrid>
        <w:gridCol w:w="3024"/>
        <w:gridCol w:w="1863"/>
        <w:gridCol w:w="4353"/>
      </w:tblGrid>
      <w:tr w:rsidR="00A54846" w14:paraId="751F1B70" w14:textId="77777777">
        <w:trPr>
          <w:trHeight w:val="240"/>
        </w:trPr>
        <w:tc>
          <w:tcPr>
            <w:tcW w:w="4887" w:type="dxa"/>
            <w:gridSpan w:val="2"/>
            <w:shd w:val="clear" w:color="auto" w:fill="F2EDE5"/>
            <w:tcMar>
              <w:top w:w="180" w:type="dxa"/>
              <w:left w:w="0" w:type="dxa"/>
              <w:bottom w:w="180" w:type="dxa"/>
            </w:tcMar>
          </w:tcPr>
          <w:p w14:paraId="0DF5A6F5" w14:textId="77777777" w:rsidR="00A54846" w:rsidRDefault="008A2731">
            <w:pPr>
              <w:pStyle w:val="AnnexTableCellLeft"/>
              <w:jc w:val="left"/>
            </w:pPr>
            <w:r>
              <w:t xml:space="preserve">Det vektede gjennomsnittet av verdien av alle forsikrings- eller gjenforsikringsforetakets investeringer som er rettet mot finansiering eller er forbundet med taksonomiforenlige økonomiske aktiviteter, </w:t>
            </w:r>
            <w:r>
              <w:rPr>
                <w:b/>
              </w:rPr>
              <w:t>i forhold til verdien av de samlede eiendelene som dekkes av KPI-en</w:t>
            </w:r>
            <w:r>
              <w:t>, med følgende vekter for investeringer i foretak:</w:t>
            </w:r>
          </w:p>
          <w:p w14:paraId="2412CF7C" w14:textId="77777777" w:rsidR="00A54846" w:rsidRDefault="008A2731">
            <w:pPr>
              <w:pStyle w:val="AnnexTableCellLeft"/>
              <w:jc w:val="left"/>
            </w:pPr>
            <w:r>
              <w:t>Basert på omsetning: %</w:t>
            </w:r>
          </w:p>
          <w:p w14:paraId="00AE90A8" w14:textId="77777777" w:rsidR="00A54846" w:rsidRDefault="008A2731">
            <w:pPr>
              <w:pStyle w:val="AnnexTableCellLeft"/>
              <w:jc w:val="left"/>
            </w:pPr>
            <w:r>
              <w:t>Basert på investeringsutgifter: %</w:t>
            </w:r>
          </w:p>
        </w:tc>
        <w:tc>
          <w:tcPr>
            <w:tcW w:w="4353" w:type="dxa"/>
            <w:shd w:val="clear" w:color="auto" w:fill="F2EDE5"/>
            <w:tcMar>
              <w:top w:w="180" w:type="dxa"/>
              <w:bottom w:w="180" w:type="dxa"/>
            </w:tcMar>
          </w:tcPr>
          <w:p w14:paraId="43F030E2" w14:textId="77777777" w:rsidR="00A54846" w:rsidRDefault="008A2731">
            <w:pPr>
              <w:pStyle w:val="AnnexTableCellLeft"/>
              <w:jc w:val="left"/>
            </w:pPr>
            <w:r>
              <w:t>Det vektede gjennomsnittet av verdien av alle forsikrings- eller gjenforsikringsforetakets investeringer som er rettet mot finansiering eller er forbundet med taksonomiforenlige økonomiske aktiviteter, med følgende vekter for investeringer i foretak:</w:t>
            </w:r>
          </w:p>
          <w:p w14:paraId="70901C40" w14:textId="77777777" w:rsidR="00A54846" w:rsidRDefault="008A2731">
            <w:pPr>
              <w:pStyle w:val="AnnexTableCellLeft"/>
              <w:jc w:val="left"/>
            </w:pPr>
            <w:r>
              <w:t>Basert på omsetning: [pengebeløp]</w:t>
            </w:r>
          </w:p>
          <w:p w14:paraId="6398B9DC" w14:textId="77777777" w:rsidR="00A54846" w:rsidRDefault="008A2731">
            <w:pPr>
              <w:pStyle w:val="AnnexTableCellLeft"/>
              <w:jc w:val="left"/>
            </w:pPr>
            <w:r>
              <w:t>Basert på investeringsutgifter: [pengebeløp]</w:t>
            </w:r>
          </w:p>
        </w:tc>
      </w:tr>
      <w:tr w:rsidR="00A54846" w14:paraId="4474EDDB" w14:textId="77777777">
        <w:trPr>
          <w:trHeight w:val="240"/>
        </w:trPr>
        <w:tc>
          <w:tcPr>
            <w:tcW w:w="4887" w:type="dxa"/>
            <w:gridSpan w:val="2"/>
            <w:shd w:val="clear" w:color="auto" w:fill="F2EDE5"/>
            <w:tcMar>
              <w:top w:w="180" w:type="dxa"/>
              <w:left w:w="0" w:type="dxa"/>
              <w:bottom w:w="180" w:type="dxa"/>
            </w:tcMar>
          </w:tcPr>
          <w:p w14:paraId="456C94D1" w14:textId="77777777" w:rsidR="00A54846" w:rsidRDefault="008A2731">
            <w:pPr>
              <w:pStyle w:val="AnnexTableCellLeft"/>
              <w:jc w:val="left"/>
            </w:pPr>
            <w:r>
              <w:t>Prosentdelen av eiendelene som dekkes av KPI-en, i forhold til forsikrings- eller gjenforsikringsforetakenes samlede investeringer (samlede eiendeler under forvaltning). Unntatt investeringer i offentlige enheter.</w:t>
            </w:r>
          </w:p>
          <w:p w14:paraId="7195FCF3" w14:textId="77777777" w:rsidR="00A54846" w:rsidRDefault="008A2731">
            <w:pPr>
              <w:pStyle w:val="AnnexTableCellLeft"/>
              <w:jc w:val="left"/>
            </w:pPr>
            <w:r>
              <w:t>Dekningsgrad: %</w:t>
            </w:r>
          </w:p>
        </w:tc>
        <w:tc>
          <w:tcPr>
            <w:tcW w:w="4353" w:type="dxa"/>
            <w:shd w:val="clear" w:color="auto" w:fill="F2EDE5"/>
            <w:tcMar>
              <w:top w:w="180" w:type="dxa"/>
              <w:bottom w:w="180" w:type="dxa"/>
            </w:tcMar>
          </w:tcPr>
          <w:p w14:paraId="2215ED1E" w14:textId="77777777" w:rsidR="00A54846" w:rsidRDefault="008A2731">
            <w:pPr>
              <w:pStyle w:val="AnnexTableCellLeft"/>
              <w:jc w:val="left"/>
            </w:pPr>
            <w:r>
              <w:t>Pengeverdien av eiendelene som dekkes av KPI-en. Unntatt investeringer i offentlige enheter.</w:t>
            </w:r>
          </w:p>
          <w:p w14:paraId="3E364EAC" w14:textId="77777777" w:rsidR="00A54846" w:rsidRDefault="008A2731">
            <w:pPr>
              <w:pStyle w:val="AnnexTableCellLeft"/>
              <w:jc w:val="left"/>
            </w:pPr>
            <w:r>
              <w:t>Dekning: [pengebeløp]</w:t>
            </w:r>
          </w:p>
        </w:tc>
      </w:tr>
      <w:tr w:rsidR="00A54846" w14:paraId="295D7D66" w14:textId="77777777">
        <w:trPr>
          <w:trHeight w:val="240"/>
        </w:trPr>
        <w:tc>
          <w:tcPr>
            <w:tcW w:w="9240" w:type="dxa"/>
            <w:gridSpan w:val="3"/>
            <w:shd w:val="clear" w:color="auto" w:fill="D9D4CC"/>
            <w:tcMar>
              <w:top w:w="180" w:type="dxa"/>
              <w:left w:w="0" w:type="dxa"/>
              <w:bottom w:w="180" w:type="dxa"/>
            </w:tcMar>
          </w:tcPr>
          <w:p w14:paraId="54D5CE70" w14:textId="77777777" w:rsidR="00A54846" w:rsidRDefault="008A2731">
            <w:pPr>
              <w:pStyle w:val="AnnexTableCellLeft"/>
              <w:jc w:val="left"/>
            </w:pPr>
            <w:r>
              <w:t xml:space="preserve">Andre tilleggsopplysninger: spesifikasjon av </w:t>
            </w:r>
            <w:r>
              <w:rPr>
                <w:b/>
              </w:rPr>
              <w:t>nevneren</w:t>
            </w:r>
            <w:r>
              <w:t xml:space="preserve"> i KPI-en</w:t>
            </w:r>
          </w:p>
        </w:tc>
      </w:tr>
      <w:tr w:rsidR="00A54846" w14:paraId="65932333" w14:textId="77777777">
        <w:trPr>
          <w:trHeight w:val="240"/>
        </w:trPr>
        <w:tc>
          <w:tcPr>
            <w:tcW w:w="4887" w:type="dxa"/>
            <w:gridSpan w:val="2"/>
            <w:tcMar>
              <w:top w:w="180" w:type="dxa"/>
              <w:left w:w="0" w:type="dxa"/>
              <w:bottom w:w="180" w:type="dxa"/>
            </w:tcMar>
          </w:tcPr>
          <w:p w14:paraId="02A07C50" w14:textId="77777777" w:rsidR="00A54846" w:rsidRDefault="008A2731">
            <w:pPr>
              <w:pStyle w:val="AnnexTableCellLeft"/>
              <w:jc w:val="left"/>
            </w:pPr>
            <w:r>
              <w:t>Prosentdelen av derivater i forhold til de samlede eiendelene som dekkes av KPI-en.</w:t>
            </w:r>
          </w:p>
          <w:p w14:paraId="61CDBCC3" w14:textId="77777777" w:rsidR="00A54846" w:rsidRDefault="008A2731">
            <w:pPr>
              <w:pStyle w:val="AnnexTableCellLeft"/>
              <w:jc w:val="left"/>
            </w:pPr>
            <w:r>
              <w:t>X %</w:t>
            </w:r>
          </w:p>
        </w:tc>
        <w:tc>
          <w:tcPr>
            <w:tcW w:w="4353" w:type="dxa"/>
            <w:tcMar>
              <w:top w:w="180" w:type="dxa"/>
              <w:bottom w:w="180" w:type="dxa"/>
            </w:tcMar>
          </w:tcPr>
          <w:p w14:paraId="2CCF6B6C" w14:textId="77777777" w:rsidR="00A54846" w:rsidRDefault="008A2731">
            <w:pPr>
              <w:pStyle w:val="AnnexTableCellLeft"/>
              <w:jc w:val="left"/>
            </w:pPr>
            <w:r>
              <w:t>Derivatenes verdi i pengebeløp.</w:t>
            </w:r>
          </w:p>
          <w:p w14:paraId="2C58CBE7" w14:textId="77777777" w:rsidR="00A54846" w:rsidRDefault="008A2731">
            <w:pPr>
              <w:pStyle w:val="AnnexTableCellLeft"/>
              <w:jc w:val="left"/>
            </w:pPr>
            <w:r>
              <w:t>[pengebeløp]</w:t>
            </w:r>
          </w:p>
        </w:tc>
      </w:tr>
      <w:tr w:rsidR="00A54846" w14:paraId="0C404C56" w14:textId="77777777">
        <w:trPr>
          <w:trHeight w:val="240"/>
        </w:trPr>
        <w:tc>
          <w:tcPr>
            <w:tcW w:w="4887" w:type="dxa"/>
            <w:gridSpan w:val="2"/>
            <w:tcMar>
              <w:top w:w="180" w:type="dxa"/>
              <w:left w:w="0" w:type="dxa"/>
              <w:bottom w:w="180" w:type="dxa"/>
            </w:tcMar>
          </w:tcPr>
          <w:p w14:paraId="58BA43E7" w14:textId="77777777" w:rsidR="00A54846" w:rsidRDefault="008A2731">
            <w:pPr>
              <w:pStyle w:val="AnnexTableCellLeft"/>
              <w:jc w:val="left"/>
            </w:pPr>
            <w:r>
              <w:t xml:space="preserve">Andelen </w:t>
            </w:r>
            <w:r>
              <w:rPr>
                <w:b/>
              </w:rPr>
              <w:t>eksponeringer mot finansielle og ikke-finansielle foretak som ikke er omfattet av artikkel 19a og 29a i direktiv 2013/34/EU</w:t>
            </w:r>
            <w:r>
              <w:t>, i forhold til de samlede eiendelene som dekkes av KPI-en:</w:t>
            </w:r>
          </w:p>
          <w:p w14:paraId="7CCBCFBA" w14:textId="77777777" w:rsidR="00A54846" w:rsidRDefault="008A2731">
            <w:pPr>
              <w:pStyle w:val="AnnexTableCellLeft"/>
              <w:jc w:val="left"/>
            </w:pPr>
            <w:r>
              <w:t>For ikke-finansielle foretak:</w:t>
            </w:r>
          </w:p>
          <w:p w14:paraId="31ED1878" w14:textId="77777777" w:rsidR="00A54846" w:rsidRDefault="008A2731">
            <w:pPr>
              <w:pStyle w:val="AnnexTableCellLeft"/>
              <w:jc w:val="left"/>
            </w:pPr>
            <w:r>
              <w:t>For finansielle foretak:</w:t>
            </w:r>
          </w:p>
        </w:tc>
        <w:tc>
          <w:tcPr>
            <w:tcW w:w="4353" w:type="dxa"/>
            <w:tcMar>
              <w:top w:w="180" w:type="dxa"/>
              <w:bottom w:w="180" w:type="dxa"/>
            </w:tcMar>
          </w:tcPr>
          <w:p w14:paraId="6FD07DD8" w14:textId="77777777" w:rsidR="00A54846" w:rsidRDefault="008A2731">
            <w:pPr>
              <w:pStyle w:val="AnnexTableCellLeft"/>
              <w:jc w:val="left"/>
            </w:pPr>
            <w:r>
              <w:t xml:space="preserve">Verdien av </w:t>
            </w:r>
            <w:r>
              <w:rPr>
                <w:b/>
              </w:rPr>
              <w:t>eksponeringer mot finansielle og ikke-finansielle foretak som ikke er omfattet av artikkel 19a og 29a i direktiv 2013/34/EU</w:t>
            </w:r>
            <w:r>
              <w:t>:</w:t>
            </w:r>
          </w:p>
          <w:p w14:paraId="2C78C7E6" w14:textId="77777777" w:rsidR="00A54846" w:rsidRDefault="008A2731">
            <w:pPr>
              <w:pStyle w:val="AnnexTableCellLeft"/>
              <w:jc w:val="left"/>
            </w:pPr>
            <w:r>
              <w:t>For ikke-finansielle foretak: [pengebeløp]</w:t>
            </w:r>
          </w:p>
          <w:p w14:paraId="309982EB" w14:textId="77777777" w:rsidR="00A54846" w:rsidRDefault="008A2731">
            <w:pPr>
              <w:pStyle w:val="AnnexTableCellLeft"/>
              <w:jc w:val="left"/>
            </w:pPr>
            <w:r>
              <w:t>For finansielle foretak: [pengebeløp]</w:t>
            </w:r>
          </w:p>
        </w:tc>
      </w:tr>
      <w:tr w:rsidR="00A54846" w14:paraId="595A04A0" w14:textId="77777777">
        <w:trPr>
          <w:trHeight w:val="240"/>
        </w:trPr>
        <w:tc>
          <w:tcPr>
            <w:tcW w:w="4887" w:type="dxa"/>
            <w:gridSpan w:val="2"/>
            <w:tcMar>
              <w:top w:w="180" w:type="dxa"/>
              <w:left w:w="0" w:type="dxa"/>
              <w:bottom w:w="180" w:type="dxa"/>
            </w:tcMar>
          </w:tcPr>
          <w:p w14:paraId="19BD465A" w14:textId="77777777" w:rsidR="00A54846" w:rsidRDefault="008A2731">
            <w:pPr>
              <w:pStyle w:val="AnnexTableCellLeft"/>
              <w:jc w:val="left"/>
            </w:pPr>
            <w:r>
              <w:t xml:space="preserve">Andelen </w:t>
            </w:r>
            <w:r>
              <w:rPr>
                <w:b/>
              </w:rPr>
              <w:t>eksponeringer mot finansielle og ikke-finansielle foretak fra land utenfor EU som ikke er omfattet av artikkel 19a og 29a i direktiv 2013/34/EU</w:t>
            </w:r>
            <w:r>
              <w:t>, i forhold til de samlede eiendelene som dekkes av KPI-en:</w:t>
            </w:r>
          </w:p>
          <w:p w14:paraId="0D40ACA3" w14:textId="77777777" w:rsidR="00A54846" w:rsidRDefault="008A2731">
            <w:pPr>
              <w:pStyle w:val="AnnexTableCellLeft"/>
              <w:jc w:val="left"/>
            </w:pPr>
            <w:r>
              <w:t>For ikke-finansielle foretak:</w:t>
            </w:r>
          </w:p>
          <w:p w14:paraId="052B96B3" w14:textId="77777777" w:rsidR="00A54846" w:rsidRDefault="008A2731">
            <w:pPr>
              <w:pStyle w:val="AnnexTableCellLeft"/>
              <w:jc w:val="left"/>
            </w:pPr>
            <w:r>
              <w:t>For finansielle foretak:</w:t>
            </w:r>
          </w:p>
        </w:tc>
        <w:tc>
          <w:tcPr>
            <w:tcW w:w="4353" w:type="dxa"/>
            <w:tcMar>
              <w:top w:w="180" w:type="dxa"/>
              <w:bottom w:w="180" w:type="dxa"/>
            </w:tcMar>
          </w:tcPr>
          <w:p w14:paraId="74410E51" w14:textId="77777777" w:rsidR="00A54846" w:rsidRDefault="008A2731">
            <w:pPr>
              <w:pStyle w:val="AnnexTableCellLeft"/>
              <w:jc w:val="left"/>
            </w:pPr>
            <w:r>
              <w:t xml:space="preserve">Verdien av </w:t>
            </w:r>
            <w:r>
              <w:rPr>
                <w:b/>
              </w:rPr>
              <w:t>eksponeringer mot finansielle og ikke-finansielle foretak fra land utenfor EU som ikke er omfattet av artikkel 19a og 29a i direktiv 2013/34/EU</w:t>
            </w:r>
            <w:r>
              <w:t>:</w:t>
            </w:r>
          </w:p>
          <w:p w14:paraId="7ECF2997" w14:textId="77777777" w:rsidR="00A54846" w:rsidRDefault="008A2731">
            <w:pPr>
              <w:pStyle w:val="AnnexTableCellLeft"/>
              <w:jc w:val="left"/>
            </w:pPr>
            <w:r>
              <w:t>For ikke-finansielle foretak: [pengebeløp]</w:t>
            </w:r>
          </w:p>
          <w:p w14:paraId="6C7B82E9" w14:textId="77777777" w:rsidR="00A54846" w:rsidRDefault="008A2731">
            <w:pPr>
              <w:pStyle w:val="AnnexTableCellLeft"/>
              <w:jc w:val="left"/>
            </w:pPr>
            <w:r>
              <w:t>For finansielle foretak: [pengebeløp]</w:t>
            </w:r>
          </w:p>
        </w:tc>
      </w:tr>
      <w:tr w:rsidR="00A54846" w14:paraId="70814935" w14:textId="77777777">
        <w:trPr>
          <w:trHeight w:val="240"/>
        </w:trPr>
        <w:tc>
          <w:tcPr>
            <w:tcW w:w="4887" w:type="dxa"/>
            <w:gridSpan w:val="2"/>
            <w:tcMar>
              <w:top w:w="180" w:type="dxa"/>
              <w:left w:w="0" w:type="dxa"/>
              <w:bottom w:w="180" w:type="dxa"/>
            </w:tcMar>
          </w:tcPr>
          <w:p w14:paraId="6D706230" w14:textId="77777777" w:rsidR="00A54846" w:rsidRDefault="008A2731">
            <w:pPr>
              <w:pStyle w:val="AnnexTableCellLeft"/>
              <w:jc w:val="left"/>
            </w:pPr>
            <w:r>
              <w:t xml:space="preserve">Andelen </w:t>
            </w:r>
            <w:r>
              <w:rPr>
                <w:b/>
              </w:rPr>
              <w:t>eksponeringer mot finansielle og ikke-finansielle foretak som er omfattet av artikkel 19a og 29a i direktiv 2013/34/EU</w:t>
            </w:r>
            <w:r>
              <w:t>, i forhold til de samlede eiendelene som dekkes av KPI-en:</w:t>
            </w:r>
          </w:p>
          <w:p w14:paraId="0B73B324" w14:textId="77777777" w:rsidR="00A54846" w:rsidRDefault="008A2731">
            <w:pPr>
              <w:pStyle w:val="AnnexTableCellLeft"/>
              <w:jc w:val="left"/>
            </w:pPr>
            <w:r>
              <w:t>For ikke-finansielle foretak: X %</w:t>
            </w:r>
          </w:p>
          <w:p w14:paraId="70AC2E89" w14:textId="77777777" w:rsidR="00A54846" w:rsidRDefault="008A2731">
            <w:pPr>
              <w:pStyle w:val="AnnexTableCellLeft"/>
              <w:jc w:val="left"/>
            </w:pPr>
            <w:r>
              <w:t>For finansielle foretak: X %</w:t>
            </w:r>
          </w:p>
        </w:tc>
        <w:tc>
          <w:tcPr>
            <w:tcW w:w="4353" w:type="dxa"/>
            <w:tcMar>
              <w:top w:w="180" w:type="dxa"/>
              <w:bottom w:w="180" w:type="dxa"/>
            </w:tcMar>
          </w:tcPr>
          <w:p w14:paraId="18824265" w14:textId="77777777" w:rsidR="00A54846" w:rsidRDefault="008A2731">
            <w:pPr>
              <w:pStyle w:val="AnnexTableCellLeft"/>
              <w:jc w:val="left"/>
            </w:pPr>
            <w:r>
              <w:t xml:space="preserve">Verdien av </w:t>
            </w:r>
            <w:r>
              <w:rPr>
                <w:b/>
              </w:rPr>
              <w:t>eksponeringer mot finansielle og ikke-finansielle foretak som er omfattet av artikkel 19a og 29a i direktiv 2013/34/EU</w:t>
            </w:r>
            <w:r>
              <w:t>:</w:t>
            </w:r>
          </w:p>
          <w:p w14:paraId="5839E3A6" w14:textId="77777777" w:rsidR="00A54846" w:rsidRDefault="008A2731">
            <w:pPr>
              <w:pStyle w:val="AnnexTableCellLeft"/>
              <w:jc w:val="left"/>
            </w:pPr>
            <w:r>
              <w:t>For ikke-finansielle foretak: [pengebeløp]</w:t>
            </w:r>
          </w:p>
          <w:p w14:paraId="3FDF31AB" w14:textId="77777777" w:rsidR="00A54846" w:rsidRDefault="008A2731">
            <w:pPr>
              <w:pStyle w:val="AnnexTableCellLeft"/>
              <w:jc w:val="left"/>
            </w:pPr>
            <w:r>
              <w:t>For finansielle foretak: [pengebeløp]</w:t>
            </w:r>
          </w:p>
        </w:tc>
      </w:tr>
      <w:tr w:rsidR="00A54846" w14:paraId="22572604" w14:textId="77777777">
        <w:trPr>
          <w:trHeight w:val="240"/>
        </w:trPr>
        <w:tc>
          <w:tcPr>
            <w:tcW w:w="4887" w:type="dxa"/>
            <w:gridSpan w:val="2"/>
            <w:tcMar>
              <w:top w:w="180" w:type="dxa"/>
              <w:left w:w="0" w:type="dxa"/>
              <w:bottom w:w="180" w:type="dxa"/>
            </w:tcMar>
          </w:tcPr>
          <w:p w14:paraId="2AE25929" w14:textId="77777777" w:rsidR="00A54846" w:rsidRDefault="008A2731">
            <w:pPr>
              <w:pStyle w:val="AnnexTableCellLeft"/>
              <w:jc w:val="left"/>
            </w:pPr>
            <w:r>
              <w:lastRenderedPageBreak/>
              <w:t xml:space="preserve">Andelen </w:t>
            </w:r>
            <w:r>
              <w:rPr>
                <w:b/>
              </w:rPr>
              <w:t>eksponeringer mot andre motparter</w:t>
            </w:r>
            <w:r>
              <w:t xml:space="preserve"> i forhold til de samlede eiendelene som dekkes av KPI-en:</w:t>
            </w:r>
          </w:p>
          <w:p w14:paraId="48834ABE" w14:textId="77777777" w:rsidR="00A54846" w:rsidRDefault="008A2731">
            <w:pPr>
              <w:pStyle w:val="AnnexTableCellLeft"/>
              <w:jc w:val="left"/>
            </w:pPr>
            <w:r>
              <w:t>X %</w:t>
            </w:r>
          </w:p>
        </w:tc>
        <w:tc>
          <w:tcPr>
            <w:tcW w:w="4353" w:type="dxa"/>
            <w:tcMar>
              <w:top w:w="180" w:type="dxa"/>
              <w:bottom w:w="180" w:type="dxa"/>
            </w:tcMar>
          </w:tcPr>
          <w:p w14:paraId="6FD7347C" w14:textId="77777777" w:rsidR="00A54846" w:rsidRDefault="008A2731">
            <w:pPr>
              <w:pStyle w:val="AnnexTableCellLeft"/>
              <w:jc w:val="left"/>
            </w:pPr>
            <w:r>
              <w:t xml:space="preserve">Verdien av </w:t>
            </w:r>
            <w:r>
              <w:rPr>
                <w:b/>
              </w:rPr>
              <w:t>eksponeringer mot andre motparter</w:t>
            </w:r>
            <w:r>
              <w:t>:</w:t>
            </w:r>
          </w:p>
          <w:p w14:paraId="2E05749B" w14:textId="77777777" w:rsidR="00A54846" w:rsidRDefault="008A2731">
            <w:pPr>
              <w:pStyle w:val="AnnexTableCellLeft"/>
              <w:jc w:val="left"/>
            </w:pPr>
            <w:r>
              <w:t>[pengebeløp]</w:t>
            </w:r>
          </w:p>
        </w:tc>
      </w:tr>
      <w:tr w:rsidR="00A54846" w14:paraId="16ED3347" w14:textId="77777777">
        <w:trPr>
          <w:trHeight w:val="240"/>
        </w:trPr>
        <w:tc>
          <w:tcPr>
            <w:tcW w:w="4887" w:type="dxa"/>
            <w:gridSpan w:val="2"/>
            <w:tcMar>
              <w:top w:w="190" w:type="dxa"/>
              <w:left w:w="0" w:type="dxa"/>
              <w:bottom w:w="190" w:type="dxa"/>
            </w:tcMar>
          </w:tcPr>
          <w:p w14:paraId="045A3AC7" w14:textId="77777777" w:rsidR="00A54846" w:rsidRDefault="008A2731">
            <w:pPr>
              <w:pStyle w:val="AnnexTableCellLeft"/>
              <w:pageBreakBefore/>
              <w:jc w:val="left"/>
            </w:pPr>
            <w:r>
              <w:lastRenderedPageBreak/>
              <w:t xml:space="preserve">Andel av forsikrings- eller gjenforsikringsforetakets investeringer utenom investeringer som er knyttet til livsforsikringsavtaler </w:t>
            </w:r>
            <w:r>
              <w:rPr>
                <w:b/>
              </w:rPr>
              <w:t>der investeringsrisikoen bæres av forsikringstakerne</w:t>
            </w:r>
            <w:r>
              <w:t>, som er rettet mot finansiering eller er forbundet med taksonomiforenlige økonomiske aktiviteter: X %</w:t>
            </w:r>
          </w:p>
        </w:tc>
        <w:tc>
          <w:tcPr>
            <w:tcW w:w="4353" w:type="dxa"/>
            <w:tcMar>
              <w:top w:w="190" w:type="dxa"/>
              <w:bottom w:w="190" w:type="dxa"/>
            </w:tcMar>
          </w:tcPr>
          <w:p w14:paraId="148D972C" w14:textId="77777777" w:rsidR="00A54846" w:rsidRDefault="008A2731">
            <w:pPr>
              <w:pStyle w:val="AnnexTableCellLeft"/>
              <w:jc w:val="left"/>
            </w:pPr>
            <w:r>
              <w:t xml:space="preserve">Verdien av forsikrings- eller gjenforsikringsforetakets investeringer utenom investeringer som er knyttet til livsforsikringsavtaler </w:t>
            </w:r>
            <w:r>
              <w:rPr>
                <w:b/>
              </w:rPr>
              <w:t>der investeringsrisikoen bæres av forsikringstakerne</w:t>
            </w:r>
            <w:r>
              <w:t>, som er rettet mot finansiering eller er forbundet med taksonomiforenlige økonomiske aktiviteter: [pengebeløp]</w:t>
            </w:r>
          </w:p>
        </w:tc>
      </w:tr>
      <w:tr w:rsidR="00A54846" w14:paraId="35A9E966" w14:textId="77777777">
        <w:trPr>
          <w:trHeight w:val="240"/>
        </w:trPr>
        <w:tc>
          <w:tcPr>
            <w:tcW w:w="4887" w:type="dxa"/>
            <w:gridSpan w:val="2"/>
            <w:tcMar>
              <w:top w:w="190" w:type="dxa"/>
              <w:left w:w="0" w:type="dxa"/>
              <w:bottom w:w="190" w:type="dxa"/>
            </w:tcMar>
          </w:tcPr>
          <w:p w14:paraId="24D4D86D" w14:textId="77777777" w:rsidR="00A54846" w:rsidRDefault="008A2731">
            <w:pPr>
              <w:pStyle w:val="AnnexTableCellLeft"/>
              <w:jc w:val="left"/>
            </w:pPr>
            <w:r>
              <w:t xml:space="preserve">Verdien av alle investeringer som finansierer </w:t>
            </w:r>
            <w:r>
              <w:rPr>
                <w:b/>
              </w:rPr>
              <w:t>økonomiske aktiviteter som ikke er omfattet av taksonomien</w:t>
            </w:r>
            <w:r>
              <w:t>, i forhold til verdien av de samlede eiendelene som dekkes av KPI-en:</w:t>
            </w:r>
          </w:p>
          <w:p w14:paraId="147F98D4" w14:textId="77777777" w:rsidR="00A54846" w:rsidRDefault="008A2731">
            <w:pPr>
              <w:pStyle w:val="AnnexTableCellLeft"/>
              <w:jc w:val="left"/>
            </w:pPr>
            <w:r>
              <w:t>X %</w:t>
            </w:r>
          </w:p>
        </w:tc>
        <w:tc>
          <w:tcPr>
            <w:tcW w:w="4353" w:type="dxa"/>
            <w:tcMar>
              <w:top w:w="190" w:type="dxa"/>
              <w:bottom w:w="190" w:type="dxa"/>
            </w:tcMar>
          </w:tcPr>
          <w:p w14:paraId="7E16BE93" w14:textId="77777777" w:rsidR="00A54846" w:rsidRDefault="008A2731">
            <w:pPr>
              <w:pStyle w:val="AnnexTableCellLeft"/>
              <w:jc w:val="left"/>
            </w:pPr>
            <w:r>
              <w:t xml:space="preserve">Verdien av alle investeringer som finansierer </w:t>
            </w:r>
            <w:r>
              <w:rPr>
                <w:b/>
              </w:rPr>
              <w:t>økonomiske aktiviteter som ikke er omfattet av taksonomien</w:t>
            </w:r>
            <w:r>
              <w:t>:</w:t>
            </w:r>
          </w:p>
          <w:p w14:paraId="499A0B22" w14:textId="77777777" w:rsidR="00A54846" w:rsidRDefault="008A2731">
            <w:pPr>
              <w:pStyle w:val="AnnexTableCellLeft"/>
              <w:jc w:val="left"/>
            </w:pPr>
            <w:r>
              <w:t>[pengebeløp]</w:t>
            </w:r>
          </w:p>
        </w:tc>
      </w:tr>
      <w:tr w:rsidR="00A54846" w14:paraId="4F930D19" w14:textId="77777777">
        <w:trPr>
          <w:trHeight w:val="240"/>
        </w:trPr>
        <w:tc>
          <w:tcPr>
            <w:tcW w:w="4887" w:type="dxa"/>
            <w:gridSpan w:val="2"/>
            <w:tcMar>
              <w:top w:w="190" w:type="dxa"/>
              <w:left w:w="0" w:type="dxa"/>
              <w:bottom w:w="190" w:type="dxa"/>
            </w:tcMar>
          </w:tcPr>
          <w:p w14:paraId="526BC3EC" w14:textId="77777777" w:rsidR="00A54846" w:rsidRDefault="008A2731">
            <w:pPr>
              <w:pStyle w:val="AnnexTableCellLeft"/>
              <w:jc w:val="left"/>
            </w:pPr>
            <w:r>
              <w:t xml:space="preserve">Verdien av alle investeringer som finansierer økonomiske aktiviteter som er omfattet av taksonomien, </w:t>
            </w:r>
            <w:r>
              <w:rPr>
                <w:b/>
              </w:rPr>
              <w:t>men som ikke er taksonomiforenlige</w:t>
            </w:r>
            <w:r>
              <w:t>, i forhold til verdien av de samlede eiendelene som dekkes av KPI-en:</w:t>
            </w:r>
          </w:p>
          <w:p w14:paraId="0B4814B9" w14:textId="77777777" w:rsidR="00A54846" w:rsidRDefault="008A2731">
            <w:pPr>
              <w:pStyle w:val="AnnexTableCellLeft"/>
              <w:jc w:val="left"/>
            </w:pPr>
            <w:r>
              <w:t>X %</w:t>
            </w:r>
          </w:p>
        </w:tc>
        <w:tc>
          <w:tcPr>
            <w:tcW w:w="4353" w:type="dxa"/>
            <w:tcMar>
              <w:top w:w="190" w:type="dxa"/>
              <w:bottom w:w="190" w:type="dxa"/>
            </w:tcMar>
          </w:tcPr>
          <w:p w14:paraId="674FA478" w14:textId="77777777" w:rsidR="00A54846" w:rsidRDefault="008A2731">
            <w:pPr>
              <w:pStyle w:val="AnnexTableCellLeft"/>
              <w:jc w:val="left"/>
            </w:pPr>
            <w:r>
              <w:t xml:space="preserve">Verdien av alle investeringer som finansierer økonomiske aktiviteter som er omfattet av taksonomien, </w:t>
            </w:r>
            <w:r>
              <w:rPr>
                <w:b/>
              </w:rPr>
              <w:t>men som ikke er taksonomiforenlige:</w:t>
            </w:r>
          </w:p>
          <w:p w14:paraId="75657053" w14:textId="77777777" w:rsidR="00A54846" w:rsidRDefault="008A2731">
            <w:pPr>
              <w:pStyle w:val="AnnexTableCellLeft"/>
              <w:jc w:val="left"/>
            </w:pPr>
            <w:r>
              <w:t>[pengebeløp]</w:t>
            </w:r>
          </w:p>
        </w:tc>
      </w:tr>
      <w:tr w:rsidR="00A54846" w14:paraId="2576952A" w14:textId="77777777">
        <w:trPr>
          <w:trHeight w:val="240"/>
        </w:trPr>
        <w:tc>
          <w:tcPr>
            <w:tcW w:w="9240" w:type="dxa"/>
            <w:gridSpan w:val="3"/>
            <w:shd w:val="clear" w:color="auto" w:fill="D9D4CC"/>
            <w:tcMar>
              <w:top w:w="190" w:type="dxa"/>
              <w:left w:w="0" w:type="dxa"/>
              <w:bottom w:w="190" w:type="dxa"/>
            </w:tcMar>
          </w:tcPr>
          <w:p w14:paraId="576A561E" w14:textId="77777777" w:rsidR="00A54846" w:rsidRDefault="008A2731">
            <w:pPr>
              <w:pStyle w:val="AnnexTableCellLeft"/>
              <w:jc w:val="left"/>
            </w:pPr>
            <w:r>
              <w:t xml:space="preserve">Andre tilleggsopplysninger: spesifikasjon av </w:t>
            </w:r>
            <w:r>
              <w:rPr>
                <w:b/>
              </w:rPr>
              <w:t>telleren</w:t>
            </w:r>
            <w:r>
              <w:t xml:space="preserve"> i KPI-en</w:t>
            </w:r>
          </w:p>
        </w:tc>
      </w:tr>
      <w:tr w:rsidR="00A54846" w14:paraId="61A1E3EE" w14:textId="77777777">
        <w:trPr>
          <w:trHeight w:val="240"/>
        </w:trPr>
        <w:tc>
          <w:tcPr>
            <w:tcW w:w="4887" w:type="dxa"/>
            <w:gridSpan w:val="2"/>
            <w:tcMar>
              <w:top w:w="190" w:type="dxa"/>
              <w:left w:w="0" w:type="dxa"/>
              <w:bottom w:w="190" w:type="dxa"/>
            </w:tcMar>
          </w:tcPr>
          <w:p w14:paraId="5145450C" w14:textId="77777777" w:rsidR="00A54846" w:rsidRDefault="008A2731">
            <w:pPr>
              <w:pStyle w:val="AnnexTableCellLeft"/>
              <w:jc w:val="left"/>
            </w:pPr>
            <w:r>
              <w:t xml:space="preserve">Andelen </w:t>
            </w:r>
            <w:r>
              <w:rPr>
                <w:b/>
              </w:rPr>
              <w:t>taksonomiforenlige eksponeringer mot finansielle og ikke-finansielle foretak som er omfattet av artikkel 19a og 29a i direktiv 2013/34/EU</w:t>
            </w:r>
            <w:r>
              <w:t>, i forhold til de samlede eiendelene som dekkes av KPI-en:</w:t>
            </w:r>
          </w:p>
          <w:p w14:paraId="6976C090" w14:textId="77777777" w:rsidR="00A54846" w:rsidRDefault="008A2731">
            <w:pPr>
              <w:pStyle w:val="AnnexTableCellLeft"/>
              <w:jc w:val="left"/>
            </w:pPr>
            <w:r>
              <w:t>For ikke-finansielle foretak:</w:t>
            </w:r>
          </w:p>
          <w:p w14:paraId="0BC64109" w14:textId="77777777" w:rsidR="00A54846" w:rsidRDefault="008A2731">
            <w:pPr>
              <w:pStyle w:val="AnnexTableCellLeft"/>
              <w:jc w:val="left"/>
            </w:pPr>
            <w:r>
              <w:t>Basert på omsetning: %</w:t>
            </w:r>
          </w:p>
          <w:p w14:paraId="4FB9BF40" w14:textId="77777777" w:rsidR="00A54846" w:rsidRDefault="008A2731">
            <w:pPr>
              <w:pStyle w:val="AnnexTableCellLeft"/>
              <w:jc w:val="left"/>
            </w:pPr>
            <w:r>
              <w:t>Basert på investeringsutgifter: %</w:t>
            </w:r>
          </w:p>
          <w:p w14:paraId="23EAD0F2" w14:textId="77777777" w:rsidR="00A54846" w:rsidRDefault="008A2731">
            <w:pPr>
              <w:pStyle w:val="AnnexTableCellLeft"/>
              <w:jc w:val="left"/>
            </w:pPr>
            <w:r>
              <w:t>For finansielle foretak:</w:t>
            </w:r>
          </w:p>
          <w:p w14:paraId="025E8D77" w14:textId="77777777" w:rsidR="00A54846" w:rsidRDefault="008A2731">
            <w:pPr>
              <w:pStyle w:val="AnnexTableCellLeft"/>
              <w:jc w:val="left"/>
            </w:pPr>
            <w:r>
              <w:t>Basert på omsetning: %</w:t>
            </w:r>
          </w:p>
          <w:p w14:paraId="0065AE87" w14:textId="77777777" w:rsidR="00A54846" w:rsidRDefault="008A2731">
            <w:pPr>
              <w:pStyle w:val="AnnexTableCellLeft"/>
              <w:jc w:val="left"/>
            </w:pPr>
            <w:r>
              <w:t>Basert på investeringsutgifter: %</w:t>
            </w:r>
          </w:p>
        </w:tc>
        <w:tc>
          <w:tcPr>
            <w:tcW w:w="4353" w:type="dxa"/>
            <w:tcMar>
              <w:top w:w="190" w:type="dxa"/>
              <w:bottom w:w="190" w:type="dxa"/>
            </w:tcMar>
          </w:tcPr>
          <w:p w14:paraId="57E52F89" w14:textId="77777777" w:rsidR="00A54846" w:rsidRDefault="008A2731">
            <w:pPr>
              <w:pStyle w:val="AnnexTableCellLeft"/>
              <w:jc w:val="left"/>
            </w:pPr>
            <w:r>
              <w:t xml:space="preserve">Verdien av </w:t>
            </w:r>
            <w:r>
              <w:rPr>
                <w:b/>
              </w:rPr>
              <w:t>taksonomiforenlige eksponeringer mot finansielle og ikke-finansielle foretak som er omfattet av artikkel 19a og 29a i direktiv 2013/34/EU</w:t>
            </w:r>
            <w:r>
              <w:t>:</w:t>
            </w:r>
          </w:p>
          <w:p w14:paraId="0E5D77FA" w14:textId="77777777" w:rsidR="00A54846" w:rsidRDefault="008A2731">
            <w:pPr>
              <w:pStyle w:val="AnnexTableCellLeft"/>
              <w:jc w:val="left"/>
            </w:pPr>
            <w:r>
              <w:t>For ikke-finansielle foretak:</w:t>
            </w:r>
          </w:p>
          <w:p w14:paraId="32D079E7" w14:textId="77777777" w:rsidR="00A54846" w:rsidRDefault="008A2731">
            <w:pPr>
              <w:pStyle w:val="AnnexTableCellLeft"/>
              <w:jc w:val="left"/>
            </w:pPr>
            <w:r>
              <w:t>Basert på omsetning: [pengebeløp]</w:t>
            </w:r>
          </w:p>
          <w:p w14:paraId="02E162B8" w14:textId="77777777" w:rsidR="00A54846" w:rsidRDefault="008A2731">
            <w:pPr>
              <w:pStyle w:val="AnnexTableCellLeft"/>
              <w:jc w:val="left"/>
            </w:pPr>
            <w:r>
              <w:t>Basert på investeringsutgifter: [pengebeløp]</w:t>
            </w:r>
          </w:p>
          <w:p w14:paraId="1B94F17B" w14:textId="77777777" w:rsidR="00A54846" w:rsidRDefault="008A2731">
            <w:pPr>
              <w:pStyle w:val="AnnexTableCellLeft"/>
              <w:jc w:val="left"/>
            </w:pPr>
            <w:r>
              <w:t>For finansielle foretak:</w:t>
            </w:r>
          </w:p>
          <w:p w14:paraId="3C00BDD9" w14:textId="77777777" w:rsidR="00A54846" w:rsidRDefault="008A2731">
            <w:pPr>
              <w:pStyle w:val="AnnexTableCellLeft"/>
              <w:jc w:val="left"/>
            </w:pPr>
            <w:r>
              <w:t>Basert på omsetning: [pengebeløp]</w:t>
            </w:r>
          </w:p>
          <w:p w14:paraId="0380073A" w14:textId="77777777" w:rsidR="00A54846" w:rsidRDefault="008A2731">
            <w:pPr>
              <w:pStyle w:val="AnnexTableCellLeft"/>
              <w:jc w:val="left"/>
            </w:pPr>
            <w:r>
              <w:t>Basert på investeringsutgifter: [pengebeløp]</w:t>
            </w:r>
          </w:p>
        </w:tc>
      </w:tr>
      <w:tr w:rsidR="00A54846" w14:paraId="14A754D0" w14:textId="77777777">
        <w:trPr>
          <w:trHeight w:val="240"/>
        </w:trPr>
        <w:tc>
          <w:tcPr>
            <w:tcW w:w="4887" w:type="dxa"/>
            <w:gridSpan w:val="2"/>
            <w:tcMar>
              <w:top w:w="190" w:type="dxa"/>
              <w:left w:w="0" w:type="dxa"/>
              <w:bottom w:w="190" w:type="dxa"/>
            </w:tcMar>
          </w:tcPr>
          <w:p w14:paraId="1AB21394" w14:textId="77777777" w:rsidR="00A54846" w:rsidRDefault="008A2731">
            <w:pPr>
              <w:pStyle w:val="AnnexTableCellLeft"/>
              <w:jc w:val="left"/>
            </w:pPr>
            <w:r>
              <w:t xml:space="preserve">Andel av forsikrings- eller gjenforsikringsforetakets investeringer utenom investeringer som er knyttet til livsforsikringsavtaler </w:t>
            </w:r>
            <w:r>
              <w:rPr>
                <w:b/>
              </w:rPr>
              <w:t>der investeringsrisikoen bæres av forsikringstakerne</w:t>
            </w:r>
            <w:r>
              <w:t>, som er rettet mot finansiering eller er forbundet med taksonomiforenlige økonomiske aktiviteter:</w:t>
            </w:r>
          </w:p>
          <w:p w14:paraId="3CA5E0BE" w14:textId="77777777" w:rsidR="00A54846" w:rsidRDefault="008A2731">
            <w:pPr>
              <w:pStyle w:val="AnnexTableCellLeft"/>
              <w:jc w:val="left"/>
            </w:pPr>
            <w:r>
              <w:t>Basert på omsetning: %</w:t>
            </w:r>
          </w:p>
          <w:p w14:paraId="42ABB9E8" w14:textId="77777777" w:rsidR="00A54846" w:rsidRDefault="008A2731">
            <w:pPr>
              <w:pStyle w:val="AnnexTableCellLeft"/>
              <w:jc w:val="left"/>
            </w:pPr>
            <w:r>
              <w:t>Basert på investeringsutgifter: %</w:t>
            </w:r>
          </w:p>
        </w:tc>
        <w:tc>
          <w:tcPr>
            <w:tcW w:w="4353" w:type="dxa"/>
            <w:tcMar>
              <w:top w:w="190" w:type="dxa"/>
              <w:bottom w:w="190" w:type="dxa"/>
            </w:tcMar>
          </w:tcPr>
          <w:p w14:paraId="5107CDCD" w14:textId="77777777" w:rsidR="00A54846" w:rsidRDefault="008A2731">
            <w:pPr>
              <w:pStyle w:val="AnnexTableCellLeft"/>
              <w:jc w:val="left"/>
            </w:pPr>
            <w:r>
              <w:t xml:space="preserve">Verdien av forsikrings- eller gjenforsikringsforetakets investeringer utenom investeringer som er knyttet til livsforsikringsavtaler </w:t>
            </w:r>
            <w:r>
              <w:rPr>
                <w:b/>
              </w:rPr>
              <w:t>der investeringsrisikoen bæres av forsikringstakerne</w:t>
            </w:r>
            <w:r>
              <w:t>, som er rettet mot finansiering eller er forbundet med taksonomiforenlige økonomiske aktiviteter:</w:t>
            </w:r>
          </w:p>
          <w:p w14:paraId="336F071E" w14:textId="77777777" w:rsidR="00A54846" w:rsidRDefault="008A2731">
            <w:pPr>
              <w:pStyle w:val="AnnexTableCellLeft"/>
              <w:jc w:val="left"/>
            </w:pPr>
            <w:r>
              <w:t>Basert på omsetning: [pengebeløp]</w:t>
            </w:r>
          </w:p>
          <w:p w14:paraId="4570D4FA" w14:textId="77777777" w:rsidR="00A54846" w:rsidRDefault="008A2731">
            <w:pPr>
              <w:pStyle w:val="AnnexTableCellLeft"/>
              <w:jc w:val="left"/>
            </w:pPr>
            <w:r>
              <w:t>Basert på investeringsutgifter: [pengebeløp]</w:t>
            </w:r>
          </w:p>
        </w:tc>
      </w:tr>
      <w:tr w:rsidR="00A54846" w14:paraId="310A777C" w14:textId="77777777">
        <w:trPr>
          <w:trHeight w:val="240"/>
        </w:trPr>
        <w:tc>
          <w:tcPr>
            <w:tcW w:w="4887" w:type="dxa"/>
            <w:gridSpan w:val="2"/>
            <w:tcMar>
              <w:top w:w="190" w:type="dxa"/>
              <w:left w:w="0" w:type="dxa"/>
              <w:bottom w:w="190" w:type="dxa"/>
            </w:tcMar>
          </w:tcPr>
          <w:p w14:paraId="726D68CE" w14:textId="77777777" w:rsidR="00A54846" w:rsidRDefault="008A2731">
            <w:pPr>
              <w:pStyle w:val="AnnexTableCellLeft"/>
              <w:jc w:val="left"/>
            </w:pPr>
            <w:r>
              <w:t xml:space="preserve">Andelen </w:t>
            </w:r>
            <w:r>
              <w:rPr>
                <w:b/>
              </w:rPr>
              <w:t>taksonomiforenlige eksponeringer mot andre motparter</w:t>
            </w:r>
            <w:r>
              <w:t xml:space="preserve"> i forhold til de samlede eiendelene som dekkes av KPI-en:</w:t>
            </w:r>
          </w:p>
          <w:p w14:paraId="6A5A9E58" w14:textId="77777777" w:rsidR="00A54846" w:rsidRDefault="008A2731">
            <w:pPr>
              <w:pStyle w:val="AnnexTableCellLeft"/>
              <w:jc w:val="left"/>
            </w:pPr>
            <w:r>
              <w:t>Basert på omsetning: %</w:t>
            </w:r>
          </w:p>
          <w:p w14:paraId="31798B62" w14:textId="77777777" w:rsidR="00A54846" w:rsidRDefault="008A2731">
            <w:pPr>
              <w:pStyle w:val="AnnexTableCellLeft"/>
              <w:jc w:val="left"/>
            </w:pPr>
            <w:r>
              <w:t>Basert på investeringsutgifter: %</w:t>
            </w:r>
          </w:p>
        </w:tc>
        <w:tc>
          <w:tcPr>
            <w:tcW w:w="4353" w:type="dxa"/>
            <w:tcMar>
              <w:top w:w="190" w:type="dxa"/>
              <w:bottom w:w="190" w:type="dxa"/>
            </w:tcMar>
          </w:tcPr>
          <w:p w14:paraId="1EE4FA48" w14:textId="77777777" w:rsidR="00A54846" w:rsidRDefault="008A2731">
            <w:pPr>
              <w:pStyle w:val="AnnexTableCellLeft"/>
              <w:jc w:val="left"/>
            </w:pPr>
            <w:r>
              <w:t xml:space="preserve">Verdien av </w:t>
            </w:r>
            <w:r>
              <w:rPr>
                <w:b/>
              </w:rPr>
              <w:t>taksonomiforenlige eksponeringer mot andre motparter</w:t>
            </w:r>
            <w:r>
              <w:t xml:space="preserve"> i forhold til de samlede eiendelene som dekkes av KPI-en:</w:t>
            </w:r>
          </w:p>
          <w:p w14:paraId="5162612A" w14:textId="77777777" w:rsidR="00A54846" w:rsidRDefault="008A2731">
            <w:pPr>
              <w:pStyle w:val="AnnexTableCellLeft"/>
              <w:jc w:val="left"/>
            </w:pPr>
            <w:r>
              <w:t>Basert på omsetning: [pengebeløp]</w:t>
            </w:r>
          </w:p>
          <w:p w14:paraId="46366D43" w14:textId="77777777" w:rsidR="00A54846" w:rsidRDefault="008A2731">
            <w:pPr>
              <w:pStyle w:val="AnnexTableCellLeft"/>
              <w:jc w:val="left"/>
            </w:pPr>
            <w:r>
              <w:t>Basert på investeringsutgifter: [pengebeløp]</w:t>
            </w:r>
          </w:p>
        </w:tc>
      </w:tr>
      <w:tr w:rsidR="00A54846" w14:paraId="23E65C4D" w14:textId="77777777">
        <w:trPr>
          <w:trHeight w:val="240"/>
        </w:trPr>
        <w:tc>
          <w:tcPr>
            <w:tcW w:w="9240" w:type="dxa"/>
            <w:gridSpan w:val="3"/>
            <w:shd w:val="clear" w:color="auto" w:fill="F2EDE5"/>
            <w:tcMar>
              <w:top w:w="190" w:type="dxa"/>
              <w:left w:w="0" w:type="dxa"/>
              <w:bottom w:w="190" w:type="dxa"/>
            </w:tcMar>
          </w:tcPr>
          <w:p w14:paraId="7996A935" w14:textId="77777777" w:rsidR="00A54846" w:rsidRDefault="008A2731">
            <w:pPr>
              <w:pStyle w:val="AnnexTableCellLeft"/>
              <w:jc w:val="left"/>
            </w:pPr>
            <w:r>
              <w:rPr>
                <w:b/>
              </w:rPr>
              <w:t>Spesifikasjon av telleren i KPI-en etter miljømål</w:t>
            </w:r>
          </w:p>
        </w:tc>
      </w:tr>
      <w:tr w:rsidR="00A54846" w14:paraId="7744F314" w14:textId="77777777">
        <w:trPr>
          <w:trHeight w:val="240"/>
        </w:trPr>
        <w:tc>
          <w:tcPr>
            <w:tcW w:w="9240" w:type="dxa"/>
            <w:gridSpan w:val="3"/>
            <w:shd w:val="clear" w:color="auto" w:fill="F2EDE5"/>
            <w:tcMar>
              <w:top w:w="190" w:type="dxa"/>
              <w:left w:w="0" w:type="dxa"/>
              <w:bottom w:w="190" w:type="dxa"/>
            </w:tcMar>
          </w:tcPr>
          <w:p w14:paraId="576FCE2A" w14:textId="77777777" w:rsidR="00A54846" w:rsidRDefault="008A2731">
            <w:pPr>
              <w:pStyle w:val="AnnexTableCellLeft"/>
              <w:jc w:val="left"/>
            </w:pPr>
            <w:r>
              <w:rPr>
                <w:b/>
              </w:rPr>
              <w:t xml:space="preserve">Taksonomiforenlige aktiviteter </w:t>
            </w:r>
            <w:r>
              <w:t>– forutsatt at aktivitetene vurderes til ikke å være til betydelig skade (DNSH), og de sosiale garantiene vurderes som positive:</w:t>
            </w:r>
          </w:p>
        </w:tc>
      </w:tr>
      <w:tr w:rsidR="00A54846" w14:paraId="52856487" w14:textId="77777777">
        <w:trPr>
          <w:trHeight w:val="360"/>
        </w:trPr>
        <w:tc>
          <w:tcPr>
            <w:tcW w:w="3024" w:type="dxa"/>
            <w:tcMar>
              <w:top w:w="190" w:type="dxa"/>
              <w:left w:w="0" w:type="dxa"/>
              <w:bottom w:w="190" w:type="dxa"/>
            </w:tcMar>
          </w:tcPr>
          <w:p w14:paraId="2B2E2D98" w14:textId="77777777" w:rsidR="00A54846" w:rsidRDefault="008A2731">
            <w:pPr>
              <w:pStyle w:val="AnnexNumberedText"/>
              <w:ind w:left="693" w:hanging="293"/>
              <w:jc w:val="left"/>
            </w:pPr>
            <w:r>
              <w:t>1)</w:t>
            </w:r>
            <w:r>
              <w:tab/>
              <w:t>Begrensning av klimaendringer</w:t>
            </w:r>
          </w:p>
        </w:tc>
        <w:tc>
          <w:tcPr>
            <w:tcW w:w="1863" w:type="dxa"/>
            <w:tcMar>
              <w:top w:w="190" w:type="dxa"/>
              <w:left w:w="40" w:type="dxa"/>
              <w:bottom w:w="190" w:type="dxa"/>
            </w:tcMar>
          </w:tcPr>
          <w:p w14:paraId="2597E647" w14:textId="77777777" w:rsidR="00A54846" w:rsidRDefault="008A2731">
            <w:pPr>
              <w:pStyle w:val="AnnexTableCellLeft"/>
              <w:jc w:val="left"/>
            </w:pPr>
            <w:r>
              <w:t>Omsetning: %</w:t>
            </w:r>
          </w:p>
          <w:p w14:paraId="4F6A0543" w14:textId="77777777" w:rsidR="00A54846" w:rsidRDefault="008A2731">
            <w:pPr>
              <w:pStyle w:val="AnnexTableCellLeft"/>
              <w:jc w:val="left"/>
            </w:pPr>
            <w:r>
              <w:t>Investeringsutgifter: %</w:t>
            </w:r>
          </w:p>
        </w:tc>
        <w:tc>
          <w:tcPr>
            <w:tcW w:w="4353" w:type="dxa"/>
            <w:tcMar>
              <w:top w:w="190" w:type="dxa"/>
              <w:bottom w:w="190" w:type="dxa"/>
            </w:tcMar>
          </w:tcPr>
          <w:p w14:paraId="3158C284" w14:textId="77777777" w:rsidR="00A54846" w:rsidRDefault="008A2731">
            <w:pPr>
              <w:pStyle w:val="AnnexTableCellLeft"/>
              <w:jc w:val="left"/>
            </w:pPr>
            <w:r>
              <w:t>Omstillingsaktiviteter: A % (omsetning, investeringsutgifter)</w:t>
            </w:r>
          </w:p>
          <w:p w14:paraId="352B205D" w14:textId="77777777" w:rsidR="00A54846" w:rsidRDefault="008A2731">
            <w:pPr>
              <w:pStyle w:val="AnnexTableCellLeft"/>
              <w:jc w:val="left"/>
            </w:pPr>
            <w:r>
              <w:lastRenderedPageBreak/>
              <w:t>Muliggjørende aktiviteter: B % (omsetning, investeringsutgifter)</w:t>
            </w:r>
          </w:p>
        </w:tc>
      </w:tr>
      <w:tr w:rsidR="00A54846" w14:paraId="4F494E84" w14:textId="77777777">
        <w:trPr>
          <w:trHeight w:val="360"/>
        </w:trPr>
        <w:tc>
          <w:tcPr>
            <w:tcW w:w="3024" w:type="dxa"/>
            <w:tcMar>
              <w:top w:w="190" w:type="dxa"/>
              <w:left w:w="0" w:type="dxa"/>
              <w:bottom w:w="190" w:type="dxa"/>
            </w:tcMar>
          </w:tcPr>
          <w:p w14:paraId="626E7997" w14:textId="77777777" w:rsidR="00A54846" w:rsidRDefault="008A2731">
            <w:pPr>
              <w:pStyle w:val="AnnexNumberedText"/>
              <w:ind w:left="693" w:hanging="293"/>
              <w:jc w:val="left"/>
            </w:pPr>
            <w:r>
              <w:lastRenderedPageBreak/>
              <w:t>2)</w:t>
            </w:r>
            <w:r>
              <w:tab/>
              <w:t>Tilpasning til klimaendringer</w:t>
            </w:r>
          </w:p>
        </w:tc>
        <w:tc>
          <w:tcPr>
            <w:tcW w:w="1863" w:type="dxa"/>
            <w:tcMar>
              <w:top w:w="190" w:type="dxa"/>
              <w:left w:w="40" w:type="dxa"/>
              <w:bottom w:w="190" w:type="dxa"/>
            </w:tcMar>
          </w:tcPr>
          <w:p w14:paraId="433B7AEF" w14:textId="77777777" w:rsidR="00A54846" w:rsidRDefault="008A2731">
            <w:pPr>
              <w:pStyle w:val="AnnexTableCellLeft"/>
              <w:jc w:val="left"/>
            </w:pPr>
            <w:r>
              <w:t>Omsetning: %</w:t>
            </w:r>
          </w:p>
          <w:p w14:paraId="5BE7FDF0" w14:textId="77777777" w:rsidR="00A54846" w:rsidRDefault="008A2731">
            <w:pPr>
              <w:pStyle w:val="AnnexTableCellLeft"/>
              <w:jc w:val="left"/>
            </w:pPr>
            <w:r>
              <w:t>Investeringsutgifter: %</w:t>
            </w:r>
          </w:p>
        </w:tc>
        <w:tc>
          <w:tcPr>
            <w:tcW w:w="4353" w:type="dxa"/>
            <w:tcMar>
              <w:top w:w="190" w:type="dxa"/>
              <w:bottom w:w="190" w:type="dxa"/>
            </w:tcMar>
          </w:tcPr>
          <w:p w14:paraId="6E05B53B" w14:textId="77777777" w:rsidR="00A54846" w:rsidRDefault="008A2731">
            <w:pPr>
              <w:pStyle w:val="AnnexTableCellLeft"/>
              <w:jc w:val="left"/>
            </w:pPr>
            <w:r>
              <w:t>Omstillingsaktiviteter: A % (omsetning, investeringsutgifter)</w:t>
            </w:r>
          </w:p>
          <w:p w14:paraId="6C06787D" w14:textId="77777777" w:rsidR="00A54846" w:rsidRDefault="008A2731">
            <w:pPr>
              <w:pStyle w:val="AnnexTableCellLeft"/>
              <w:jc w:val="left"/>
            </w:pPr>
            <w:r>
              <w:t>Muliggjørende aktiviteter: B % (omsetning, investeringsutgifter)</w:t>
            </w:r>
          </w:p>
        </w:tc>
      </w:tr>
      <w:tr w:rsidR="00A54846" w14:paraId="2160095A" w14:textId="77777777">
        <w:trPr>
          <w:trHeight w:val="360"/>
        </w:trPr>
        <w:tc>
          <w:tcPr>
            <w:tcW w:w="3024" w:type="dxa"/>
            <w:tcMar>
              <w:top w:w="60" w:type="dxa"/>
              <w:left w:w="0" w:type="dxa"/>
              <w:bottom w:w="60" w:type="dxa"/>
            </w:tcMar>
          </w:tcPr>
          <w:p w14:paraId="4A560893" w14:textId="77777777" w:rsidR="00A54846" w:rsidRDefault="008A2731">
            <w:pPr>
              <w:pStyle w:val="AnnexNumberedText"/>
              <w:pageBreakBefore/>
              <w:spacing w:after="0"/>
              <w:ind w:left="693" w:hanging="293"/>
              <w:jc w:val="left"/>
            </w:pPr>
            <w:r>
              <w:lastRenderedPageBreak/>
              <w:t>3)</w:t>
            </w:r>
            <w:r>
              <w:tab/>
              <w:t>Bærekraftig bruk og beskyttelse av vann- og havressurser</w:t>
            </w:r>
          </w:p>
        </w:tc>
        <w:tc>
          <w:tcPr>
            <w:tcW w:w="1863" w:type="dxa"/>
            <w:tcMar>
              <w:top w:w="60" w:type="dxa"/>
              <w:left w:w="40" w:type="dxa"/>
              <w:bottom w:w="60" w:type="dxa"/>
            </w:tcMar>
          </w:tcPr>
          <w:p w14:paraId="6193DB72" w14:textId="77777777" w:rsidR="00A54846" w:rsidRDefault="008A2731">
            <w:pPr>
              <w:pStyle w:val="AnnexTableCellLeft"/>
              <w:pageBreakBefore/>
              <w:jc w:val="left"/>
            </w:pPr>
            <w:r>
              <w:t>Omsetning: %</w:t>
            </w:r>
          </w:p>
          <w:p w14:paraId="0056A1C6" w14:textId="77777777" w:rsidR="00A54846" w:rsidRDefault="008A2731">
            <w:pPr>
              <w:pStyle w:val="AnnexTableCellLeft"/>
              <w:pageBreakBefore/>
              <w:jc w:val="left"/>
            </w:pPr>
            <w:r>
              <w:t>Investeringsutgifter: %</w:t>
            </w:r>
          </w:p>
        </w:tc>
        <w:tc>
          <w:tcPr>
            <w:tcW w:w="4353" w:type="dxa"/>
            <w:tcMar>
              <w:top w:w="60" w:type="dxa"/>
              <w:bottom w:w="60" w:type="dxa"/>
            </w:tcMar>
          </w:tcPr>
          <w:p w14:paraId="1688D7FD" w14:textId="77777777" w:rsidR="00A54846" w:rsidRDefault="008A2731">
            <w:pPr>
              <w:pStyle w:val="AnnexTableCellLeft"/>
              <w:pageBreakBefore/>
              <w:jc w:val="left"/>
            </w:pPr>
            <w:r>
              <w:t>Omstillingsaktiviteter: A % (omsetning, investeringsutgifter)</w:t>
            </w:r>
          </w:p>
          <w:p w14:paraId="1AD2BB16" w14:textId="77777777" w:rsidR="00A54846" w:rsidRDefault="008A2731">
            <w:pPr>
              <w:pStyle w:val="AnnexTableCellLeft"/>
              <w:pageBreakBefore/>
              <w:jc w:val="left"/>
            </w:pPr>
            <w:r>
              <w:t>Muliggjørende aktiviteter: B % (omsetning, investeringsutgifter)</w:t>
            </w:r>
          </w:p>
        </w:tc>
      </w:tr>
      <w:tr w:rsidR="00A54846" w14:paraId="3504FA62" w14:textId="77777777">
        <w:trPr>
          <w:trHeight w:val="360"/>
        </w:trPr>
        <w:tc>
          <w:tcPr>
            <w:tcW w:w="3024" w:type="dxa"/>
            <w:tcMar>
              <w:top w:w="60" w:type="dxa"/>
              <w:left w:w="0" w:type="dxa"/>
              <w:bottom w:w="60" w:type="dxa"/>
            </w:tcMar>
          </w:tcPr>
          <w:p w14:paraId="7C537CE3" w14:textId="77777777" w:rsidR="00A54846" w:rsidRDefault="008A2731">
            <w:pPr>
              <w:pStyle w:val="AnnexNumberedText"/>
              <w:spacing w:after="0"/>
              <w:ind w:left="693" w:hanging="293"/>
              <w:jc w:val="left"/>
            </w:pPr>
            <w:r>
              <w:t>4)</w:t>
            </w:r>
            <w:r>
              <w:tab/>
              <w:t>Omstilling til en sirkulær økonomi</w:t>
            </w:r>
          </w:p>
        </w:tc>
        <w:tc>
          <w:tcPr>
            <w:tcW w:w="1863" w:type="dxa"/>
            <w:tcMar>
              <w:top w:w="60" w:type="dxa"/>
              <w:left w:w="40" w:type="dxa"/>
              <w:bottom w:w="60" w:type="dxa"/>
            </w:tcMar>
          </w:tcPr>
          <w:p w14:paraId="29EAFD56" w14:textId="77777777" w:rsidR="00A54846" w:rsidRDefault="008A2731">
            <w:pPr>
              <w:pStyle w:val="AnnexTableCellLeft"/>
              <w:jc w:val="left"/>
            </w:pPr>
            <w:r>
              <w:t>Omsetning: %</w:t>
            </w:r>
          </w:p>
          <w:p w14:paraId="3705A33C" w14:textId="77777777" w:rsidR="00A54846" w:rsidRDefault="008A2731">
            <w:pPr>
              <w:pStyle w:val="AnnexTableCellLeft"/>
              <w:jc w:val="left"/>
            </w:pPr>
            <w:r>
              <w:t>Investeringsutgifter: %</w:t>
            </w:r>
          </w:p>
        </w:tc>
        <w:tc>
          <w:tcPr>
            <w:tcW w:w="4353" w:type="dxa"/>
            <w:tcMar>
              <w:top w:w="60" w:type="dxa"/>
              <w:bottom w:w="60" w:type="dxa"/>
            </w:tcMar>
          </w:tcPr>
          <w:p w14:paraId="6E540A36" w14:textId="77777777" w:rsidR="00A54846" w:rsidRDefault="008A2731">
            <w:pPr>
              <w:pStyle w:val="AnnexTableCellLeft"/>
              <w:jc w:val="left"/>
            </w:pPr>
            <w:r>
              <w:t>Omstillingsaktiviteter: A % (omsetning, investeringsutgifter)</w:t>
            </w:r>
          </w:p>
          <w:p w14:paraId="2918BC85" w14:textId="77777777" w:rsidR="00A54846" w:rsidRDefault="008A2731">
            <w:pPr>
              <w:pStyle w:val="AnnexTableCellLeft"/>
              <w:jc w:val="left"/>
            </w:pPr>
            <w:r>
              <w:t>Muliggjørende aktiviteter: B % (omsetning, investeringsutgifter)</w:t>
            </w:r>
          </w:p>
        </w:tc>
      </w:tr>
      <w:tr w:rsidR="00A54846" w14:paraId="6E984B04" w14:textId="77777777">
        <w:trPr>
          <w:trHeight w:val="360"/>
        </w:trPr>
        <w:tc>
          <w:tcPr>
            <w:tcW w:w="3024" w:type="dxa"/>
            <w:tcMar>
              <w:top w:w="60" w:type="dxa"/>
              <w:left w:w="0" w:type="dxa"/>
              <w:bottom w:w="60" w:type="dxa"/>
            </w:tcMar>
          </w:tcPr>
          <w:p w14:paraId="1B0640B2" w14:textId="77777777" w:rsidR="00A54846" w:rsidRDefault="008A2731">
            <w:pPr>
              <w:pStyle w:val="AnnexNumberedText"/>
              <w:spacing w:after="0"/>
              <w:ind w:left="693" w:hanging="293"/>
              <w:jc w:val="left"/>
            </w:pPr>
            <w:r>
              <w:t>5)</w:t>
            </w:r>
            <w:r>
              <w:tab/>
              <w:t>Forebygging og begrensning av forurensning</w:t>
            </w:r>
          </w:p>
        </w:tc>
        <w:tc>
          <w:tcPr>
            <w:tcW w:w="1863" w:type="dxa"/>
            <w:tcMar>
              <w:top w:w="60" w:type="dxa"/>
              <w:left w:w="40" w:type="dxa"/>
              <w:bottom w:w="60" w:type="dxa"/>
            </w:tcMar>
          </w:tcPr>
          <w:p w14:paraId="59EC9DE4" w14:textId="77777777" w:rsidR="00A54846" w:rsidRDefault="008A2731">
            <w:pPr>
              <w:pStyle w:val="AnnexTableCellLeft"/>
              <w:jc w:val="left"/>
            </w:pPr>
            <w:r>
              <w:t>Omsetning: %</w:t>
            </w:r>
          </w:p>
          <w:p w14:paraId="65721AA1" w14:textId="77777777" w:rsidR="00A54846" w:rsidRDefault="008A2731">
            <w:pPr>
              <w:pStyle w:val="AnnexTableCellLeft"/>
              <w:jc w:val="left"/>
            </w:pPr>
            <w:r>
              <w:t>Investeringsutgifter: %</w:t>
            </w:r>
          </w:p>
        </w:tc>
        <w:tc>
          <w:tcPr>
            <w:tcW w:w="4353" w:type="dxa"/>
            <w:tcMar>
              <w:top w:w="60" w:type="dxa"/>
              <w:bottom w:w="60" w:type="dxa"/>
            </w:tcMar>
          </w:tcPr>
          <w:p w14:paraId="6574746B" w14:textId="77777777" w:rsidR="00A54846" w:rsidRDefault="008A2731">
            <w:pPr>
              <w:pStyle w:val="AnnexTableCellLeft"/>
              <w:jc w:val="left"/>
            </w:pPr>
            <w:r>
              <w:t>Omstillingsaktiviteter: A % (omsetning, investeringsutgifter)</w:t>
            </w:r>
          </w:p>
          <w:p w14:paraId="3FA31638" w14:textId="77777777" w:rsidR="00A54846" w:rsidRDefault="008A2731">
            <w:pPr>
              <w:pStyle w:val="AnnexTableCellLeft"/>
              <w:jc w:val="left"/>
            </w:pPr>
            <w:r>
              <w:t>Muliggjørende aktiviteter: B % (omsetning, investeringsutgifter)</w:t>
            </w:r>
          </w:p>
        </w:tc>
      </w:tr>
      <w:tr w:rsidR="00A54846" w14:paraId="140EB76C" w14:textId="77777777">
        <w:trPr>
          <w:trHeight w:val="360"/>
        </w:trPr>
        <w:tc>
          <w:tcPr>
            <w:tcW w:w="3024" w:type="dxa"/>
            <w:tcMar>
              <w:top w:w="60" w:type="dxa"/>
              <w:left w:w="0" w:type="dxa"/>
              <w:bottom w:w="60" w:type="dxa"/>
            </w:tcMar>
          </w:tcPr>
          <w:p w14:paraId="6382CF23" w14:textId="77777777" w:rsidR="00A54846" w:rsidRDefault="008A2731">
            <w:pPr>
              <w:pStyle w:val="AnnexNumberedText"/>
              <w:spacing w:after="0"/>
              <w:ind w:left="693" w:hanging="293"/>
              <w:jc w:val="left"/>
            </w:pPr>
            <w:r>
              <w:t>6)</w:t>
            </w:r>
            <w:r>
              <w:tab/>
              <w:t>Beskyttelse og restaurering av biologisk mangfold og økosystemer</w:t>
            </w:r>
          </w:p>
        </w:tc>
        <w:tc>
          <w:tcPr>
            <w:tcW w:w="1863" w:type="dxa"/>
            <w:tcMar>
              <w:top w:w="60" w:type="dxa"/>
              <w:left w:w="40" w:type="dxa"/>
              <w:bottom w:w="60" w:type="dxa"/>
            </w:tcMar>
          </w:tcPr>
          <w:p w14:paraId="2C516721" w14:textId="77777777" w:rsidR="00A54846" w:rsidRDefault="008A2731">
            <w:pPr>
              <w:pStyle w:val="AnnexTableCellLeft"/>
              <w:jc w:val="left"/>
            </w:pPr>
            <w:r>
              <w:t>Omsetning: %</w:t>
            </w:r>
          </w:p>
          <w:p w14:paraId="49EE28AA" w14:textId="77777777" w:rsidR="00A54846" w:rsidRDefault="008A2731">
            <w:pPr>
              <w:pStyle w:val="AnnexTableCellLeft"/>
              <w:jc w:val="left"/>
            </w:pPr>
            <w:r>
              <w:t>Investeringsutgifter: %</w:t>
            </w:r>
          </w:p>
        </w:tc>
        <w:tc>
          <w:tcPr>
            <w:tcW w:w="4353" w:type="dxa"/>
            <w:tcMar>
              <w:top w:w="60" w:type="dxa"/>
              <w:bottom w:w="60" w:type="dxa"/>
            </w:tcMar>
          </w:tcPr>
          <w:p w14:paraId="509AED21" w14:textId="77777777" w:rsidR="00A54846" w:rsidRDefault="008A2731">
            <w:pPr>
              <w:pStyle w:val="AnnexTableCellLeft"/>
              <w:jc w:val="left"/>
            </w:pPr>
            <w:r>
              <w:t>Omstillingsaktiviteter: A % (omsetning, investeringsutgifter)</w:t>
            </w:r>
          </w:p>
          <w:p w14:paraId="6287EFFD" w14:textId="77777777" w:rsidR="00A54846" w:rsidRDefault="008A2731">
            <w:pPr>
              <w:pStyle w:val="AnnexTableCellLeft"/>
              <w:jc w:val="left"/>
            </w:pPr>
            <w:r>
              <w:t>Muliggjørende aktiviteter: B % (omsetning, investeringsutgifter)</w:t>
            </w:r>
          </w:p>
        </w:tc>
      </w:tr>
    </w:tbl>
    <w:p w14:paraId="139F5D0A" w14:textId="77777777" w:rsidR="00A54846" w:rsidRDefault="00A54846">
      <w:pPr>
        <w:pStyle w:val="Para"/>
      </w:pPr>
    </w:p>
    <w:p w14:paraId="63C101F3" w14:textId="77777777" w:rsidR="00A54846" w:rsidRDefault="00A54846">
      <w:pPr>
        <w:pStyle w:val="AnnexNumberedText"/>
        <w:ind w:left="693" w:hanging="293"/>
        <w:jc w:val="left"/>
        <w:sectPr w:rsidR="00A54846">
          <w:pgSz w:w="11906" w:h="16838" w:code="9"/>
          <w:pgMar w:top="1680" w:right="1333" w:bottom="840" w:left="1333" w:header="920" w:footer="280" w:gutter="0"/>
          <w:cols w:space="708"/>
          <w:docGrid w:linePitch="360"/>
        </w:sectPr>
      </w:pPr>
    </w:p>
    <w:p w14:paraId="7E74C5C1" w14:textId="77777777" w:rsidR="00A54846" w:rsidRDefault="008A2731">
      <w:pPr>
        <w:pStyle w:val="AnnexTI"/>
        <w:spacing w:after="360"/>
      </w:pPr>
      <w:r>
        <w:lastRenderedPageBreak/>
        <w:t>VEDLEGG XI</w:t>
      </w:r>
    </w:p>
    <w:p w14:paraId="60D36E54" w14:textId="77777777" w:rsidR="00A54846" w:rsidRDefault="008A2731">
      <w:pPr>
        <w:pStyle w:val="AnnexSTI"/>
        <w:spacing w:after="200" w:line="200" w:lineRule="exact"/>
        <w:rPr>
          <w:sz w:val="16"/>
          <w:szCs w:val="16"/>
        </w:rPr>
      </w:pPr>
      <w:r>
        <w:rPr>
          <w:sz w:val="16"/>
        </w:rPr>
        <w:t>KVALITATIVE OPPLYSNINGER SOM SKAL LEGGES FRAM AV KAPITALFORVALTERE, KREDITTINSTITUSJONER, VERDIPAPIRFORETAK OG FORSIKRINGS- OG GJENFORSIKRINGSFORETAK</w:t>
      </w:r>
    </w:p>
    <w:p w14:paraId="2A3C780A" w14:textId="77777777" w:rsidR="00A54846" w:rsidRDefault="008A2731">
      <w:pPr>
        <w:pStyle w:val="AnnexNormal"/>
        <w:spacing w:after="120"/>
      </w:pPr>
      <w:r>
        <w:t>Opplysningene om kvantitative KPI-er skal ledsages av følgende kvalitative opplysninger, som vil underbygge finansforetakets redegjørelser og bidra til at markedet kan forstå disse KPI-ene:</w:t>
      </w:r>
    </w:p>
    <w:p w14:paraId="6CD5E435" w14:textId="77777777" w:rsidR="00A54846" w:rsidRDefault="008A2731">
      <w:pPr>
        <w:pStyle w:val="AnnexNumberedText"/>
        <w:ind w:left="324" w:hanging="324"/>
      </w:pPr>
      <w:r>
        <w:t>—</w:t>
      </w:r>
      <w:r>
        <w:tab/>
        <w:t>Bakgrunnsopplysninger om de kvantitative indikatorene, herunder hvilke eiendeler og aktiviteter som dekkes av KPI-ene, og opplysninger om datakilder og begrensninger.</w:t>
      </w:r>
    </w:p>
    <w:p w14:paraId="64A0B785" w14:textId="77777777" w:rsidR="00A54846" w:rsidRDefault="008A2731">
      <w:pPr>
        <w:pStyle w:val="AnnexNumberedText"/>
        <w:ind w:left="324" w:hanging="324"/>
      </w:pPr>
      <w:r>
        <w:t>—</w:t>
      </w:r>
      <w:r>
        <w:tab/>
        <w:t>Beskrivelse av typen taksonomiforenlige økonomiske aktiviteter og målene med dem, samt hvordan de taksonomiforenlige økonomiske aktivitetene har utviklet seg over tid, fra og med det første gjennomføringsåret, idet det skilles mellom forretningsrelaterte opplysninger.</w:t>
      </w:r>
    </w:p>
    <w:p w14:paraId="04AD434F" w14:textId="77777777" w:rsidR="00A54846" w:rsidRDefault="008A2731">
      <w:pPr>
        <w:pStyle w:val="AnnexNumberedText"/>
        <w:ind w:left="324" w:hanging="324"/>
      </w:pPr>
      <w:r>
        <w:t>—</w:t>
      </w:r>
      <w:r>
        <w:tab/>
        <w:t>Beskrivelse av hvordan finansforetaket overholder forordning (EU) 2020/852 i sin forretningsstrategi, i sine prosesser for produktutforming og i sitt samarbeid med kunder og motparter.</w:t>
      </w:r>
    </w:p>
    <w:p w14:paraId="05FBE6F3" w14:textId="77777777" w:rsidR="00A54846" w:rsidRDefault="008A2731">
      <w:pPr>
        <w:pStyle w:val="AnnexNumberedText"/>
        <w:ind w:left="324" w:hanging="324"/>
      </w:pPr>
      <w:r>
        <w:t>—</w:t>
      </w:r>
      <w:r>
        <w:tab/>
        <w:t>For kredittinstitusjoner som ikke er pålagt å legge fram kvantitative opplysninger om handelseksponeringer, kvalitative opplysninger om hvordan handelsporteføljene overholder forordning (EU) 2020/852, herunder med hensyn til overordnet sammensetning, tendenser som er observert, mål og politikk.</w:t>
      </w:r>
    </w:p>
    <w:p w14:paraId="2BD7A310" w14:textId="77777777" w:rsidR="00A54846" w:rsidRDefault="008A2731">
      <w:pPr>
        <w:pStyle w:val="AnnexNumberedText"/>
        <w:spacing w:after="400"/>
        <w:ind w:left="324" w:hanging="324"/>
      </w:pPr>
      <w:r>
        <w:t>—</w:t>
      </w:r>
      <w:r>
        <w:tab/>
        <w:t>Ytterligere eller utfyllende opplysninger om finansforetakets strategier og den vekten finansieringen av taksonomiforenlige økonomiske aktiviteter utgjør av deres samlede virksomhet.</w:t>
      </w:r>
    </w:p>
    <w:p w14:paraId="0A976BCA" w14:textId="77777777" w:rsidR="00A54846" w:rsidRDefault="008A2731">
      <w:pPr>
        <w:pStyle w:val="line4"/>
        <w:pBdr>
          <w:bottom w:val="none" w:sz="0" w:space="0" w:color="auto"/>
        </w:pBdr>
        <w:tabs>
          <w:tab w:val="left" w:leader="underscore" w:pos="1020"/>
        </w:tabs>
        <w:ind w:left="0" w:right="0"/>
      </w:pPr>
      <w:r>
        <w:tab/>
      </w:r>
    </w:p>
    <w:sectPr w:rsidR="00A54846">
      <w:pgSz w:w="11906" w:h="16838" w:code="9"/>
      <w:pgMar w:top="1680" w:right="1333" w:bottom="840" w:left="1333" w:header="92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F16C9" w14:textId="77777777" w:rsidR="00533A08" w:rsidRDefault="00533A08">
      <w:pPr>
        <w:spacing w:after="0" w:line="240" w:lineRule="auto"/>
      </w:pPr>
      <w:r>
        <w:separator/>
      </w:r>
    </w:p>
  </w:endnote>
  <w:endnote w:type="continuationSeparator" w:id="0">
    <w:p w14:paraId="5C37D2B3" w14:textId="77777777" w:rsidR="00533A08" w:rsidRDefault="0053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4BA1B" w14:textId="77777777" w:rsidR="008A2731" w:rsidRDefault="008A27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CEF3C" w14:textId="77777777" w:rsidR="008A2731" w:rsidRDefault="008A27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EB69D" w14:textId="77777777" w:rsidR="008A2731" w:rsidRDefault="008A27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80F81" w14:textId="77777777" w:rsidR="00533A08" w:rsidRDefault="00533A08">
      <w:pPr>
        <w:pStyle w:val="FooterRule"/>
        <w:rPr>
          <w:lang w:val="de-DE"/>
        </w:rPr>
      </w:pPr>
      <w:r>
        <w:rPr>
          <w:lang w:val="de-DE"/>
        </w:rPr>
        <w:tab/>
      </w:r>
    </w:p>
  </w:footnote>
  <w:footnote w:type="continuationSeparator" w:id="0">
    <w:p w14:paraId="5DEE1B67" w14:textId="77777777" w:rsidR="00533A08" w:rsidRDefault="00533A08">
      <w:pPr>
        <w:spacing w:after="0" w:line="240" w:lineRule="auto"/>
      </w:pPr>
      <w:r>
        <w:continuationSeparator/>
      </w:r>
    </w:p>
  </w:footnote>
  <w:footnote w:type="continuationNotice" w:id="1">
    <w:p w14:paraId="59BBA39E" w14:textId="77777777" w:rsidR="00533A08" w:rsidRDefault="00533A08">
      <w:pPr>
        <w:spacing w:after="0" w:line="240" w:lineRule="auto"/>
      </w:pPr>
    </w:p>
  </w:footnote>
  <w:footnote w:id="2">
    <w:p w14:paraId="23AEE9E6" w14:textId="77777777" w:rsidR="00A54846" w:rsidRDefault="008A2731">
      <w:pPr>
        <w:pStyle w:val="FootnoteText"/>
      </w:pPr>
      <w:r>
        <w:t>(</w:t>
      </w:r>
      <w:r>
        <w:rPr>
          <w:rStyle w:val="FootnoteReference"/>
        </w:rPr>
        <w:footnoteRef/>
      </w:r>
      <w:r>
        <w:t>)</w:t>
      </w:r>
      <w:r>
        <w:tab/>
        <w:t>Europaparlaments- og rådsforordning (EU) 2019/2088 av 27. november 2019 om bærekraftsrelaterte opplysninger i sektoren for finansielle tjenester (EUT L 317 av 9.12.2019, s. 1).</w:t>
      </w:r>
    </w:p>
  </w:footnote>
  <w:footnote w:id="3">
    <w:p w14:paraId="084FE550" w14:textId="77777777" w:rsidR="00A54846" w:rsidRDefault="008A2731">
      <w:pPr>
        <w:pStyle w:val="FootnoteText"/>
      </w:pPr>
      <w:r>
        <w:t>(</w:t>
      </w:r>
      <w:r>
        <w:rPr>
          <w:rStyle w:val="FootnoteReference"/>
        </w:rPr>
        <w:footnoteRef/>
      </w:r>
      <w:r>
        <w:t>)</w:t>
      </w:r>
      <w:r>
        <w:tab/>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4">
    <w:p w14:paraId="7C1CEFD9" w14:textId="77777777" w:rsidR="00A54846" w:rsidRDefault="008A2731">
      <w:pPr>
        <w:pStyle w:val="FootnoteText"/>
      </w:pPr>
      <w:r>
        <w:t>(</w:t>
      </w:r>
      <w:r>
        <w:rPr>
          <w:rStyle w:val="FootnoteReference"/>
        </w:rPr>
        <w:footnoteRef/>
      </w:r>
      <w:r>
        <w:t>)</w:t>
      </w:r>
      <w:r>
        <w:tab/>
        <w:t>Delegert kommisjonsforordning (EU) 2021/2139 av 4. juni 2021 om utfylling av europaparlaments- og rådsforordning (EU) 2020/852 ved fastsettelse av de tekniske screeningkriteriene for å fastslå vilkårene for at en økonomisk aktivitet skal anses å bidra vesentlig til begrensning av klimaendringer eller tilpasning til klimaendringer, og for å fastslå om det er slik at den økonomiske aktiviteten ikke er til betydelig skade for noen av de andre miljømålene (EUT L 442 av 9.12.2021, s. 1).</w:t>
      </w:r>
    </w:p>
  </w:footnote>
  <w:footnote w:id="5">
    <w:p w14:paraId="7D2A441A" w14:textId="77777777" w:rsidR="00A54846" w:rsidRDefault="008A2731">
      <w:pPr>
        <w:pStyle w:val="FootnoteText"/>
      </w:pPr>
      <w:r>
        <w:t>(</w:t>
      </w:r>
      <w:r>
        <w:rPr>
          <w:rStyle w:val="FootnoteReference"/>
        </w:rPr>
        <w:footnoteRef/>
      </w:r>
      <w:r>
        <w:t>)</w:t>
      </w:r>
      <w:r>
        <w:tab/>
        <w:t>Europaparlaments- og rådsdirektiv 2011/61/EU av 8. juni 2011 om forvaltere av alternative investeringsfond og om endring av direktiv 2003/41/EF og 2009/65/EF og forordning (EF) nr. 1060/2009 og (EU) nr. 1095/2010 (EUT L 174 av 1.7.2011, s. 1).</w:t>
      </w:r>
    </w:p>
  </w:footnote>
  <w:footnote w:id="6">
    <w:p w14:paraId="5983856A" w14:textId="77777777" w:rsidR="00A54846" w:rsidRDefault="008A2731">
      <w:pPr>
        <w:pStyle w:val="FootnoteText"/>
      </w:pPr>
      <w:r>
        <w:t>(</w:t>
      </w:r>
      <w:r>
        <w:rPr>
          <w:rStyle w:val="FootnoteReference"/>
        </w:rPr>
        <w:footnoteRef/>
      </w:r>
      <w:r>
        <w:t>)</w:t>
      </w:r>
      <w:r>
        <w:tab/>
        <w:t>Europaparlaments- og rådsdirektiv 2009/65/EF av 13. juli 2009 om samordning av lover og forskrifter om foretak for kollektiv investering i omsettelige verdipapirer (UCITS) (EUT L 302 av 17.11.2009, s. 32).</w:t>
      </w:r>
    </w:p>
  </w:footnote>
  <w:footnote w:id="7">
    <w:p w14:paraId="25A229F9" w14:textId="77777777" w:rsidR="00A54846" w:rsidRDefault="008A2731">
      <w:pPr>
        <w:pStyle w:val="FootnoteText"/>
      </w:pPr>
      <w:r>
        <w:t>(</w:t>
      </w:r>
      <w:r>
        <w:rPr>
          <w:rStyle w:val="FootnoteReference"/>
        </w:rPr>
        <w:footnoteRef/>
      </w:r>
      <w:r>
        <w:t>)</w:t>
      </w:r>
      <w:r>
        <w:tab/>
        <w:t>Europaparlaments- og rådsforordning (EU) nr. 575/2013 av 26. juni 2013 om tilsynskrav for kredittinstitusjoner og verdipapirforetak og om endring av forordning (EU) nr. 648/2012 (EUT L 176 av 27.6.2013, s. 1).</w:t>
      </w:r>
    </w:p>
  </w:footnote>
  <w:footnote w:id="8">
    <w:p w14:paraId="5930EF9A" w14:textId="77777777" w:rsidR="00A54846" w:rsidRDefault="008A2731">
      <w:pPr>
        <w:pStyle w:val="FootnoteText"/>
      </w:pPr>
      <w:r>
        <w:t>(</w:t>
      </w:r>
      <w:r>
        <w:rPr>
          <w:rStyle w:val="FootnoteReference"/>
        </w:rPr>
        <w:footnoteRef/>
      </w:r>
      <w:r>
        <w:t>)</w:t>
      </w:r>
      <w:r>
        <w:tab/>
        <w:t>Europaparlaments- og rådsdirektiv 2009/138/EF av 25. november 2009 om adgang til å starte og utøve virksomhet innen forsikring og gjenforsikring (Solvens II) (EUT L 335 av 17.12.2009, s. 1).</w:t>
      </w:r>
    </w:p>
  </w:footnote>
  <w:footnote w:id="9">
    <w:p w14:paraId="4564BEFC" w14:textId="77777777" w:rsidR="00A54846" w:rsidRDefault="008A2731">
      <w:pPr>
        <w:pStyle w:val="FootnoteText"/>
      </w:pPr>
      <w:r>
        <w:t>(</w:t>
      </w:r>
      <w:r>
        <w:rPr>
          <w:rStyle w:val="FootnoteReference"/>
        </w:rPr>
        <w:footnoteRef/>
      </w:r>
      <w:r>
        <w:t>)</w:t>
      </w:r>
      <w:r>
        <w:tab/>
        <w:t>Kommisjonsforordning (EF) nr. 1126/2008 av 3. november 2008 om vedtakelse av visse internasjonale regnskapsstandarder i samsvar med europaparlaments- og rådsforordning (EF) nr. 1606/2002 (EUT L 320 av 29.11.2008, s. 1).</w:t>
      </w:r>
    </w:p>
  </w:footnote>
  <w:footnote w:id="10">
    <w:p w14:paraId="44FFB3CC" w14:textId="77777777" w:rsidR="00A54846" w:rsidRDefault="008A2731">
      <w:pPr>
        <w:pStyle w:val="FootnoteText"/>
      </w:pPr>
      <w:r>
        <w:t>(</w:t>
      </w:r>
      <w:r>
        <w:rPr>
          <w:rStyle w:val="FootnoteReference"/>
        </w:rPr>
        <w:footnoteRef/>
      </w:r>
      <w:r>
        <w:t>)</w:t>
      </w:r>
      <w:r>
        <w:tab/>
        <w:t>Europaparlaments- og rådsforordning (EU) nr. 236/2012 av 14. mars 2012 om shortsalg og visse sider ved kredittbytteavtaler (EUT L 86 av 24.3.2012, s. 1).</w:t>
      </w:r>
    </w:p>
  </w:footnote>
  <w:footnote w:id="11">
    <w:p w14:paraId="20A16251" w14:textId="77777777" w:rsidR="00A54846" w:rsidRDefault="008A2731">
      <w:pPr>
        <w:pStyle w:val="FootnoteText"/>
      </w:pPr>
      <w:r>
        <w:t>(</w:t>
      </w:r>
      <w:r>
        <w:rPr>
          <w:rStyle w:val="FootnoteReference"/>
        </w:rPr>
        <w:footnoteRef/>
      </w:r>
      <w:r>
        <w:t>)</w:t>
      </w:r>
      <w:r>
        <w:tab/>
        <w:t>Kommisjonens gjennomføringsforordning (EU) nr. 680/2014 av 16. april 2014 om fastsettelse av tekniske gjennomføringsstandarder for institusjoners tilsynsrapportering i henhold til europaparlaments- og rådsforordning (EU) nr. 575/2013 (EUT L 191 av 28.6.2014, s. 1).</w:t>
      </w:r>
    </w:p>
  </w:footnote>
  <w:footnote w:id="12">
    <w:p w14:paraId="6A4582A8" w14:textId="77777777" w:rsidR="00A54846" w:rsidRDefault="008A2731">
      <w:pPr>
        <w:pStyle w:val="FootnoteText"/>
      </w:pPr>
      <w:r>
        <w:t>(</w:t>
      </w:r>
      <w:r>
        <w:rPr>
          <w:rStyle w:val="FootnoteReference"/>
        </w:rPr>
        <w:footnoteRef/>
      </w:r>
      <w:r>
        <w:t>)</w:t>
      </w:r>
      <w:r>
        <w:tab/>
        <w:t>Europaparlaments- og rådsdirektiv 2014/65/EU av 15. mai 2014 om markeder for finansielle instrumenter og om endring av direktiv 2002/92/EF og direktiv 2011/61/EU (EUT L 173 av 12.6.2014, s. 349).</w:t>
      </w:r>
    </w:p>
  </w:footnote>
  <w:footnote w:id="13">
    <w:p w14:paraId="07B260F1" w14:textId="77777777" w:rsidR="00A54846" w:rsidRDefault="008A2731">
      <w:pPr>
        <w:pStyle w:val="FootnoteText"/>
      </w:pPr>
      <w:r>
        <w:t>(</w:t>
      </w:r>
      <w:r>
        <w:rPr>
          <w:rStyle w:val="FootnoteReference"/>
        </w:rPr>
        <w:footnoteRef/>
      </w:r>
      <w:r>
        <w:t>)</w:t>
      </w:r>
      <w:r>
        <w:tab/>
        <w:t>Europaparlaments- og rådsforordning (EU) nr. 236/2012 av 14. mars 2012 om shortsalg og visse sider ved kredittbytteavtaler (EUT L 86 av 24.3.2012,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8E3F" w14:textId="779A2234" w:rsidR="008A2731" w:rsidRDefault="008A27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0906318"/>
      <w:docPartObj>
        <w:docPartGallery w:val="Page Numbers (Top of Page)"/>
        <w:docPartUnique/>
      </w:docPartObj>
    </w:sdtPr>
    <w:sdtEndPr>
      <w:rPr>
        <w:noProof/>
      </w:rPr>
    </w:sdtEndPr>
    <w:sdtContent>
      <w:p w14:paraId="3E619F7C" w14:textId="6F1F0F96" w:rsidR="00A54846" w:rsidRDefault="008A2731">
        <w:pPr>
          <w:pStyle w:val="Header"/>
          <w:jc w:val="right"/>
        </w:pPr>
        <w:r>
          <w:fldChar w:fldCharType="begin"/>
        </w:r>
        <w:r>
          <w:instrText xml:space="preserve"> PAGE   \* MERGEFORMAT </w:instrText>
        </w:r>
        <w:r>
          <w:fldChar w:fldCharType="separate"/>
        </w:r>
        <w:r>
          <w:t>5</w:t>
        </w:r>
        <w: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4C86" w14:textId="2C23E1CC" w:rsidR="008A2731" w:rsidRDefault="008A2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D19D3"/>
    <w:multiLevelType w:val="hybridMultilevel"/>
    <w:tmpl w:val="C8CE26D2"/>
    <w:lvl w:ilvl="0" w:tplc="CD48D4A2">
      <w:start w:val="1"/>
      <w:numFmt w:val="upp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64A12FEB"/>
    <w:multiLevelType w:val="hybridMultilevel"/>
    <w:tmpl w:val="5ED6C5BA"/>
    <w:lvl w:ilvl="0" w:tplc="57724CBC">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 w15:restartNumberingAfterBreak="0">
    <w:nsid w:val="6CAF3640"/>
    <w:multiLevelType w:val="hybridMultilevel"/>
    <w:tmpl w:val="185CD1C6"/>
    <w:lvl w:ilvl="0" w:tplc="4300D4B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7750840">
    <w:abstractNumId w:val="2"/>
  </w:num>
  <w:num w:numId="2" w16cid:durableId="288243906">
    <w:abstractNumId w:val="0"/>
  </w:num>
  <w:num w:numId="3" w16cid:durableId="13985498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onsecutiveHyphenLimit w:val="2"/>
  <w:hyphenationZone w:val="357"/>
  <w:doNotHyphenateCaps/>
  <w:defaultTableStyle w:val="EFTATable"/>
  <w:characterSpacingControl w:val="doNotCompress"/>
  <w:hdrShapeDefaults>
    <o:shapedefaults v:ext="edit" spidmax="2050"/>
  </w:hdrShapeDefaults>
  <w:footnotePr>
    <w:pos w:val="beneathText"/>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4846"/>
    <w:rsid w:val="003929D8"/>
    <w:rsid w:val="00533A08"/>
    <w:rsid w:val="005B4732"/>
    <w:rsid w:val="006A792F"/>
    <w:rsid w:val="007D4CBF"/>
    <w:rsid w:val="008A2731"/>
    <w:rsid w:val="009D083B"/>
    <w:rsid w:val="00A216F4"/>
    <w:rsid w:val="00A5484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B9CEBE"/>
  <w15:docId w15:val="{770E2AF9-8F92-46DF-B215-E98E0E0DC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hd w:val="clear" w:color="auto" w:fill="FF0000"/>
      <w:spacing w:line="240" w:lineRule="exact"/>
      <w:jc w:val="both"/>
    </w:pPr>
    <w:rPr>
      <w:rFonts w:ascii="Times New Roman" w:hAnsi="Times New Roman"/>
      <w:color w:val="00B05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4">
    <w:name w:val="line4"/>
    <w:next w:val="Para"/>
    <w:qFormat/>
    <w:pPr>
      <w:widowControl w:val="0"/>
      <w:pBdr>
        <w:bottom w:val="single" w:sz="4" w:space="1" w:color="auto"/>
      </w:pBdr>
      <w:suppressAutoHyphens/>
      <w:spacing w:after="257" w:line="240" w:lineRule="exact"/>
      <w:ind w:left="4162" w:right="4162"/>
      <w:jc w:val="center"/>
    </w:pPr>
    <w:rPr>
      <w:rFonts w:ascii="Times New Roman" w:hAnsi="Times New Roman"/>
      <w:sz w:val="18"/>
    </w:rPr>
  </w:style>
  <w:style w:type="paragraph" w:customStyle="1" w:styleId="line2">
    <w:name w:val="line2"/>
    <w:basedOn w:val="line4"/>
    <w:next w:val="Para"/>
    <w:qFormat/>
    <w:pPr>
      <w:ind w:left="4282" w:right="4282"/>
    </w:pPr>
  </w:style>
  <w:style w:type="paragraph" w:customStyle="1" w:styleId="line8">
    <w:name w:val="line8"/>
    <w:basedOn w:val="line2"/>
    <w:next w:val="Para"/>
    <w:qFormat/>
    <w:pPr>
      <w:ind w:left="4126" w:right="4126"/>
    </w:pPr>
  </w:style>
  <w:style w:type="paragraph" w:customStyle="1" w:styleId="line12">
    <w:name w:val="line12"/>
    <w:basedOn w:val="line2"/>
    <w:next w:val="Para"/>
    <w:qFormat/>
    <w:pPr>
      <w:ind w:left="3614" w:right="3614"/>
    </w:pPr>
  </w:style>
  <w:style w:type="paragraph" w:styleId="Header">
    <w:name w:val="header"/>
    <w:basedOn w:val="Para"/>
    <w:link w:val="HeaderChar"/>
    <w:uiPriority w:val="99"/>
    <w:unhideWhenUsed/>
    <w:pPr>
      <w:spacing w:after="100" w:line="200" w:lineRule="exact"/>
    </w:pPr>
  </w:style>
  <w:style w:type="character" w:customStyle="1" w:styleId="HeaderChar">
    <w:name w:val="Header Char"/>
    <w:basedOn w:val="DefaultParagraphFont"/>
    <w:link w:val="Header"/>
    <w:uiPriority w:val="99"/>
    <w:rPr>
      <w:rFonts w:ascii="Times New Roman" w:hAnsi="Times New Roman"/>
      <w:sz w:val="18"/>
      <w14:ligatures w14:val="standard"/>
    </w:rPr>
  </w:style>
  <w:style w:type="paragraph" w:styleId="Footer">
    <w:name w:val="footer"/>
    <w:basedOn w:val="Para"/>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Times New Roman" w:hAnsi="Times New Roman"/>
      <w:sz w:val="18"/>
      <w14:ligatures w14:val="standard"/>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Title">
    <w:name w:val="SectionTitle"/>
    <w:basedOn w:val="Para"/>
    <w:next w:val="SectionSubTitle"/>
    <w:qFormat/>
    <w:pPr>
      <w:keepNext/>
      <w:keepLines/>
      <w:suppressAutoHyphens/>
      <w:spacing w:line="680" w:lineRule="exact"/>
      <w:jc w:val="center"/>
      <w:outlineLvl w:val="0"/>
    </w:pPr>
    <w:rPr>
      <w:b/>
      <w:caps/>
      <w:color w:val="666666"/>
      <w:sz w:val="72"/>
    </w:rPr>
  </w:style>
  <w:style w:type="paragraph" w:customStyle="1" w:styleId="SectionSubTitle">
    <w:name w:val="SectionSubTitle"/>
    <w:basedOn w:val="Para"/>
    <w:next w:val="MainTitle"/>
    <w:qFormat/>
    <w:pPr>
      <w:keepNext/>
      <w:keepLines/>
      <w:suppressAutoHyphens/>
      <w:spacing w:after="500" w:line="400" w:lineRule="exact"/>
      <w:jc w:val="center"/>
      <w:outlineLvl w:val="1"/>
    </w:pPr>
    <w:rPr>
      <w:b/>
      <w:caps/>
      <w:color w:val="666666"/>
      <w:sz w:val="36"/>
    </w:rPr>
  </w:style>
  <w:style w:type="paragraph" w:customStyle="1" w:styleId="MainTitle">
    <w:name w:val="MainTitle"/>
    <w:basedOn w:val="Para"/>
    <w:qFormat/>
    <w:pPr>
      <w:keepNext/>
      <w:suppressAutoHyphens/>
      <w:spacing w:after="120"/>
      <w:jc w:val="center"/>
      <w:outlineLvl w:val="2"/>
    </w:pPr>
    <w:rPr>
      <w:b/>
    </w:rPr>
  </w:style>
  <w:style w:type="paragraph" w:customStyle="1" w:styleId="MainTitleItalic">
    <w:name w:val="MainTitleItalic"/>
    <w:basedOn w:val="MainTitle"/>
    <w:next w:val="Normal"/>
    <w:qFormat/>
    <w:pPr>
      <w:spacing w:after="240"/>
    </w:pPr>
    <w:rPr>
      <w:b w:val="0"/>
      <w:i/>
    </w:rPr>
  </w:style>
  <w:style w:type="paragraph" w:customStyle="1" w:styleId="PreambleInit">
    <w:name w:val="PreambleInit"/>
    <w:basedOn w:val="ParaSmall"/>
    <w:qFormat/>
    <w:pPr>
      <w:spacing w:before="240" w:after="240"/>
    </w:pPr>
  </w:style>
  <w:style w:type="paragraph" w:customStyle="1" w:styleId="Pa8">
    <w:name w:val="Pa8"/>
    <w:basedOn w:val="Normal"/>
    <w:next w:val="Normal"/>
    <w:uiPriority w:val="99"/>
    <w:pPr>
      <w:autoSpaceDE w:val="0"/>
      <w:autoSpaceDN w:val="0"/>
      <w:adjustRightInd w:val="0"/>
      <w:spacing w:after="0" w:line="241" w:lineRule="atLeast"/>
    </w:pPr>
    <w:rPr>
      <w:rFonts w:cs="Times New Roman"/>
      <w:sz w:val="24"/>
      <w:szCs w:val="24"/>
    </w:rPr>
  </w:style>
  <w:style w:type="paragraph" w:customStyle="1" w:styleId="GrSeq1">
    <w:name w:val="GrSeq1"/>
    <w:basedOn w:val="Para"/>
    <w:qFormat/>
    <w:pPr>
      <w:keepNext/>
      <w:keepLines/>
      <w:tabs>
        <w:tab w:val="left" w:pos="2027"/>
      </w:tabs>
      <w:suppressAutoHyphens/>
      <w:ind w:left="1020" w:hanging="1020"/>
    </w:pPr>
    <w:rPr>
      <w:rFonts w:eastAsia="Times New Roman" w:cs="Times New Roman"/>
      <w:b/>
      <w:bCs/>
      <w:szCs w:val="18"/>
    </w:rPr>
  </w:style>
  <w:style w:type="paragraph" w:customStyle="1" w:styleId="NumberedText">
    <w:name w:val="NumberedText"/>
    <w:basedOn w:val="Para"/>
    <w:qFormat/>
    <w:pPr>
      <w:tabs>
        <w:tab w:val="left" w:pos="2047"/>
      </w:tabs>
      <w:ind w:left="1020" w:hanging="1020"/>
    </w:pPr>
    <w:rPr>
      <w:rFonts w:eastAsia="Times New Roman" w:cs="Times New Roman"/>
      <w:szCs w:val="18"/>
    </w:rPr>
  </w:style>
  <w:style w:type="paragraph" w:styleId="FootnoteText">
    <w:name w:val="footnote text"/>
    <w:basedOn w:val="ParaSmall"/>
    <w:link w:val="FootnoteTextChar"/>
    <w:uiPriority w:val="99"/>
    <w:semiHidden/>
    <w:unhideWhenUsed/>
    <w:pPr>
      <w:spacing w:after="0"/>
      <w:ind w:left="300" w:hanging="300"/>
    </w:pPr>
    <w:rPr>
      <w:szCs w:val="20"/>
    </w:rPr>
  </w:style>
  <w:style w:type="character" w:customStyle="1" w:styleId="FootnoteTextChar">
    <w:name w:val="Footnote Text Char"/>
    <w:basedOn w:val="DefaultParagraphFont"/>
    <w:link w:val="FootnoteText"/>
    <w:uiPriority w:val="99"/>
    <w:semiHidden/>
    <w:rPr>
      <w:rFonts w:ascii="Times New Roman" w:hAnsi="Times New Roman"/>
      <w:sz w:val="16"/>
      <w:szCs w:val="20"/>
      <w14:ligatures w14:val="standard"/>
    </w:rPr>
  </w:style>
  <w:style w:type="character" w:styleId="FootnoteReference">
    <w:name w:val="footnote reference"/>
    <w:basedOn w:val="DefaultParagraphFont"/>
    <w:uiPriority w:val="99"/>
    <w:semiHidden/>
    <w:unhideWhenUsed/>
    <w:rPr>
      <w:rFonts w:ascii="Times New Roman" w:hAnsi="Times New Roman"/>
      <w:b w:val="0"/>
      <w:i w:val="0"/>
      <w:color w:val="auto"/>
      <w:position w:val="-2"/>
      <w:sz w:val="16"/>
      <w:vertAlign w:val="superscript"/>
    </w:rPr>
  </w:style>
  <w:style w:type="paragraph" w:customStyle="1" w:styleId="Footnote">
    <w:name w:val="Footnote"/>
    <w:basedOn w:val="FootnoteText"/>
    <w:qFormat/>
    <w:pPr>
      <w:spacing w:line="180" w:lineRule="exact"/>
    </w:pPr>
    <w:rPr>
      <w:rFonts w:eastAsia="Times New Roman" w:cs="Times New Roman"/>
      <w:sz w:val="14"/>
      <w:szCs w:val="14"/>
    </w:rPr>
  </w:style>
  <w:style w:type="paragraph" w:customStyle="1" w:styleId="FooterRule">
    <w:name w:val="FooterRule"/>
    <w:basedOn w:val="Para"/>
    <w:next w:val="Para"/>
    <w:qFormat/>
    <w:pPr>
      <w:tabs>
        <w:tab w:val="left" w:pos="2041"/>
      </w:tabs>
      <w:adjustRightInd w:val="0"/>
      <w:snapToGrid w:val="0"/>
      <w:spacing w:after="20" w:line="200" w:lineRule="exact"/>
      <w:ind w:right="-57"/>
    </w:pPr>
    <w:rPr>
      <w:u w:val="single"/>
    </w:rPr>
  </w:style>
  <w:style w:type="paragraph" w:customStyle="1" w:styleId="PreambleFinal">
    <w:name w:val="PreambleFinal"/>
    <w:basedOn w:val="PreambleInit"/>
    <w:qFormat/>
    <w:pPr>
      <w:spacing w:before="480" w:after="480" w:line="240" w:lineRule="exact"/>
      <w:jc w:val="left"/>
    </w:pPr>
  </w:style>
  <w:style w:type="paragraph" w:customStyle="1" w:styleId="Visas">
    <w:name w:val="Visas"/>
    <w:basedOn w:val="PreambleInit"/>
    <w:qFormat/>
    <w:pPr>
      <w:spacing w:line="240" w:lineRule="exact"/>
    </w:pPr>
    <w:rPr>
      <w:sz w:val="18"/>
    </w:rPr>
  </w:style>
  <w:style w:type="paragraph" w:customStyle="1" w:styleId="GrSeq2">
    <w:name w:val="GrSeq2"/>
    <w:basedOn w:val="GrSeq1"/>
    <w:qFormat/>
    <w:rPr>
      <w:i/>
    </w:rPr>
  </w:style>
  <w:style w:type="paragraph" w:customStyle="1" w:styleId="GrSeq3">
    <w:name w:val="GrSeq3"/>
    <w:basedOn w:val="GrSeq2"/>
    <w:next w:val="Para"/>
    <w:qFormat/>
    <w:rPr>
      <w:b w:val="0"/>
    </w:rPr>
  </w:style>
  <w:style w:type="paragraph" w:customStyle="1" w:styleId="GrSeq4">
    <w:name w:val="GrSeq4"/>
    <w:basedOn w:val="GrSeq3"/>
    <w:next w:val="Para"/>
    <w:qFormat/>
    <w:rPr>
      <w:i w:val="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pPr>
      <w:spacing w:line="241" w:lineRule="atLeast"/>
    </w:pPr>
    <w:rPr>
      <w:color w:val="auto"/>
    </w:rPr>
  </w:style>
  <w:style w:type="paragraph" w:customStyle="1" w:styleId="TableTitle">
    <w:name w:val="TableTitle"/>
    <w:basedOn w:val="Para"/>
    <w:next w:val="Para"/>
    <w:qFormat/>
    <w:pPr>
      <w:keepNext/>
      <w:spacing w:after="120"/>
    </w:pPr>
  </w:style>
  <w:style w:type="paragraph" w:customStyle="1" w:styleId="Pa4">
    <w:name w:val="Pa4"/>
    <w:basedOn w:val="Default"/>
    <w:next w:val="Default"/>
    <w:uiPriority w:val="99"/>
    <w:pPr>
      <w:spacing w:line="241" w:lineRule="atLeast"/>
    </w:pPr>
    <w:rPr>
      <w:color w:val="auto"/>
    </w:rPr>
  </w:style>
  <w:style w:type="paragraph" w:customStyle="1" w:styleId="TableHeader">
    <w:name w:val="TableHeader"/>
    <w:basedOn w:val="Para"/>
    <w:qFormat/>
    <w:pPr>
      <w:spacing w:after="100" w:afterAutospacing="1" w:line="200" w:lineRule="exact"/>
      <w:jc w:val="center"/>
    </w:pPr>
    <w:rPr>
      <w:bCs/>
      <w:sz w:val="16"/>
    </w:rPr>
  </w:style>
  <w:style w:type="paragraph" w:customStyle="1" w:styleId="Pa15">
    <w:name w:val="Pa15"/>
    <w:basedOn w:val="Default"/>
    <w:next w:val="Default"/>
    <w:uiPriority w:val="99"/>
    <w:pPr>
      <w:spacing w:line="221" w:lineRule="atLeast"/>
    </w:pPr>
    <w:rPr>
      <w:color w:val="auto"/>
    </w:rPr>
  </w:style>
  <w:style w:type="paragraph" w:customStyle="1" w:styleId="Pa2">
    <w:name w:val="Pa2"/>
    <w:basedOn w:val="Default"/>
    <w:next w:val="Default"/>
    <w:uiPriority w:val="99"/>
    <w:pPr>
      <w:spacing w:line="241" w:lineRule="atLeast"/>
    </w:pPr>
    <w:rPr>
      <w:color w:val="auto"/>
    </w:rPr>
  </w:style>
  <w:style w:type="paragraph" w:customStyle="1" w:styleId="TableCell">
    <w:name w:val="TableCell"/>
    <w:basedOn w:val="TableHeader"/>
    <w:qFormat/>
    <w:rPr>
      <w:sz w:val="18"/>
    </w:rPr>
  </w:style>
  <w:style w:type="paragraph" w:customStyle="1" w:styleId="Pa16">
    <w:name w:val="Pa16"/>
    <w:basedOn w:val="Default"/>
    <w:next w:val="Default"/>
    <w:uiPriority w:val="99"/>
    <w:pPr>
      <w:spacing w:line="221" w:lineRule="atLeast"/>
    </w:pPr>
    <w:rPr>
      <w:color w:val="auto"/>
    </w:rPr>
  </w:style>
  <w:style w:type="paragraph" w:customStyle="1" w:styleId="TableCellRight">
    <w:name w:val="TableCellRight"/>
    <w:basedOn w:val="TableCell"/>
    <w:qFormat/>
    <w:pPr>
      <w:jc w:val="right"/>
    </w:pPr>
  </w:style>
  <w:style w:type="paragraph" w:customStyle="1" w:styleId="TableCellLeft">
    <w:name w:val="TableCellLeft"/>
    <w:basedOn w:val="TableCell"/>
    <w:qFormat/>
    <w:pPr>
      <w:jc w:val="left"/>
    </w:pPr>
  </w:style>
  <w:style w:type="paragraph" w:customStyle="1" w:styleId="TableGrNotes">
    <w:name w:val="TableGrNotes"/>
    <w:basedOn w:val="Para"/>
    <w:qFormat/>
    <w:pPr>
      <w:spacing w:after="0" w:line="180" w:lineRule="exact"/>
      <w:ind w:left="280" w:hanging="280"/>
    </w:pPr>
    <w:rPr>
      <w:sz w:val="16"/>
    </w:rPr>
  </w:style>
  <w:style w:type="paragraph" w:customStyle="1" w:styleId="NormalSmall">
    <w:name w:val="NormalSmall"/>
    <w:basedOn w:val="Normal"/>
    <w:qFormat/>
    <w:pPr>
      <w:spacing w:after="120" w:line="200" w:lineRule="exact"/>
    </w:pPr>
    <w:rPr>
      <w:sz w:val="16"/>
    </w:rPr>
  </w:style>
  <w:style w:type="paragraph" w:customStyle="1" w:styleId="TIART">
    <w:name w:val="TIART"/>
    <w:basedOn w:val="Para"/>
    <w:qFormat/>
    <w:pPr>
      <w:keepNext/>
      <w:keepLines/>
      <w:suppressAutoHyphens/>
      <w:jc w:val="center"/>
    </w:pPr>
    <w:rPr>
      <w:i/>
    </w:rPr>
  </w:style>
  <w:style w:type="paragraph" w:customStyle="1" w:styleId="STIART">
    <w:name w:val="STIART"/>
    <w:basedOn w:val="Para"/>
    <w:qFormat/>
    <w:pPr>
      <w:keepNext/>
      <w:keepLines/>
      <w:suppressAutoHyphens/>
      <w:jc w:val="center"/>
    </w:pPr>
    <w:rPr>
      <w:b/>
    </w:rPr>
  </w:style>
  <w:style w:type="paragraph" w:customStyle="1" w:styleId="Final">
    <w:name w:val="Final"/>
    <w:basedOn w:val="Para"/>
    <w:qFormat/>
    <w:pPr>
      <w:ind w:left="547" w:right="547"/>
    </w:pPr>
  </w:style>
  <w:style w:type="paragraph" w:customStyle="1" w:styleId="AnnexTI">
    <w:name w:val="AnnexTI"/>
    <w:basedOn w:val="ParaSmall"/>
    <w:qFormat/>
    <w:pPr>
      <w:keepNext/>
      <w:keepLines/>
      <w:suppressAutoHyphens/>
      <w:jc w:val="center"/>
    </w:pPr>
    <w:rPr>
      <w:i/>
    </w:rPr>
  </w:style>
  <w:style w:type="paragraph" w:customStyle="1" w:styleId="AnnexSTI">
    <w:name w:val="AnnexSTI"/>
    <w:basedOn w:val="Para"/>
    <w:qFormat/>
    <w:pPr>
      <w:keepNext/>
      <w:keepLines/>
      <w:suppressAutoHyphens/>
      <w:spacing w:after="400"/>
      <w:jc w:val="center"/>
    </w:pPr>
    <w:rPr>
      <w:b/>
    </w:rPr>
  </w:style>
  <w:style w:type="paragraph" w:customStyle="1" w:styleId="SmallNumberedText">
    <w:name w:val="SmallNumberedText"/>
    <w:basedOn w:val="ParaSmall"/>
    <w:qFormat/>
    <w:pPr>
      <w:ind w:left="280" w:hanging="280"/>
    </w:pPr>
  </w:style>
  <w:style w:type="paragraph" w:customStyle="1" w:styleId="QuoteStart">
    <w:name w:val="QuoteStart"/>
    <w:basedOn w:val="NumberedText"/>
    <w:qFormat/>
    <w:pPr>
      <w:spacing w:after="100" w:afterAutospacing="1"/>
      <w:ind w:left="0" w:firstLine="0"/>
    </w:pPr>
    <w:rPr>
      <w:i/>
    </w:rPr>
  </w:style>
  <w:style w:type="character" w:styleId="Hyperlink">
    <w:name w:val="Hyperlink"/>
    <w:basedOn w:val="DefaultParagraphFont"/>
    <w:unhideWhenUsed/>
    <w:rPr>
      <w:color w:val="0000FF" w:themeColor="hyperlink"/>
      <w:u w:val="none"/>
    </w:rPr>
  </w:style>
  <w:style w:type="paragraph" w:customStyle="1" w:styleId="SNF">
    <w:name w:val="SNF"/>
    <w:basedOn w:val="Para"/>
    <w:qFormat/>
    <w:rPr>
      <w:color w:val="FF0000"/>
    </w:rPr>
  </w:style>
  <w:style w:type="paragraph" w:customStyle="1" w:styleId="QuoteFootnoteRule">
    <w:name w:val="QuoteFootnoteRule"/>
    <w:basedOn w:val="Para"/>
    <w:qFormat/>
    <w:pPr>
      <w:keepNext/>
      <w:keepLines/>
      <w:pBdr>
        <w:bottom w:val="single" w:sz="4" w:space="1" w:color="auto"/>
      </w:pBdr>
      <w:spacing w:after="0" w:line="180" w:lineRule="exact"/>
      <w:ind w:right="8226"/>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sz w:val="20"/>
      <w:szCs w:val="20"/>
    </w:rPr>
  </w:style>
  <w:style w:type="paragraph" w:styleId="Revision">
    <w:name w:val="Revision"/>
    <w:hidden/>
    <w:uiPriority w:val="99"/>
    <w:semiHidden/>
    <w:pPr>
      <w:spacing w:after="0" w:line="240" w:lineRule="auto"/>
    </w:pPr>
    <w:rPr>
      <w:rFonts w:ascii="Times New Roman" w:hAnsi="Times New Roman"/>
      <w:sz w:val="18"/>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Consid">
    <w:name w:val="Consid"/>
    <w:basedOn w:val="Para"/>
    <w:qFormat/>
    <w:pPr>
      <w:ind w:left="540" w:hanging="540"/>
    </w:pPr>
  </w:style>
  <w:style w:type="paragraph" w:customStyle="1" w:styleId="ConsidWithoutNumber">
    <w:name w:val="ConsidWithoutNumber"/>
    <w:basedOn w:val="Consid"/>
    <w:qFormat/>
    <w:pPr>
      <w:ind w:left="0" w:firstLine="0"/>
    </w:pPr>
  </w:style>
  <w:style w:type="paragraph" w:customStyle="1" w:styleId="Alinea">
    <w:name w:val="Alinea"/>
    <w:basedOn w:val="Para"/>
    <w:qFormat/>
  </w:style>
  <w:style w:type="paragraph" w:customStyle="1" w:styleId="AlineaWithParag">
    <w:name w:val="AlineaWithParag"/>
    <w:basedOn w:val="Para"/>
    <w:qFormat/>
    <w:pPr>
      <w:tabs>
        <w:tab w:val="left" w:pos="400"/>
      </w:tabs>
    </w:pPr>
  </w:style>
  <w:style w:type="paragraph" w:customStyle="1" w:styleId="SignatoryItalic">
    <w:name w:val="SignatoryItalic"/>
    <w:basedOn w:val="Para"/>
    <w:qFormat/>
    <w:pPr>
      <w:spacing w:after="60"/>
      <w:jc w:val="center"/>
    </w:pPr>
    <w:rPr>
      <w:i/>
    </w:rPr>
  </w:style>
  <w:style w:type="paragraph" w:customStyle="1" w:styleId="Signatory">
    <w:name w:val="Signatory"/>
    <w:basedOn w:val="Para"/>
    <w:qFormat/>
    <w:pPr>
      <w:keepNext/>
      <w:keepLines/>
      <w:suppressAutoHyphens/>
      <w:spacing w:after="60"/>
      <w:jc w:val="center"/>
    </w:pPr>
  </w:style>
  <w:style w:type="paragraph" w:customStyle="1" w:styleId="TIARTquoted">
    <w:name w:val="TIART_quoted"/>
    <w:basedOn w:val="TIART"/>
    <w:qFormat/>
    <w:pPr>
      <w:jc w:val="left"/>
    </w:pPr>
  </w:style>
  <w:style w:type="paragraph" w:customStyle="1" w:styleId="STIARTquoted">
    <w:name w:val="STIART_quoted"/>
    <w:basedOn w:val="STIART"/>
    <w:qFormat/>
    <w:pPr>
      <w:jc w:val="left"/>
    </w:pPr>
  </w:style>
  <w:style w:type="paragraph" w:customStyle="1" w:styleId="MainTitleRoman">
    <w:name w:val="MainTitleRoman"/>
    <w:basedOn w:val="MainTitle"/>
    <w:qFormat/>
    <w:rPr>
      <w:b w:val="0"/>
    </w:rPr>
  </w:style>
  <w:style w:type="paragraph" w:customStyle="1" w:styleId="MainTitleSmall">
    <w:name w:val="MainTitleSmall"/>
    <w:basedOn w:val="MainTitle"/>
    <w:qFormat/>
    <w:pPr>
      <w:spacing w:line="200" w:lineRule="exact"/>
    </w:pPr>
    <w:rPr>
      <w:sz w:val="16"/>
    </w:rPr>
  </w:style>
  <w:style w:type="paragraph" w:customStyle="1" w:styleId="MainTitleRomanSmall">
    <w:name w:val="MainTitleRomanSmall"/>
    <w:basedOn w:val="MainTitleSmall"/>
    <w:qFormat/>
    <w:rPr>
      <w:b w:val="0"/>
    </w:rPr>
  </w:style>
  <w:style w:type="paragraph" w:customStyle="1" w:styleId="Formula">
    <w:name w:val="Formula"/>
    <w:basedOn w:val="Para"/>
    <w:qFormat/>
    <w:pPr>
      <w:spacing w:line="240" w:lineRule="auto"/>
    </w:pPr>
    <w:rPr>
      <w:rFonts w:ascii="Cambria Math" w:hAnsi="Cambria Math"/>
    </w:rPr>
  </w:style>
  <w:style w:type="paragraph" w:customStyle="1" w:styleId="FormulaSmall">
    <w:name w:val="FormulaSmall"/>
    <w:basedOn w:val="Formula"/>
    <w:qFormat/>
    <w:rPr>
      <w:rFonts w:eastAsiaTheme="minorEastAsia"/>
      <w:sz w:val="16"/>
    </w:rPr>
  </w:style>
  <w:style w:type="table" w:customStyle="1" w:styleId="EFTATable">
    <w:name w:val="EFTATable"/>
    <w:basedOn w:val="TableNormal"/>
    <w:uiPriority w:val="99"/>
    <w:pPr>
      <w:spacing w:after="0" w:line="200" w:lineRule="exact"/>
    </w:pPr>
    <w:rPr>
      <w:rFonts w:ascii="Times New Roman" w:hAnsi="Times New Roman"/>
      <w:sz w:val="16"/>
    </w:rPr>
    <w:tblPr>
      <w:tblBorders>
        <w:top w:val="single" w:sz="4" w:space="0" w:color="auto"/>
        <w:bottom w:val="single" w:sz="4" w:space="0" w:color="auto"/>
        <w:insideH w:val="single" w:sz="4" w:space="0" w:color="auto"/>
        <w:insideV w:val="single" w:sz="4" w:space="0" w:color="auto"/>
      </w:tblBorders>
      <w:tblCellMar>
        <w:top w:w="20" w:type="dxa"/>
        <w:left w:w="40" w:type="dxa"/>
        <w:bottom w:w="20" w:type="dxa"/>
        <w:right w:w="40" w:type="dxa"/>
      </w:tblCellMar>
    </w:tblPr>
  </w:style>
  <w:style w:type="paragraph" w:customStyle="1" w:styleId="TableTIGrNotes">
    <w:name w:val="TableTIGrNotes"/>
    <w:basedOn w:val="TableGrNotes"/>
    <w:qFormat/>
    <w:pPr>
      <w:spacing w:after="120"/>
    </w:pPr>
  </w:style>
  <w:style w:type="paragraph" w:customStyle="1" w:styleId="TableGrAnnotations">
    <w:name w:val="TableGrAnnotations"/>
    <w:basedOn w:val="ParaSmall"/>
    <w:qFormat/>
    <w:pPr>
      <w:spacing w:after="0" w:line="180" w:lineRule="exact"/>
    </w:pPr>
    <w:rPr>
      <w:sz w:val="14"/>
    </w:rPr>
  </w:style>
  <w:style w:type="paragraph" w:customStyle="1" w:styleId="FigureTI">
    <w:name w:val="FigureTI"/>
    <w:basedOn w:val="Para"/>
    <w:qFormat/>
    <w:pPr>
      <w:keepNext/>
      <w:keepLines/>
      <w:suppressAutoHyphens/>
      <w:jc w:val="center"/>
    </w:pPr>
    <w:rPr>
      <w:i/>
    </w:rPr>
  </w:style>
  <w:style w:type="paragraph" w:customStyle="1" w:styleId="FigureSTI">
    <w:name w:val="FigureSTI"/>
    <w:basedOn w:val="Para"/>
    <w:qFormat/>
    <w:pPr>
      <w:keepNext/>
      <w:keepLines/>
      <w:suppressAutoHyphens/>
      <w:jc w:val="center"/>
    </w:pPr>
    <w:rPr>
      <w:b/>
    </w:rPr>
  </w:style>
  <w:style w:type="paragraph" w:customStyle="1" w:styleId="FigureTISmall">
    <w:name w:val="FigureTISmall"/>
    <w:basedOn w:val="ParaSmall"/>
    <w:qFormat/>
    <w:pPr>
      <w:keepNext/>
      <w:keepLines/>
      <w:suppressAutoHyphens/>
      <w:jc w:val="center"/>
    </w:pPr>
    <w:rPr>
      <w:i/>
    </w:rPr>
  </w:style>
  <w:style w:type="paragraph" w:customStyle="1" w:styleId="FigureSTISmall">
    <w:name w:val="FigureSTISmall"/>
    <w:basedOn w:val="ParaSmall"/>
    <w:qFormat/>
    <w:pPr>
      <w:keepNext/>
      <w:keepLines/>
      <w:suppressAutoHyphens/>
      <w:jc w:val="center"/>
    </w:pPr>
    <w:rPr>
      <w:b/>
    </w:rPr>
  </w:style>
  <w:style w:type="paragraph" w:customStyle="1" w:styleId="AnnexNumberedText">
    <w:name w:val="AnnexNumberedText"/>
    <w:basedOn w:val="AnnexNormal"/>
    <w:qFormat/>
    <w:pPr>
      <w:spacing w:after="120"/>
      <w:ind w:left="280" w:hanging="280"/>
    </w:pPr>
  </w:style>
  <w:style w:type="paragraph" w:customStyle="1" w:styleId="AnnexNormal">
    <w:name w:val="AnnexNormal"/>
    <w:basedOn w:val="Para"/>
    <w:qFormat/>
  </w:style>
  <w:style w:type="paragraph" w:customStyle="1" w:styleId="AnnexGrSeq4">
    <w:name w:val="AnnexGrSeq4"/>
    <w:basedOn w:val="ParaSmall"/>
    <w:qFormat/>
    <w:pPr>
      <w:keepNext/>
      <w:keepLines/>
      <w:suppressAutoHyphens/>
      <w:jc w:val="center"/>
    </w:pPr>
  </w:style>
  <w:style w:type="paragraph" w:customStyle="1" w:styleId="AnnexTableCellLeft">
    <w:name w:val="AnnexTableCellLeft"/>
    <w:basedOn w:val="Para"/>
    <w:qFormat/>
    <w:pPr>
      <w:spacing w:after="0"/>
    </w:pPr>
  </w:style>
  <w:style w:type="paragraph" w:customStyle="1" w:styleId="AnnexTableHeader">
    <w:name w:val="AnnexTableHeader"/>
    <w:basedOn w:val="Para"/>
    <w:qFormat/>
    <w:pPr>
      <w:spacing w:after="0"/>
      <w:jc w:val="center"/>
    </w:pPr>
    <w:rPr>
      <w:sz w:val="16"/>
    </w:rPr>
  </w:style>
  <w:style w:type="paragraph" w:customStyle="1" w:styleId="AnnexTableGrNotes">
    <w:name w:val="AnnexTableGrNotes"/>
    <w:basedOn w:val="Para"/>
    <w:qFormat/>
    <w:pPr>
      <w:spacing w:after="0" w:line="220" w:lineRule="exact"/>
      <w:ind w:left="280" w:hanging="280"/>
    </w:pPr>
    <w:rPr>
      <w:sz w:val="16"/>
    </w:rPr>
  </w:style>
  <w:style w:type="paragraph" w:customStyle="1" w:styleId="AnnexTableGrAnnotations">
    <w:name w:val="AnnexTableGrAnnotations"/>
    <w:basedOn w:val="AnnexTableGrNotes"/>
    <w:qFormat/>
    <w:pPr>
      <w:ind w:left="0" w:firstLine="0"/>
    </w:pPr>
  </w:style>
  <w:style w:type="paragraph" w:customStyle="1" w:styleId="AnnexTableCell">
    <w:name w:val="AnnexTableCell"/>
    <w:basedOn w:val="Para"/>
    <w:qFormat/>
    <w:pPr>
      <w:spacing w:after="0"/>
      <w:jc w:val="center"/>
    </w:pPr>
  </w:style>
  <w:style w:type="paragraph" w:customStyle="1" w:styleId="Style1">
    <w:name w:val="Style1"/>
    <w:basedOn w:val="AnnexTableCell"/>
    <w:qFormat/>
  </w:style>
  <w:style w:type="paragraph" w:customStyle="1" w:styleId="AnnexTableCellRight">
    <w:name w:val="AnnexTableCellRight"/>
    <w:basedOn w:val="AnnexTableCell"/>
    <w:qFormat/>
    <w:pPr>
      <w:jc w:val="right"/>
    </w:pPr>
  </w:style>
  <w:style w:type="paragraph" w:customStyle="1" w:styleId="AnnexGrSeq1">
    <w:name w:val="AnnexGrSeq1"/>
    <w:basedOn w:val="ParaSmall"/>
    <w:qFormat/>
    <w:pPr>
      <w:keepNext/>
      <w:keepLines/>
      <w:suppressAutoHyphens/>
      <w:jc w:val="center"/>
    </w:pPr>
  </w:style>
  <w:style w:type="paragraph" w:customStyle="1" w:styleId="AnnexGrSeq2">
    <w:name w:val="AnnexGrSeq2"/>
    <w:basedOn w:val="AnnexGrSeq1"/>
    <w:qFormat/>
    <w:pPr>
      <w:spacing w:line="240" w:lineRule="exact"/>
    </w:pPr>
    <w:rPr>
      <w:sz w:val="18"/>
    </w:rPr>
  </w:style>
  <w:style w:type="paragraph" w:customStyle="1" w:styleId="AnnexGrSeq3">
    <w:name w:val="AnnexGrSeq3"/>
    <w:basedOn w:val="AnnexGrSeq2"/>
    <w:qFormat/>
  </w:style>
  <w:style w:type="paragraph" w:customStyle="1" w:styleId="AnnexAlinea">
    <w:name w:val="AnnexAlinea"/>
    <w:basedOn w:val="ParaSmall"/>
    <w:qFormat/>
  </w:style>
  <w:style w:type="paragraph" w:customStyle="1" w:styleId="AnnexAlineaWithParag">
    <w:name w:val="AnnexAlineaWithParag"/>
    <w:basedOn w:val="AnnexNormal"/>
    <w:qFormat/>
    <w:pPr>
      <w:tabs>
        <w:tab w:val="left" w:pos="400"/>
      </w:tabs>
    </w:pPr>
  </w:style>
  <w:style w:type="paragraph" w:customStyle="1" w:styleId="AnnexTIART">
    <w:name w:val="AnnexTIART"/>
    <w:basedOn w:val="ParaSmall"/>
    <w:qFormat/>
    <w:pPr>
      <w:keepNext/>
      <w:keepLines/>
      <w:suppressAutoHyphens/>
      <w:jc w:val="center"/>
    </w:pPr>
    <w:rPr>
      <w:i/>
    </w:rPr>
  </w:style>
  <w:style w:type="paragraph" w:customStyle="1" w:styleId="AnnexSTIART">
    <w:name w:val="AnnexSTIART"/>
    <w:basedOn w:val="AnnexTIART"/>
    <w:qFormat/>
    <w:rPr>
      <w:b/>
      <w:i w:val="0"/>
    </w:rPr>
  </w:style>
  <w:style w:type="paragraph" w:customStyle="1" w:styleId="AnnexDivisionTI">
    <w:name w:val="AnnexDivisionTI"/>
    <w:basedOn w:val="ParaSmall"/>
    <w:qFormat/>
    <w:pPr>
      <w:keepNext/>
      <w:keepLines/>
      <w:suppressAutoHyphens/>
      <w:jc w:val="center"/>
    </w:pPr>
  </w:style>
  <w:style w:type="paragraph" w:customStyle="1" w:styleId="AnnexDivisionSTI">
    <w:name w:val="AnnexDivisionSTI"/>
    <w:basedOn w:val="ParaSmall"/>
    <w:qFormat/>
    <w:pPr>
      <w:keepNext/>
      <w:keepLines/>
      <w:suppressAutoHyphens/>
      <w:jc w:val="center"/>
    </w:pPr>
  </w:style>
  <w:style w:type="paragraph" w:customStyle="1" w:styleId="DivConsidTIlt51">
    <w:name w:val="DivConsidTIlt51"/>
    <w:basedOn w:val="Para"/>
    <w:qFormat/>
    <w:pPr>
      <w:keepNext/>
      <w:keepLines/>
      <w:suppressAutoHyphens/>
      <w:jc w:val="center"/>
    </w:pPr>
    <w:rPr>
      <w:caps/>
      <w:sz w:val="16"/>
    </w:rPr>
  </w:style>
  <w:style w:type="paragraph" w:customStyle="1" w:styleId="DivConsidSTIlt51">
    <w:name w:val="DivConsidSTIlt51"/>
    <w:basedOn w:val="Para"/>
    <w:qFormat/>
    <w:pPr>
      <w:keepNext/>
      <w:keepLines/>
      <w:suppressAutoHyphens/>
      <w:jc w:val="center"/>
    </w:pPr>
    <w:rPr>
      <w:b/>
    </w:rPr>
  </w:style>
  <w:style w:type="paragraph" w:customStyle="1" w:styleId="AnnexFigureSTI">
    <w:name w:val="AnnexFigureSTI"/>
    <w:basedOn w:val="ParaSmall"/>
    <w:qFormat/>
    <w:pPr>
      <w:keepNext/>
      <w:keepLines/>
      <w:suppressAutoHyphens/>
      <w:jc w:val="center"/>
    </w:pPr>
    <w:rPr>
      <w:b/>
    </w:rPr>
  </w:style>
  <w:style w:type="paragraph" w:customStyle="1" w:styleId="AnnexFigureTI">
    <w:name w:val="AnnexFigureTI"/>
    <w:basedOn w:val="ParaSmall"/>
    <w:qFormat/>
    <w:pPr>
      <w:keepNext/>
      <w:keepLines/>
      <w:suppressAutoHyphens/>
      <w:jc w:val="center"/>
    </w:pPr>
    <w:rPr>
      <w:i/>
    </w:rPr>
  </w:style>
  <w:style w:type="paragraph" w:customStyle="1" w:styleId="Para">
    <w:name w:val="Para"/>
    <w:qFormat/>
    <w:pPr>
      <w:spacing w:line="240" w:lineRule="exact"/>
      <w:jc w:val="both"/>
    </w:pPr>
    <w:rPr>
      <w:rFonts w:ascii="Times New Roman" w:hAnsi="Times New Roman"/>
      <w:sz w:val="18"/>
      <w14:ligatures w14:val="standard"/>
    </w:rPr>
  </w:style>
  <w:style w:type="paragraph" w:customStyle="1" w:styleId="ParaSmall">
    <w:name w:val="ParaSmall"/>
    <w:basedOn w:val="Para"/>
    <w:qFormat/>
    <w:pPr>
      <w:spacing w:line="200" w:lineRule="exact"/>
    </w:pPr>
    <w:rPr>
      <w:sz w:val="16"/>
    </w:rPr>
  </w:style>
  <w:style w:type="paragraph" w:styleId="Quote">
    <w:name w:val="Quote"/>
    <w:basedOn w:val="Para"/>
    <w:next w:val="Para"/>
    <w:link w:val="QuoteChar"/>
    <w:uiPriority w:val="29"/>
    <w:qFormat/>
    <w:rPr>
      <w:i/>
      <w:iCs/>
      <w:color w:val="000000" w:themeColor="text1"/>
    </w:rPr>
  </w:style>
  <w:style w:type="character" w:customStyle="1" w:styleId="QuoteChar">
    <w:name w:val="Quote Char"/>
    <w:basedOn w:val="DefaultParagraphFont"/>
    <w:link w:val="Quote"/>
    <w:uiPriority w:val="29"/>
    <w:rPr>
      <w:rFonts w:ascii="Times New Roman" w:hAnsi="Times New Roman"/>
      <w:i/>
      <w:iCs/>
      <w:color w:val="000000" w:themeColor="text1"/>
      <w:sz w:val="18"/>
      <w14:ligatures w14:val="standard"/>
    </w:rPr>
  </w:style>
  <w:style w:type="paragraph" w:customStyle="1" w:styleId="SequenceNumber">
    <w:name w:val="SequenceNumber"/>
    <w:basedOn w:val="Para"/>
    <w:qFormat/>
    <w:pPr>
      <w:jc w:val="right"/>
    </w:pPr>
    <w:rPr>
      <w:b/>
    </w:rPr>
  </w:style>
  <w:style w:type="paragraph" w:customStyle="1" w:styleId="SignatorySmall">
    <w:name w:val="SignatorySmall"/>
    <w:basedOn w:val="ParaSmall"/>
    <w:qFormat/>
    <w:pPr>
      <w:spacing w:after="60"/>
      <w:jc w:val="center"/>
    </w:pPr>
  </w:style>
  <w:style w:type="paragraph" w:customStyle="1" w:styleId="SignatoryItalicSmall">
    <w:name w:val="SignatoryItalicSmall"/>
    <w:basedOn w:val="SignatorySmall"/>
    <w:qFormat/>
    <w:rPr>
      <w:i/>
    </w:rPr>
  </w:style>
  <w:style w:type="paragraph" w:customStyle="1" w:styleId="GrSeq5">
    <w:name w:val="GrSeq5"/>
    <w:basedOn w:val="GrSeq1"/>
    <w:qFormat/>
    <w:rPr>
      <w:b w:val="0"/>
    </w:rPr>
  </w:style>
  <w:style w:type="paragraph" w:customStyle="1" w:styleId="GrSeq6">
    <w:name w:val="GrSeq6"/>
    <w:basedOn w:val="GrSeq5"/>
    <w:qFormat/>
  </w:style>
  <w:style w:type="paragraph" w:customStyle="1" w:styleId="GrSeq7">
    <w:name w:val="GrSeq7"/>
    <w:basedOn w:val="GrSeq6"/>
    <w:qFormat/>
  </w:style>
  <w:style w:type="paragraph" w:customStyle="1" w:styleId="AnnexGrSeq5">
    <w:name w:val="AnnexGrSeq5"/>
    <w:basedOn w:val="AnnexGrSeq4"/>
    <w:qFormat/>
    <w:pPr>
      <w:spacing w:line="240" w:lineRule="exact"/>
    </w:pPr>
    <w:rPr>
      <w:sz w:val="18"/>
    </w:rPr>
  </w:style>
  <w:style w:type="paragraph" w:customStyle="1" w:styleId="AnnexGrSeq6">
    <w:name w:val="AnnexGrSeq6"/>
    <w:basedOn w:val="AnnexGrSeq5"/>
    <w:qFormat/>
  </w:style>
  <w:style w:type="paragraph" w:customStyle="1" w:styleId="AnnexGrSeq7">
    <w:name w:val="AnnexGrSeq7"/>
    <w:basedOn w:val="AnnexGrSeq6"/>
    <w:qFormat/>
  </w:style>
  <w:style w:type="paragraph" w:customStyle="1" w:styleId="AnnexQuoteFootnoteRule">
    <w:name w:val="AnnexQuoteFootnoteRule"/>
    <w:basedOn w:val="AnnexNormal"/>
    <w:qFormat/>
    <w:pPr>
      <w:pBdr>
        <w:bottom w:val="single" w:sz="4" w:space="1" w:color="auto"/>
      </w:pBdr>
      <w:spacing w:after="0"/>
      <w:ind w:right="7500"/>
    </w:pPr>
  </w:style>
  <w:style w:type="paragraph" w:customStyle="1" w:styleId="RotatedHeader">
    <w:name w:val="RotatedHeader"/>
    <w:basedOn w:val="Header"/>
    <w:qFormat/>
    <w:pPr>
      <w:pBdr>
        <w:bottom w:val="single" w:sz="4" w:space="6" w:color="auto"/>
      </w:pBdr>
      <w:tabs>
        <w:tab w:val="center" w:pos="4848"/>
        <w:tab w:val="right" w:pos="9611"/>
      </w:tabs>
      <w:spacing w:after="120"/>
    </w:pPr>
  </w:style>
  <w:style w:type="paragraph" w:customStyle="1" w:styleId="DivConsidTIlt52">
    <w:name w:val="DivConsidTIlt52"/>
    <w:basedOn w:val="Para"/>
    <w:qFormat/>
    <w:pPr>
      <w:keepNext/>
      <w:keepLines/>
      <w:suppressAutoHyphens/>
      <w:jc w:val="center"/>
    </w:pPr>
    <w:rPr>
      <w:caps/>
      <w:sz w:val="16"/>
    </w:rPr>
  </w:style>
  <w:style w:type="paragraph" w:customStyle="1" w:styleId="DivConsidSTIlt52">
    <w:name w:val="DivConsidSTIlt52"/>
    <w:basedOn w:val="Para"/>
    <w:qFormat/>
    <w:pPr>
      <w:keepNext/>
      <w:suppressAutoHyphens/>
      <w:jc w:val="center"/>
    </w:pPr>
    <w:rPr>
      <w:b/>
    </w:rPr>
  </w:style>
  <w:style w:type="paragraph" w:customStyle="1" w:styleId="DivConsidTIlt53">
    <w:name w:val="DivConsidTIlt53"/>
    <w:basedOn w:val="Para"/>
    <w:qFormat/>
    <w:pPr>
      <w:keepNext/>
      <w:keepLines/>
      <w:suppressAutoHyphens/>
      <w:jc w:val="left"/>
    </w:pPr>
  </w:style>
  <w:style w:type="paragraph" w:customStyle="1" w:styleId="DivConsidSTIlt53">
    <w:name w:val="DivConsidSTIlt53"/>
    <w:basedOn w:val="Para"/>
    <w:qFormat/>
    <w:pPr>
      <w:keepNext/>
      <w:keepLines/>
      <w:suppressAutoHyphens/>
      <w:jc w:val="left"/>
    </w:pPr>
  </w:style>
  <w:style w:type="paragraph" w:customStyle="1" w:styleId="DivConsidTIlt54">
    <w:name w:val="DivConsidTIlt54"/>
    <w:basedOn w:val="Para"/>
    <w:qFormat/>
    <w:pPr>
      <w:keepNext/>
      <w:keepLines/>
      <w:suppressAutoHyphens/>
      <w:jc w:val="left"/>
    </w:pPr>
  </w:style>
  <w:style w:type="paragraph" w:customStyle="1" w:styleId="DivConsidSTIlt54">
    <w:name w:val="DivConsidSTIlt54"/>
    <w:basedOn w:val="Para"/>
    <w:qFormat/>
    <w:pPr>
      <w:keepNext/>
      <w:keepLines/>
      <w:suppressAutoHyphens/>
      <w:jc w:val="left"/>
    </w:pPr>
  </w:style>
  <w:style w:type="paragraph" w:customStyle="1" w:styleId="DivConsidTIgt51">
    <w:name w:val="DivConsidTIgt51"/>
    <w:basedOn w:val="Para"/>
    <w:qFormat/>
    <w:pPr>
      <w:jc w:val="center"/>
    </w:pPr>
    <w:rPr>
      <w:caps/>
      <w:sz w:val="16"/>
    </w:rPr>
  </w:style>
  <w:style w:type="paragraph" w:customStyle="1" w:styleId="DivConsidSTIgt55">
    <w:name w:val="DivConsidSTIgt55"/>
    <w:basedOn w:val="Para"/>
    <w:qFormat/>
    <w:pPr>
      <w:jc w:val="left"/>
    </w:pPr>
  </w:style>
  <w:style w:type="paragraph" w:customStyle="1" w:styleId="DivConsidTIgt56">
    <w:name w:val="DivConsidTIgt56"/>
    <w:basedOn w:val="Para"/>
    <w:qFormat/>
    <w:pPr>
      <w:keepNext/>
      <w:keepLines/>
      <w:suppressAutoHyphens/>
      <w:jc w:val="left"/>
    </w:pPr>
  </w:style>
  <w:style w:type="paragraph" w:customStyle="1" w:styleId="DivConsidSTIgt56">
    <w:name w:val="DivConsidSTIgt56"/>
    <w:basedOn w:val="Para"/>
    <w:qFormat/>
    <w:pPr>
      <w:jc w:val="left"/>
    </w:pPr>
  </w:style>
  <w:style w:type="paragraph" w:customStyle="1" w:styleId="DivConsidTIgt57">
    <w:name w:val="DivConsidTIgt57"/>
    <w:basedOn w:val="DivConsidTIgt56"/>
    <w:qFormat/>
  </w:style>
  <w:style w:type="paragraph" w:customStyle="1" w:styleId="DivConsidSTIgt57">
    <w:name w:val="DivConsidSTIgt57"/>
    <w:basedOn w:val="DivConsidSTIgt56"/>
    <w:qFormat/>
  </w:style>
  <w:style w:type="paragraph" w:customStyle="1" w:styleId="DivConsidTIgt58">
    <w:name w:val="DivConsidTIgt58"/>
    <w:basedOn w:val="DivConsidTIgt57"/>
    <w:qFormat/>
  </w:style>
  <w:style w:type="paragraph" w:customStyle="1" w:styleId="DivConsidSTIgt58">
    <w:name w:val="DivConsidSTIgt58"/>
    <w:basedOn w:val="DivConsidSTIgt57"/>
    <w:qFormat/>
  </w:style>
  <w:style w:type="paragraph" w:customStyle="1" w:styleId="DivisionTI1">
    <w:name w:val="DivisionTI1"/>
    <w:basedOn w:val="Para"/>
    <w:qFormat/>
    <w:pPr>
      <w:keepNext/>
      <w:keepLines/>
      <w:suppressAutoHyphens/>
      <w:jc w:val="center"/>
    </w:pPr>
    <w:rPr>
      <w:caps/>
      <w:sz w:val="16"/>
    </w:rPr>
  </w:style>
  <w:style w:type="paragraph" w:customStyle="1" w:styleId="DivisionSTI1">
    <w:name w:val="DivisionSTI1"/>
    <w:basedOn w:val="Para"/>
    <w:qFormat/>
    <w:pPr>
      <w:keepNext/>
      <w:keepLines/>
      <w:suppressAutoHyphens/>
      <w:jc w:val="center"/>
    </w:pPr>
  </w:style>
  <w:style w:type="paragraph" w:customStyle="1" w:styleId="DivisionTI2">
    <w:name w:val="DivisionTI2"/>
    <w:basedOn w:val="Para"/>
    <w:qFormat/>
    <w:pPr>
      <w:keepNext/>
      <w:keepLines/>
      <w:suppressAutoHyphens/>
      <w:jc w:val="center"/>
    </w:pPr>
  </w:style>
  <w:style w:type="paragraph" w:customStyle="1" w:styleId="DivisionSTI2">
    <w:name w:val="DivisionSTI2"/>
    <w:basedOn w:val="Para"/>
    <w:qFormat/>
    <w:pPr>
      <w:keepNext/>
      <w:keepLines/>
      <w:suppressAutoHyphens/>
      <w:jc w:val="center"/>
    </w:pPr>
  </w:style>
  <w:style w:type="paragraph" w:customStyle="1" w:styleId="DivisionTI3">
    <w:name w:val="DivisionTI3"/>
    <w:basedOn w:val="Para"/>
    <w:qFormat/>
    <w:pPr>
      <w:keepNext/>
      <w:keepLines/>
      <w:suppressAutoHyphens/>
      <w:jc w:val="left"/>
    </w:pPr>
  </w:style>
  <w:style w:type="paragraph" w:customStyle="1" w:styleId="DivisionSTI3">
    <w:name w:val="DivisionSTI3"/>
    <w:basedOn w:val="Para"/>
    <w:qFormat/>
    <w:pPr>
      <w:keepNext/>
      <w:keepLines/>
      <w:suppressAutoHyphens/>
      <w:jc w:val="left"/>
    </w:pPr>
  </w:style>
  <w:style w:type="paragraph" w:customStyle="1" w:styleId="DivisionTI4">
    <w:name w:val="DivisionTI4"/>
    <w:basedOn w:val="DivisionTI3"/>
    <w:qFormat/>
  </w:style>
  <w:style w:type="paragraph" w:customStyle="1" w:styleId="DivisionSTI4">
    <w:name w:val="DivisionSTI4"/>
    <w:basedOn w:val="DivisionSTI3"/>
    <w:qFormat/>
  </w:style>
  <w:style w:type="paragraph" w:customStyle="1" w:styleId="DivisionTI5">
    <w:name w:val="DivisionTI5"/>
    <w:basedOn w:val="DivisionTI4"/>
    <w:qFormat/>
  </w:style>
  <w:style w:type="paragraph" w:customStyle="1" w:styleId="DivisionSTI5">
    <w:name w:val="DivisionSTI5"/>
    <w:basedOn w:val="DivisionSTI4"/>
    <w:qFormat/>
  </w:style>
  <w:style w:type="paragraph" w:customStyle="1" w:styleId="DivisionTI6">
    <w:name w:val="DivisionTI6"/>
    <w:basedOn w:val="DivisionTI5"/>
    <w:qFormat/>
  </w:style>
  <w:style w:type="paragraph" w:customStyle="1" w:styleId="DivisionSTI6">
    <w:name w:val="DivisionSTI6"/>
    <w:basedOn w:val="DivisionSTI5"/>
    <w:qFormat/>
  </w:style>
  <w:style w:type="paragraph" w:customStyle="1" w:styleId="DivisionTI7">
    <w:name w:val="DivisionTI7"/>
    <w:basedOn w:val="DivisionTI6"/>
    <w:qFormat/>
  </w:style>
  <w:style w:type="paragraph" w:customStyle="1" w:styleId="DivisionSTI7">
    <w:name w:val="DivisionSTI7"/>
    <w:basedOn w:val="DivisionSTI6"/>
    <w:qFormat/>
  </w:style>
  <w:style w:type="paragraph" w:customStyle="1" w:styleId="DivisionTI8">
    <w:name w:val="DivisionTI8"/>
    <w:basedOn w:val="DivisionTI7"/>
    <w:qFormat/>
  </w:style>
  <w:style w:type="paragraph" w:customStyle="1" w:styleId="DivisionSTI8">
    <w:name w:val="DivisionSTI8"/>
    <w:basedOn w:val="DivisionSTI7"/>
    <w:qFormat/>
  </w:style>
  <w:style w:type="paragraph" w:customStyle="1" w:styleId="DivConsidSTIgt51">
    <w:name w:val="DivConsidSTIgt51"/>
    <w:basedOn w:val="DivConsidSTIgt55"/>
    <w:qFormat/>
    <w:pPr>
      <w:jc w:val="center"/>
    </w:pPr>
    <w:rPr>
      <w:sz w:val="16"/>
    </w:rPr>
  </w:style>
  <w:style w:type="paragraph" w:customStyle="1" w:styleId="DivConsidTIgt52">
    <w:name w:val="DivConsidTIgt52"/>
    <w:basedOn w:val="DivConsidTIgt51"/>
    <w:qFormat/>
  </w:style>
  <w:style w:type="paragraph" w:customStyle="1" w:styleId="DivConsidSTIgt52">
    <w:name w:val="DivConsidSTIgt52"/>
    <w:basedOn w:val="DivConsidSTIgt51"/>
    <w:qFormat/>
  </w:style>
  <w:style w:type="paragraph" w:customStyle="1" w:styleId="DivConsidTIgt53">
    <w:name w:val="DivConsidTIgt53"/>
    <w:basedOn w:val="DivConsidTIgt51"/>
    <w:qFormat/>
    <w:pPr>
      <w:jc w:val="left"/>
    </w:pPr>
  </w:style>
  <w:style w:type="paragraph" w:customStyle="1" w:styleId="DivConsidSTIgt53">
    <w:name w:val="DivConsidSTIgt53"/>
    <w:basedOn w:val="DivConsidSTIgt55"/>
    <w:qFormat/>
  </w:style>
  <w:style w:type="paragraph" w:customStyle="1" w:styleId="DivConsidTIgt54">
    <w:name w:val="DivConsidTIgt54"/>
    <w:basedOn w:val="DivConsidTIgt51"/>
    <w:qFormat/>
    <w:pPr>
      <w:jc w:val="left"/>
    </w:pPr>
    <w:rPr>
      <w:sz w:val="18"/>
    </w:rPr>
  </w:style>
  <w:style w:type="paragraph" w:customStyle="1" w:styleId="DivConsidSTIgt54">
    <w:name w:val="DivConsidSTIgt54"/>
    <w:basedOn w:val="DivConsidSTIgt55"/>
    <w:qFormat/>
  </w:style>
  <w:style w:type="paragraph" w:customStyle="1" w:styleId="DivConsidTIgt55">
    <w:name w:val="DivConsidTIgt55"/>
    <w:basedOn w:val="DivConsidTIgt51"/>
    <w:qFormat/>
    <w:pPr>
      <w:jc w:val="left"/>
    </w:pPr>
  </w:style>
  <w:style w:type="paragraph" w:customStyle="1" w:styleId="DivisionChapterTI1">
    <w:name w:val="DivisionChapterTI1"/>
    <w:basedOn w:val="Para"/>
    <w:qFormat/>
    <w:pPr>
      <w:keepNext/>
      <w:keepLines/>
      <w:suppressAutoHyphens/>
      <w:jc w:val="center"/>
    </w:pPr>
    <w:rPr>
      <w:caps/>
      <w:sz w:val="16"/>
    </w:rPr>
  </w:style>
  <w:style w:type="paragraph" w:customStyle="1" w:styleId="DivisionChapterSTI1">
    <w:name w:val="DivisionChapterSTI1"/>
    <w:basedOn w:val="Para"/>
    <w:qFormat/>
    <w:pPr>
      <w:keepNext/>
      <w:keepLines/>
      <w:suppressAutoHyphens/>
      <w:jc w:val="center"/>
    </w:pPr>
    <w:rPr>
      <w:b/>
      <w:caps/>
      <w:sz w:val="16"/>
    </w:rPr>
  </w:style>
  <w:style w:type="paragraph" w:customStyle="1" w:styleId="DivisionSectionTI1">
    <w:name w:val="DivisionSectionTI1"/>
    <w:basedOn w:val="Para"/>
    <w:qFormat/>
    <w:pPr>
      <w:keepNext/>
      <w:keepLines/>
      <w:suppressAutoHyphens/>
      <w:jc w:val="center"/>
    </w:pPr>
    <w:rPr>
      <w:caps/>
      <w:sz w:val="16"/>
    </w:rPr>
  </w:style>
  <w:style w:type="paragraph" w:customStyle="1" w:styleId="DivisionSectionSTI1">
    <w:name w:val="DivisionSectionSTI1"/>
    <w:basedOn w:val="Para"/>
    <w:qFormat/>
    <w:pPr>
      <w:jc w:val="center"/>
    </w:pPr>
    <w:rPr>
      <w:b/>
      <w:caps/>
      <w:sz w:val="16"/>
    </w:rPr>
  </w:style>
  <w:style w:type="character" w:styleId="FollowedHyperlink">
    <w:name w:val="FollowedHyperlink"/>
    <w:basedOn w:val="DefaultParagraphFont"/>
    <w:uiPriority w:val="99"/>
    <w:semiHidden/>
    <w:unhideWhenUsed/>
    <w:rPr>
      <w:color w:val="0000FF"/>
      <w:u w:val="none"/>
    </w:rPr>
  </w:style>
  <w:style w:type="character" w:customStyle="1" w:styleId="Footnote8pt">
    <w:name w:val="Footnote8pt"/>
    <w:basedOn w:val="DefaultParagraphFont"/>
    <w:uiPriority w:val="1"/>
    <w:qFormat/>
    <w:rPr>
      <w:rFonts w:ascii="Times New Roman" w:hAnsi="Times New Roman"/>
      <w:color w:val="auto"/>
      <w:sz w:val="16"/>
      <w:lang w:val="nb-NO"/>
    </w:rPr>
  </w:style>
  <w:style w:type="character" w:customStyle="1" w:styleId="Footnote7pt">
    <w:name w:val="Footnote7pt"/>
    <w:basedOn w:val="DefaultParagraphFont"/>
    <w:uiPriority w:val="1"/>
    <w:qFormat/>
    <w:rPr>
      <w:rFonts w:ascii="Times New Roman" w:hAnsi="Times New Roman"/>
      <w:color w:val="auto"/>
      <w:sz w:val="14"/>
    </w:rPr>
  </w:style>
  <w:style w:type="numbering" w:customStyle="1" w:styleId="NoList1">
    <w:name w:val="No List1"/>
    <w:next w:val="NoList"/>
    <w:uiPriority w:val="99"/>
    <w:semiHidden/>
    <w:unhideWhenUsed/>
  </w:style>
  <w:style w:type="paragraph" w:styleId="ListParagraph">
    <w:name w:val="List Paragraph"/>
    <w:basedOn w:val="Normal"/>
    <w:uiPriority w:val="34"/>
    <w:qFormat/>
    <w:pPr>
      <w:widowControl w:val="0"/>
      <w:shd w:val="clear" w:color="auto" w:fill="auto"/>
      <w:spacing w:after="0" w:line="240" w:lineRule="auto"/>
      <w:ind w:left="720"/>
      <w:contextualSpacing/>
      <w:jc w:val="left"/>
    </w:pPr>
    <w:rPr>
      <w:rFonts w:ascii="Arial Unicode MS" w:eastAsia="Arial Unicode MS" w:hAnsi="Arial Unicode MS" w:cs="Arial Unicode MS"/>
      <w:color w:val="000000"/>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44652">
      <w:bodyDiv w:val="1"/>
      <w:marLeft w:val="0"/>
      <w:marRight w:val="0"/>
      <w:marTop w:val="0"/>
      <w:marBottom w:val="0"/>
      <w:divBdr>
        <w:top w:val="none" w:sz="0" w:space="0" w:color="auto"/>
        <w:left w:val="none" w:sz="0" w:space="0" w:color="auto"/>
        <w:bottom w:val="none" w:sz="0" w:space="0" w:color="auto"/>
        <w:right w:val="none" w:sz="0" w:space="0" w:color="auto"/>
      </w:divBdr>
    </w:div>
    <w:div w:id="61295189">
      <w:bodyDiv w:val="1"/>
      <w:marLeft w:val="0"/>
      <w:marRight w:val="0"/>
      <w:marTop w:val="0"/>
      <w:marBottom w:val="0"/>
      <w:divBdr>
        <w:top w:val="none" w:sz="0" w:space="0" w:color="auto"/>
        <w:left w:val="none" w:sz="0" w:space="0" w:color="auto"/>
        <w:bottom w:val="none" w:sz="0" w:space="0" w:color="auto"/>
        <w:right w:val="none" w:sz="0" w:space="0" w:color="auto"/>
      </w:divBdr>
    </w:div>
    <w:div w:id="70857289">
      <w:bodyDiv w:val="1"/>
      <w:marLeft w:val="0"/>
      <w:marRight w:val="0"/>
      <w:marTop w:val="0"/>
      <w:marBottom w:val="0"/>
      <w:divBdr>
        <w:top w:val="none" w:sz="0" w:space="0" w:color="auto"/>
        <w:left w:val="none" w:sz="0" w:space="0" w:color="auto"/>
        <w:bottom w:val="none" w:sz="0" w:space="0" w:color="auto"/>
        <w:right w:val="none" w:sz="0" w:space="0" w:color="auto"/>
      </w:divBdr>
    </w:div>
    <w:div w:id="103811064">
      <w:bodyDiv w:val="1"/>
      <w:marLeft w:val="0"/>
      <w:marRight w:val="0"/>
      <w:marTop w:val="0"/>
      <w:marBottom w:val="0"/>
      <w:divBdr>
        <w:top w:val="none" w:sz="0" w:space="0" w:color="auto"/>
        <w:left w:val="none" w:sz="0" w:space="0" w:color="auto"/>
        <w:bottom w:val="none" w:sz="0" w:space="0" w:color="auto"/>
        <w:right w:val="none" w:sz="0" w:space="0" w:color="auto"/>
      </w:divBdr>
    </w:div>
    <w:div w:id="270892581">
      <w:bodyDiv w:val="1"/>
      <w:marLeft w:val="0"/>
      <w:marRight w:val="0"/>
      <w:marTop w:val="0"/>
      <w:marBottom w:val="0"/>
      <w:divBdr>
        <w:top w:val="none" w:sz="0" w:space="0" w:color="auto"/>
        <w:left w:val="none" w:sz="0" w:space="0" w:color="auto"/>
        <w:bottom w:val="none" w:sz="0" w:space="0" w:color="auto"/>
        <w:right w:val="none" w:sz="0" w:space="0" w:color="auto"/>
      </w:divBdr>
    </w:div>
    <w:div w:id="331375052">
      <w:bodyDiv w:val="1"/>
      <w:marLeft w:val="0"/>
      <w:marRight w:val="0"/>
      <w:marTop w:val="0"/>
      <w:marBottom w:val="0"/>
      <w:divBdr>
        <w:top w:val="none" w:sz="0" w:space="0" w:color="auto"/>
        <w:left w:val="none" w:sz="0" w:space="0" w:color="auto"/>
        <w:bottom w:val="none" w:sz="0" w:space="0" w:color="auto"/>
        <w:right w:val="none" w:sz="0" w:space="0" w:color="auto"/>
      </w:divBdr>
    </w:div>
    <w:div w:id="335040264">
      <w:bodyDiv w:val="1"/>
      <w:marLeft w:val="0"/>
      <w:marRight w:val="0"/>
      <w:marTop w:val="0"/>
      <w:marBottom w:val="0"/>
      <w:divBdr>
        <w:top w:val="none" w:sz="0" w:space="0" w:color="auto"/>
        <w:left w:val="none" w:sz="0" w:space="0" w:color="auto"/>
        <w:bottom w:val="none" w:sz="0" w:space="0" w:color="auto"/>
        <w:right w:val="none" w:sz="0" w:space="0" w:color="auto"/>
      </w:divBdr>
    </w:div>
    <w:div w:id="386027882">
      <w:bodyDiv w:val="1"/>
      <w:marLeft w:val="0"/>
      <w:marRight w:val="0"/>
      <w:marTop w:val="0"/>
      <w:marBottom w:val="0"/>
      <w:divBdr>
        <w:top w:val="none" w:sz="0" w:space="0" w:color="auto"/>
        <w:left w:val="none" w:sz="0" w:space="0" w:color="auto"/>
        <w:bottom w:val="none" w:sz="0" w:space="0" w:color="auto"/>
        <w:right w:val="none" w:sz="0" w:space="0" w:color="auto"/>
      </w:divBdr>
    </w:div>
    <w:div w:id="413013831">
      <w:bodyDiv w:val="1"/>
      <w:marLeft w:val="0"/>
      <w:marRight w:val="0"/>
      <w:marTop w:val="0"/>
      <w:marBottom w:val="0"/>
      <w:divBdr>
        <w:top w:val="none" w:sz="0" w:space="0" w:color="auto"/>
        <w:left w:val="none" w:sz="0" w:space="0" w:color="auto"/>
        <w:bottom w:val="none" w:sz="0" w:space="0" w:color="auto"/>
        <w:right w:val="none" w:sz="0" w:space="0" w:color="auto"/>
      </w:divBdr>
    </w:div>
    <w:div w:id="584074063">
      <w:bodyDiv w:val="1"/>
      <w:marLeft w:val="0"/>
      <w:marRight w:val="0"/>
      <w:marTop w:val="0"/>
      <w:marBottom w:val="0"/>
      <w:divBdr>
        <w:top w:val="none" w:sz="0" w:space="0" w:color="auto"/>
        <w:left w:val="none" w:sz="0" w:space="0" w:color="auto"/>
        <w:bottom w:val="none" w:sz="0" w:space="0" w:color="auto"/>
        <w:right w:val="none" w:sz="0" w:space="0" w:color="auto"/>
      </w:divBdr>
    </w:div>
    <w:div w:id="697389746">
      <w:bodyDiv w:val="1"/>
      <w:marLeft w:val="0"/>
      <w:marRight w:val="0"/>
      <w:marTop w:val="0"/>
      <w:marBottom w:val="0"/>
      <w:divBdr>
        <w:top w:val="none" w:sz="0" w:space="0" w:color="auto"/>
        <w:left w:val="none" w:sz="0" w:space="0" w:color="auto"/>
        <w:bottom w:val="none" w:sz="0" w:space="0" w:color="auto"/>
        <w:right w:val="none" w:sz="0" w:space="0" w:color="auto"/>
      </w:divBdr>
    </w:div>
    <w:div w:id="801769862">
      <w:bodyDiv w:val="1"/>
      <w:marLeft w:val="0"/>
      <w:marRight w:val="0"/>
      <w:marTop w:val="0"/>
      <w:marBottom w:val="0"/>
      <w:divBdr>
        <w:top w:val="none" w:sz="0" w:space="0" w:color="auto"/>
        <w:left w:val="none" w:sz="0" w:space="0" w:color="auto"/>
        <w:bottom w:val="none" w:sz="0" w:space="0" w:color="auto"/>
        <w:right w:val="none" w:sz="0" w:space="0" w:color="auto"/>
      </w:divBdr>
    </w:div>
    <w:div w:id="834540477">
      <w:bodyDiv w:val="1"/>
      <w:marLeft w:val="0"/>
      <w:marRight w:val="0"/>
      <w:marTop w:val="0"/>
      <w:marBottom w:val="0"/>
      <w:divBdr>
        <w:top w:val="none" w:sz="0" w:space="0" w:color="auto"/>
        <w:left w:val="none" w:sz="0" w:space="0" w:color="auto"/>
        <w:bottom w:val="none" w:sz="0" w:space="0" w:color="auto"/>
        <w:right w:val="none" w:sz="0" w:space="0" w:color="auto"/>
      </w:divBdr>
    </w:div>
    <w:div w:id="965543007">
      <w:bodyDiv w:val="1"/>
      <w:marLeft w:val="0"/>
      <w:marRight w:val="0"/>
      <w:marTop w:val="0"/>
      <w:marBottom w:val="0"/>
      <w:divBdr>
        <w:top w:val="none" w:sz="0" w:space="0" w:color="auto"/>
        <w:left w:val="none" w:sz="0" w:space="0" w:color="auto"/>
        <w:bottom w:val="none" w:sz="0" w:space="0" w:color="auto"/>
        <w:right w:val="none" w:sz="0" w:space="0" w:color="auto"/>
      </w:divBdr>
    </w:div>
    <w:div w:id="979308452">
      <w:bodyDiv w:val="1"/>
      <w:marLeft w:val="0"/>
      <w:marRight w:val="0"/>
      <w:marTop w:val="0"/>
      <w:marBottom w:val="0"/>
      <w:divBdr>
        <w:top w:val="none" w:sz="0" w:space="0" w:color="auto"/>
        <w:left w:val="none" w:sz="0" w:space="0" w:color="auto"/>
        <w:bottom w:val="none" w:sz="0" w:space="0" w:color="auto"/>
        <w:right w:val="none" w:sz="0" w:space="0" w:color="auto"/>
      </w:divBdr>
    </w:div>
    <w:div w:id="1083532150">
      <w:bodyDiv w:val="1"/>
      <w:marLeft w:val="0"/>
      <w:marRight w:val="0"/>
      <w:marTop w:val="0"/>
      <w:marBottom w:val="0"/>
      <w:divBdr>
        <w:top w:val="none" w:sz="0" w:space="0" w:color="auto"/>
        <w:left w:val="none" w:sz="0" w:space="0" w:color="auto"/>
        <w:bottom w:val="none" w:sz="0" w:space="0" w:color="auto"/>
        <w:right w:val="none" w:sz="0" w:space="0" w:color="auto"/>
      </w:divBdr>
    </w:div>
    <w:div w:id="1122113404">
      <w:bodyDiv w:val="1"/>
      <w:marLeft w:val="0"/>
      <w:marRight w:val="0"/>
      <w:marTop w:val="0"/>
      <w:marBottom w:val="0"/>
      <w:divBdr>
        <w:top w:val="none" w:sz="0" w:space="0" w:color="auto"/>
        <w:left w:val="none" w:sz="0" w:space="0" w:color="auto"/>
        <w:bottom w:val="none" w:sz="0" w:space="0" w:color="auto"/>
        <w:right w:val="none" w:sz="0" w:space="0" w:color="auto"/>
      </w:divBdr>
    </w:div>
    <w:div w:id="1127814077">
      <w:bodyDiv w:val="1"/>
      <w:marLeft w:val="0"/>
      <w:marRight w:val="0"/>
      <w:marTop w:val="0"/>
      <w:marBottom w:val="0"/>
      <w:divBdr>
        <w:top w:val="none" w:sz="0" w:space="0" w:color="auto"/>
        <w:left w:val="none" w:sz="0" w:space="0" w:color="auto"/>
        <w:bottom w:val="none" w:sz="0" w:space="0" w:color="auto"/>
        <w:right w:val="none" w:sz="0" w:space="0" w:color="auto"/>
      </w:divBdr>
    </w:div>
    <w:div w:id="1213426399">
      <w:bodyDiv w:val="1"/>
      <w:marLeft w:val="0"/>
      <w:marRight w:val="0"/>
      <w:marTop w:val="0"/>
      <w:marBottom w:val="0"/>
      <w:divBdr>
        <w:top w:val="none" w:sz="0" w:space="0" w:color="auto"/>
        <w:left w:val="none" w:sz="0" w:space="0" w:color="auto"/>
        <w:bottom w:val="none" w:sz="0" w:space="0" w:color="auto"/>
        <w:right w:val="none" w:sz="0" w:space="0" w:color="auto"/>
      </w:divBdr>
    </w:div>
    <w:div w:id="1504852145">
      <w:bodyDiv w:val="1"/>
      <w:marLeft w:val="0"/>
      <w:marRight w:val="0"/>
      <w:marTop w:val="0"/>
      <w:marBottom w:val="0"/>
      <w:divBdr>
        <w:top w:val="none" w:sz="0" w:space="0" w:color="auto"/>
        <w:left w:val="none" w:sz="0" w:space="0" w:color="auto"/>
        <w:bottom w:val="none" w:sz="0" w:space="0" w:color="auto"/>
        <w:right w:val="none" w:sz="0" w:space="0" w:color="auto"/>
      </w:divBdr>
    </w:div>
    <w:div w:id="1540512601">
      <w:bodyDiv w:val="1"/>
      <w:marLeft w:val="0"/>
      <w:marRight w:val="0"/>
      <w:marTop w:val="0"/>
      <w:marBottom w:val="0"/>
      <w:divBdr>
        <w:top w:val="none" w:sz="0" w:space="0" w:color="auto"/>
        <w:left w:val="none" w:sz="0" w:space="0" w:color="auto"/>
        <w:bottom w:val="none" w:sz="0" w:space="0" w:color="auto"/>
        <w:right w:val="none" w:sz="0" w:space="0" w:color="auto"/>
      </w:divBdr>
    </w:div>
    <w:div w:id="1854875090">
      <w:bodyDiv w:val="1"/>
      <w:marLeft w:val="0"/>
      <w:marRight w:val="0"/>
      <w:marTop w:val="0"/>
      <w:marBottom w:val="0"/>
      <w:divBdr>
        <w:top w:val="none" w:sz="0" w:space="0" w:color="auto"/>
        <w:left w:val="none" w:sz="0" w:space="0" w:color="auto"/>
        <w:bottom w:val="none" w:sz="0" w:space="0" w:color="auto"/>
        <w:right w:val="none" w:sz="0" w:space="0" w:color="auto"/>
      </w:divBdr>
    </w:div>
    <w:div w:id="1935672900">
      <w:bodyDiv w:val="1"/>
      <w:marLeft w:val="0"/>
      <w:marRight w:val="0"/>
      <w:marTop w:val="0"/>
      <w:marBottom w:val="0"/>
      <w:divBdr>
        <w:top w:val="none" w:sz="0" w:space="0" w:color="auto"/>
        <w:left w:val="none" w:sz="0" w:space="0" w:color="auto"/>
        <w:bottom w:val="none" w:sz="0" w:space="0" w:color="auto"/>
        <w:right w:val="none" w:sz="0" w:space="0" w:color="auto"/>
      </w:divBdr>
    </w:div>
    <w:div w:id="2020040501">
      <w:bodyDiv w:val="1"/>
      <w:marLeft w:val="0"/>
      <w:marRight w:val="0"/>
      <w:marTop w:val="0"/>
      <w:marBottom w:val="0"/>
      <w:divBdr>
        <w:top w:val="none" w:sz="0" w:space="0" w:color="auto"/>
        <w:left w:val="none" w:sz="0" w:space="0" w:color="auto"/>
        <w:bottom w:val="none" w:sz="0" w:space="0" w:color="auto"/>
        <w:right w:val="none" w:sz="0" w:space="0" w:color="auto"/>
      </w:divBdr>
    </w:div>
    <w:div w:id="210614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76C6A0-61AB-4097-8316-25934EC86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TotalTime>
  <Pages>65</Pages>
  <Words>25177</Words>
  <Characters>133443</Characters>
  <Application>Microsoft Office Word</Application>
  <DocSecurity>0</DocSecurity>
  <Lines>1112</Lines>
  <Paragraphs>316</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amplexor</Company>
  <LinksUpToDate>false</LinksUpToDate>
  <CharactersWithSpaces>158304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EFTA</dc:creator>
  <cp:lastModifiedBy>Gabrielsen, Stein</cp:lastModifiedBy>
  <cp:revision>212</cp:revision>
  <cp:lastPrinted>2022-01-07T10:23:00Z</cp:lastPrinted>
  <dcterms:created xsi:type="dcterms:W3CDTF">2016-11-02T11:36:00Z</dcterms:created>
  <dcterms:modified xsi:type="dcterms:W3CDTF">2023-05-03T07:13:00Z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sue_date">
    <vt:lpwstr>27.10.2016</vt:lpwstr>
  </property>
  <property fmtid="{D5CDD505-2E9C-101B-9397-08002B2CF9AE}" pid="3" name="volume">
    <vt:lpwstr>56</vt:lpwstr>
  </property>
  <property fmtid="{D5CDD505-2E9C-101B-9397-08002B2CF9AE}" pid="4" name="rhead">
    <vt:lpwstr>EØS-tillegget til Den europeiske unions tidende</vt:lpwstr>
  </property>
  <property fmtid="{D5CDD505-2E9C-101B-9397-08002B2CF9AE}" pid="5" name="producer">
    <vt:lpwstr>amplexor</vt:lpwstr>
  </property>
  <property fmtid="{D5CDD505-2E9C-101B-9397-08002B2CF9AE}" pid="6" name="issue_nr">
    <vt:lpwstr>23</vt:lpwstr>
  </property>
</Properties>
</file>